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6E481" w14:textId="77777777" w:rsidR="00C32EA2" w:rsidRDefault="00C32EA2">
      <w:pPr>
        <w:pStyle w:val="big-header"/>
        <w:ind w:left="0" w:right="1134"/>
        <w:rPr>
          <w:rFonts w:cs="FrankRuehl" w:hint="cs"/>
          <w:sz w:val="32"/>
          <w:rtl/>
        </w:rPr>
      </w:pPr>
      <w:r>
        <w:rPr>
          <w:rFonts w:cs="FrankRuehl"/>
          <w:sz w:val="32"/>
          <w:rtl/>
        </w:rPr>
        <w:t>תקנות ההתגוננות האזרחית (אותות אזעקה וארגעה), תשנ"ב–1992</w:t>
      </w:r>
    </w:p>
    <w:p w14:paraId="21F8F0B9" w14:textId="77777777" w:rsidR="00246796" w:rsidRDefault="00246796" w:rsidP="00246796">
      <w:pPr>
        <w:spacing w:line="320" w:lineRule="auto"/>
        <w:jc w:val="left"/>
        <w:rPr>
          <w:rtl/>
        </w:rPr>
      </w:pPr>
    </w:p>
    <w:p w14:paraId="6637A419" w14:textId="77777777" w:rsidR="00246796" w:rsidRPr="00246796" w:rsidRDefault="00246796" w:rsidP="00246796">
      <w:pPr>
        <w:spacing w:line="320" w:lineRule="auto"/>
        <w:jc w:val="left"/>
        <w:rPr>
          <w:rFonts w:cs="Miriam" w:hint="cs"/>
          <w:szCs w:val="22"/>
          <w:rtl/>
        </w:rPr>
      </w:pPr>
      <w:r w:rsidRPr="00246796">
        <w:rPr>
          <w:rFonts w:cs="Miriam"/>
          <w:szCs w:val="22"/>
          <w:rtl/>
        </w:rPr>
        <w:t>בטחון</w:t>
      </w:r>
      <w:r w:rsidRPr="00246796">
        <w:rPr>
          <w:rFonts w:cs="FrankRuehl"/>
          <w:szCs w:val="26"/>
          <w:rtl/>
        </w:rPr>
        <w:t xml:space="preserve"> – התגוננות אזרחית</w:t>
      </w:r>
    </w:p>
    <w:p w14:paraId="7F9F4A70" w14:textId="77777777" w:rsidR="00C32EA2" w:rsidRDefault="00C32EA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32EA2" w14:paraId="4A80D4A0" w14:textId="77777777">
        <w:tblPrEx>
          <w:tblCellMar>
            <w:top w:w="0" w:type="dxa"/>
            <w:bottom w:w="0" w:type="dxa"/>
          </w:tblCellMar>
        </w:tblPrEx>
        <w:tc>
          <w:tcPr>
            <w:tcW w:w="850" w:type="dxa"/>
          </w:tcPr>
          <w:p w14:paraId="1CF7B874" w14:textId="77777777" w:rsidR="00C32EA2" w:rsidRDefault="00C32EA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66C0717" w14:textId="77777777" w:rsidR="00C32EA2" w:rsidRDefault="00C32EA2">
            <w:pPr>
              <w:spacing w:line="240" w:lineRule="auto"/>
              <w:rPr>
                <w:sz w:val="24"/>
              </w:rPr>
            </w:pPr>
            <w:hyperlink w:anchor="Seif0" w:tooltip="הגדרה" w:history="1">
              <w:r>
                <w:rPr>
                  <w:rStyle w:val="Hyperlink"/>
                </w:rPr>
                <w:t>Go</w:t>
              </w:r>
            </w:hyperlink>
          </w:p>
        </w:tc>
        <w:tc>
          <w:tcPr>
            <w:tcW w:w="5669" w:type="dxa"/>
          </w:tcPr>
          <w:p w14:paraId="5958EC19" w14:textId="77777777" w:rsidR="00C32EA2" w:rsidRDefault="00C32EA2">
            <w:pPr>
              <w:spacing w:line="240" w:lineRule="auto"/>
              <w:rPr>
                <w:sz w:val="24"/>
                <w:rtl/>
              </w:rPr>
            </w:pPr>
            <w:r>
              <w:rPr>
                <w:sz w:val="24"/>
                <w:rtl/>
              </w:rPr>
              <w:t>הגדרה</w:t>
            </w:r>
          </w:p>
        </w:tc>
        <w:tc>
          <w:tcPr>
            <w:tcW w:w="1247" w:type="dxa"/>
          </w:tcPr>
          <w:p w14:paraId="436666C1" w14:textId="77777777" w:rsidR="00C32EA2" w:rsidRDefault="00C32EA2">
            <w:pPr>
              <w:spacing w:line="240" w:lineRule="auto"/>
              <w:rPr>
                <w:sz w:val="24"/>
              </w:rPr>
            </w:pPr>
            <w:r>
              <w:rPr>
                <w:sz w:val="24"/>
                <w:rtl/>
              </w:rPr>
              <w:t xml:space="preserve">סעיף 1 </w:t>
            </w:r>
          </w:p>
        </w:tc>
      </w:tr>
      <w:tr w:rsidR="00C32EA2" w14:paraId="01B7B80F" w14:textId="77777777">
        <w:tblPrEx>
          <w:tblCellMar>
            <w:top w:w="0" w:type="dxa"/>
            <w:bottom w:w="0" w:type="dxa"/>
          </w:tblCellMar>
        </w:tblPrEx>
        <w:tc>
          <w:tcPr>
            <w:tcW w:w="850" w:type="dxa"/>
          </w:tcPr>
          <w:p w14:paraId="4B69E826" w14:textId="77777777" w:rsidR="00C32EA2" w:rsidRDefault="00C32EA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8FBD478" w14:textId="77777777" w:rsidR="00C32EA2" w:rsidRDefault="00C32EA2">
            <w:pPr>
              <w:spacing w:line="240" w:lineRule="auto"/>
              <w:rPr>
                <w:sz w:val="24"/>
              </w:rPr>
            </w:pPr>
            <w:hyperlink w:anchor="Seif1" w:tooltip="אות באמצעות צופר" w:history="1">
              <w:r>
                <w:rPr>
                  <w:rStyle w:val="Hyperlink"/>
                </w:rPr>
                <w:t>Go</w:t>
              </w:r>
            </w:hyperlink>
          </w:p>
        </w:tc>
        <w:tc>
          <w:tcPr>
            <w:tcW w:w="5669" w:type="dxa"/>
          </w:tcPr>
          <w:p w14:paraId="3012D131" w14:textId="77777777" w:rsidR="00C32EA2" w:rsidRDefault="00C32EA2">
            <w:pPr>
              <w:spacing w:line="240" w:lineRule="auto"/>
              <w:rPr>
                <w:sz w:val="24"/>
                <w:rtl/>
              </w:rPr>
            </w:pPr>
            <w:r>
              <w:rPr>
                <w:sz w:val="24"/>
                <w:rtl/>
              </w:rPr>
              <w:t>אות באמצעות צופר</w:t>
            </w:r>
          </w:p>
        </w:tc>
        <w:tc>
          <w:tcPr>
            <w:tcW w:w="1247" w:type="dxa"/>
          </w:tcPr>
          <w:p w14:paraId="5CF01738" w14:textId="77777777" w:rsidR="00C32EA2" w:rsidRDefault="00C32EA2">
            <w:pPr>
              <w:spacing w:line="240" w:lineRule="auto"/>
              <w:rPr>
                <w:sz w:val="24"/>
              </w:rPr>
            </w:pPr>
            <w:r>
              <w:rPr>
                <w:sz w:val="24"/>
                <w:rtl/>
              </w:rPr>
              <w:t xml:space="preserve">סעיף 2 </w:t>
            </w:r>
          </w:p>
        </w:tc>
      </w:tr>
      <w:tr w:rsidR="00C32EA2" w14:paraId="109A71AF" w14:textId="77777777">
        <w:tblPrEx>
          <w:tblCellMar>
            <w:top w:w="0" w:type="dxa"/>
            <w:bottom w:w="0" w:type="dxa"/>
          </w:tblCellMar>
        </w:tblPrEx>
        <w:tc>
          <w:tcPr>
            <w:tcW w:w="850" w:type="dxa"/>
          </w:tcPr>
          <w:p w14:paraId="001CBC78" w14:textId="77777777" w:rsidR="00C32EA2" w:rsidRDefault="00C32EA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976F0BB" w14:textId="77777777" w:rsidR="00C32EA2" w:rsidRDefault="00C32EA2">
            <w:pPr>
              <w:spacing w:line="240" w:lineRule="auto"/>
              <w:rPr>
                <w:sz w:val="24"/>
              </w:rPr>
            </w:pPr>
            <w:hyperlink w:anchor="Seif2" w:tooltip="אות הניתן בהודעה" w:history="1">
              <w:r>
                <w:rPr>
                  <w:rStyle w:val="Hyperlink"/>
                </w:rPr>
                <w:t>Go</w:t>
              </w:r>
            </w:hyperlink>
          </w:p>
        </w:tc>
        <w:tc>
          <w:tcPr>
            <w:tcW w:w="5669" w:type="dxa"/>
          </w:tcPr>
          <w:p w14:paraId="12FE1C0F" w14:textId="77777777" w:rsidR="00C32EA2" w:rsidRDefault="00C32EA2">
            <w:pPr>
              <w:spacing w:line="240" w:lineRule="auto"/>
              <w:rPr>
                <w:sz w:val="24"/>
                <w:rtl/>
              </w:rPr>
            </w:pPr>
            <w:r>
              <w:rPr>
                <w:sz w:val="24"/>
                <w:rtl/>
              </w:rPr>
              <w:t>אות הניתן בהודעה</w:t>
            </w:r>
          </w:p>
        </w:tc>
        <w:tc>
          <w:tcPr>
            <w:tcW w:w="1247" w:type="dxa"/>
          </w:tcPr>
          <w:p w14:paraId="398724C5" w14:textId="77777777" w:rsidR="00C32EA2" w:rsidRDefault="00C32EA2">
            <w:pPr>
              <w:spacing w:line="240" w:lineRule="auto"/>
              <w:rPr>
                <w:sz w:val="24"/>
              </w:rPr>
            </w:pPr>
            <w:r>
              <w:rPr>
                <w:sz w:val="24"/>
                <w:rtl/>
              </w:rPr>
              <w:t xml:space="preserve">סעיף 3 </w:t>
            </w:r>
          </w:p>
        </w:tc>
      </w:tr>
      <w:tr w:rsidR="00C32EA2" w14:paraId="00992971" w14:textId="77777777">
        <w:tblPrEx>
          <w:tblCellMar>
            <w:top w:w="0" w:type="dxa"/>
            <w:bottom w:w="0" w:type="dxa"/>
          </w:tblCellMar>
        </w:tblPrEx>
        <w:tc>
          <w:tcPr>
            <w:tcW w:w="850" w:type="dxa"/>
          </w:tcPr>
          <w:p w14:paraId="1008116E" w14:textId="77777777" w:rsidR="00C32EA2" w:rsidRDefault="00C32EA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0916E0C" w14:textId="77777777" w:rsidR="00C32EA2" w:rsidRDefault="00C32EA2">
            <w:pPr>
              <w:spacing w:line="240" w:lineRule="auto"/>
              <w:rPr>
                <w:sz w:val="24"/>
              </w:rPr>
            </w:pPr>
            <w:hyperlink w:anchor="Seif3" w:tooltip="הגבלות השימוש באותות" w:history="1">
              <w:r>
                <w:rPr>
                  <w:rStyle w:val="Hyperlink"/>
                </w:rPr>
                <w:t>Go</w:t>
              </w:r>
            </w:hyperlink>
          </w:p>
        </w:tc>
        <w:tc>
          <w:tcPr>
            <w:tcW w:w="5669" w:type="dxa"/>
          </w:tcPr>
          <w:p w14:paraId="063787F9" w14:textId="77777777" w:rsidR="00C32EA2" w:rsidRDefault="00C32EA2">
            <w:pPr>
              <w:spacing w:line="240" w:lineRule="auto"/>
              <w:rPr>
                <w:sz w:val="24"/>
                <w:rtl/>
              </w:rPr>
            </w:pPr>
            <w:r>
              <w:rPr>
                <w:sz w:val="24"/>
                <w:rtl/>
              </w:rPr>
              <w:t>הגבלות השימוש באותות</w:t>
            </w:r>
          </w:p>
        </w:tc>
        <w:tc>
          <w:tcPr>
            <w:tcW w:w="1247" w:type="dxa"/>
          </w:tcPr>
          <w:p w14:paraId="1B68051F" w14:textId="77777777" w:rsidR="00C32EA2" w:rsidRDefault="00C32EA2">
            <w:pPr>
              <w:spacing w:line="240" w:lineRule="auto"/>
              <w:rPr>
                <w:sz w:val="24"/>
              </w:rPr>
            </w:pPr>
            <w:r>
              <w:rPr>
                <w:sz w:val="24"/>
                <w:rtl/>
              </w:rPr>
              <w:t xml:space="preserve">סעיף 4 </w:t>
            </w:r>
          </w:p>
        </w:tc>
      </w:tr>
      <w:tr w:rsidR="00C32EA2" w14:paraId="3EE54781" w14:textId="77777777">
        <w:tblPrEx>
          <w:tblCellMar>
            <w:top w:w="0" w:type="dxa"/>
            <w:bottom w:w="0" w:type="dxa"/>
          </w:tblCellMar>
        </w:tblPrEx>
        <w:tc>
          <w:tcPr>
            <w:tcW w:w="850" w:type="dxa"/>
          </w:tcPr>
          <w:p w14:paraId="0ED789DA" w14:textId="77777777" w:rsidR="00C32EA2" w:rsidRDefault="00C32EA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DD033B4" w14:textId="77777777" w:rsidR="00C32EA2" w:rsidRDefault="00C32EA2">
            <w:pPr>
              <w:spacing w:line="240" w:lineRule="auto"/>
              <w:rPr>
                <w:sz w:val="24"/>
              </w:rPr>
            </w:pPr>
            <w:hyperlink w:anchor="Seif4" w:tooltip="ביטול" w:history="1">
              <w:r>
                <w:rPr>
                  <w:rStyle w:val="Hyperlink"/>
                </w:rPr>
                <w:t>Go</w:t>
              </w:r>
            </w:hyperlink>
          </w:p>
        </w:tc>
        <w:tc>
          <w:tcPr>
            <w:tcW w:w="5669" w:type="dxa"/>
          </w:tcPr>
          <w:p w14:paraId="375C7EFC" w14:textId="77777777" w:rsidR="00C32EA2" w:rsidRDefault="00C32EA2">
            <w:pPr>
              <w:spacing w:line="240" w:lineRule="auto"/>
              <w:rPr>
                <w:sz w:val="24"/>
                <w:rtl/>
              </w:rPr>
            </w:pPr>
            <w:r>
              <w:rPr>
                <w:sz w:val="24"/>
                <w:rtl/>
              </w:rPr>
              <w:t>ביטול</w:t>
            </w:r>
          </w:p>
        </w:tc>
        <w:tc>
          <w:tcPr>
            <w:tcW w:w="1247" w:type="dxa"/>
          </w:tcPr>
          <w:p w14:paraId="72804BB5" w14:textId="77777777" w:rsidR="00C32EA2" w:rsidRDefault="00C32EA2">
            <w:pPr>
              <w:spacing w:line="240" w:lineRule="auto"/>
              <w:rPr>
                <w:sz w:val="24"/>
              </w:rPr>
            </w:pPr>
            <w:r>
              <w:rPr>
                <w:sz w:val="24"/>
                <w:rtl/>
              </w:rPr>
              <w:t xml:space="preserve">סעיף 5 </w:t>
            </w:r>
          </w:p>
        </w:tc>
      </w:tr>
    </w:tbl>
    <w:p w14:paraId="7CF4F74D" w14:textId="77777777" w:rsidR="00C32EA2" w:rsidRDefault="00C32EA2">
      <w:pPr>
        <w:pStyle w:val="big-header"/>
        <w:ind w:left="0" w:right="1134"/>
        <w:rPr>
          <w:rFonts w:cs="FrankRuehl"/>
          <w:sz w:val="32"/>
          <w:rtl/>
        </w:rPr>
      </w:pPr>
    </w:p>
    <w:p w14:paraId="5CC04433" w14:textId="77777777" w:rsidR="00C32EA2" w:rsidRDefault="00C32EA2">
      <w:pPr>
        <w:pStyle w:val="big-header"/>
        <w:ind w:left="0" w:right="1134"/>
        <w:rPr>
          <w:rStyle w:val="default"/>
          <w:rFonts w:cs="FrankRuehl"/>
          <w:rtl/>
        </w:rPr>
      </w:pPr>
      <w:r>
        <w:rPr>
          <w:rFonts w:cs="FrankRuehl"/>
          <w:sz w:val="32"/>
          <w:rtl/>
        </w:rPr>
        <w:br w:type="page"/>
      </w:r>
      <w:r w:rsidR="00246796">
        <w:rPr>
          <w:rFonts w:cs="FrankRuehl"/>
          <w:sz w:val="32"/>
          <w:rtl/>
        </w:rPr>
        <w:lastRenderedPageBreak/>
        <w:t xml:space="preserve"> </w:t>
      </w:r>
      <w:r>
        <w:rPr>
          <w:rFonts w:cs="FrankRuehl"/>
          <w:sz w:val="32"/>
          <w:rtl/>
        </w:rPr>
        <w:t>תק</w:t>
      </w:r>
      <w:r>
        <w:rPr>
          <w:rFonts w:cs="FrankRuehl" w:hint="cs"/>
          <w:sz w:val="32"/>
          <w:rtl/>
        </w:rPr>
        <w:t>נות ההתגוננות האזרחית (אותות אזעקה וארגעה), תשנ"ב</w:t>
      </w:r>
      <w:r>
        <w:rPr>
          <w:rFonts w:cs="FrankRuehl"/>
          <w:sz w:val="32"/>
          <w:rtl/>
        </w:rPr>
        <w:t>–1992</w:t>
      </w:r>
      <w:r>
        <w:rPr>
          <w:rStyle w:val="super"/>
          <w:rFonts w:cs="Miriam"/>
          <w:noProof w:val="0"/>
          <w:rtl/>
          <w:lang w:eastAsia="he-IL"/>
        </w:rPr>
        <w:t>(34)</w:t>
      </w:r>
    </w:p>
    <w:p w14:paraId="570542D9" w14:textId="77777777" w:rsidR="00C32EA2" w:rsidRDefault="00C32EA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27(ג)(10) לחוק ההתגוננות האזרחית,</w:t>
      </w:r>
      <w:r>
        <w:rPr>
          <w:rFonts w:cs="FrankRuehl"/>
          <w:sz w:val="26"/>
          <w:rtl/>
        </w:rPr>
        <w:t> </w:t>
      </w:r>
      <w:r>
        <w:rPr>
          <w:rStyle w:val="default"/>
          <w:rFonts w:cs="FrankRuehl"/>
          <w:rtl/>
        </w:rPr>
        <w:t xml:space="preserve"> ת</w:t>
      </w:r>
      <w:r>
        <w:rPr>
          <w:rStyle w:val="default"/>
          <w:rFonts w:cs="FrankRuehl" w:hint="cs"/>
          <w:rtl/>
        </w:rPr>
        <w:t>שי"א</w:t>
      </w:r>
      <w:r>
        <w:rPr>
          <w:rStyle w:val="default"/>
          <w:rFonts w:cs="FrankRuehl"/>
          <w:rtl/>
        </w:rPr>
        <w:t>–1951 (</w:t>
      </w:r>
      <w:r>
        <w:rPr>
          <w:rStyle w:val="default"/>
          <w:rFonts w:cs="FrankRuehl" w:hint="cs"/>
          <w:rtl/>
        </w:rPr>
        <w:t xml:space="preserve">להלן </w:t>
      </w:r>
      <w:r>
        <w:rPr>
          <w:rStyle w:val="default"/>
          <w:rFonts w:cs="FrankRuehl"/>
          <w:rtl/>
        </w:rPr>
        <w:t xml:space="preserve">— </w:t>
      </w:r>
      <w:r>
        <w:rPr>
          <w:rStyle w:val="default"/>
          <w:rFonts w:cs="FrankRuehl" w:hint="cs"/>
          <w:rtl/>
        </w:rPr>
        <w:t>החוק), אני מתקין תקנות אלה:</w:t>
      </w:r>
    </w:p>
    <w:p w14:paraId="7FE2755D" w14:textId="77777777" w:rsidR="00C32EA2" w:rsidRDefault="00C32EA2">
      <w:pPr>
        <w:pStyle w:val="P00"/>
        <w:spacing w:before="72"/>
        <w:ind w:left="0" w:right="1134"/>
        <w:rPr>
          <w:rStyle w:val="default"/>
          <w:rFonts w:cs="FrankRuehl"/>
          <w:rtl/>
        </w:rPr>
      </w:pPr>
      <w:bookmarkStart w:id="0" w:name="Seif0"/>
      <w:bookmarkEnd w:id="0"/>
      <w:r>
        <w:rPr>
          <w:lang w:val="he-IL"/>
        </w:rPr>
        <w:pict w14:anchorId="47050C39">
          <v:rect id="_x0000_s1026" style="position:absolute;left:0;text-align:left;margin-left:464.5pt;margin-top:8.05pt;width:75.05pt;height:16pt;z-index:251655680" o:allowincell="f" filled="f" stroked="f" strokecolor="lime" strokeweight=".25pt">
            <v:textbox inset="0,0,0,0">
              <w:txbxContent>
                <w:p w14:paraId="45CC4526" w14:textId="77777777" w:rsidR="00C32EA2" w:rsidRDefault="00C32EA2">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p w14:paraId="4885A6E9" w14:textId="77777777" w:rsidR="00C32EA2" w:rsidRDefault="00C32EA2">
                  <w:pPr>
                    <w:spacing w:line="160" w:lineRule="exact"/>
                    <w:jc w:val="left"/>
                    <w:rPr>
                      <w:rFonts w:cs="Miriam"/>
                      <w:noProof/>
                      <w:sz w:val="18"/>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"אות" </w:t>
      </w:r>
      <w:r>
        <w:rPr>
          <w:rStyle w:val="default"/>
          <w:rFonts w:cs="FrankRuehl"/>
          <w:rtl/>
        </w:rPr>
        <w:t xml:space="preserve">— </w:t>
      </w:r>
      <w:r>
        <w:rPr>
          <w:rStyle w:val="default"/>
          <w:rFonts w:cs="FrankRuehl" w:hint="cs"/>
          <w:rtl/>
        </w:rPr>
        <w:t>אות אזעקה או אות ארגעה, לפי הענין, שקבע ר</w:t>
      </w:r>
      <w:r>
        <w:rPr>
          <w:rStyle w:val="default"/>
          <w:rFonts w:cs="FrankRuehl"/>
          <w:rtl/>
        </w:rPr>
        <w:t>אש</w:t>
      </w:r>
      <w:r>
        <w:rPr>
          <w:rStyle w:val="default"/>
          <w:rFonts w:cs="FrankRuehl" w:hint="cs"/>
          <w:rtl/>
        </w:rPr>
        <w:t xml:space="preserve"> הג"א לפי סעיף 2(ח) לחוק.</w:t>
      </w:r>
    </w:p>
    <w:p w14:paraId="2DBD7EA0" w14:textId="77777777" w:rsidR="00C32EA2" w:rsidRDefault="00C32EA2">
      <w:pPr>
        <w:pStyle w:val="P00"/>
        <w:spacing w:before="72"/>
        <w:ind w:left="0" w:right="1134"/>
        <w:rPr>
          <w:rStyle w:val="default"/>
          <w:rFonts w:cs="FrankRuehl"/>
          <w:rtl/>
        </w:rPr>
      </w:pPr>
      <w:bookmarkStart w:id="1" w:name="Seif1"/>
      <w:bookmarkEnd w:id="1"/>
      <w:r>
        <w:rPr>
          <w:lang w:val="he-IL"/>
        </w:rPr>
        <w:pict w14:anchorId="27B2CEB6">
          <v:rect id="_x0000_s1027" style="position:absolute;left:0;text-align:left;margin-left:464.5pt;margin-top:8.05pt;width:75.05pt;height:24pt;z-index:251656704" o:allowincell="f" filled="f" stroked="f" strokecolor="lime" strokeweight=".25pt">
            <v:textbox inset="0,0,0,0">
              <w:txbxContent>
                <w:p w14:paraId="072C0673" w14:textId="77777777" w:rsidR="00C32EA2" w:rsidRDefault="00C32EA2">
                  <w:pPr>
                    <w:spacing w:line="160" w:lineRule="exact"/>
                    <w:jc w:val="left"/>
                    <w:rPr>
                      <w:rFonts w:cs="Miriam"/>
                      <w:noProof/>
                      <w:sz w:val="18"/>
                      <w:szCs w:val="18"/>
                      <w:rtl/>
                    </w:rPr>
                  </w:pPr>
                  <w:r>
                    <w:rPr>
                      <w:rFonts w:cs="Miriam"/>
                      <w:sz w:val="18"/>
                      <w:szCs w:val="18"/>
                      <w:rtl/>
                    </w:rPr>
                    <w:t>או</w:t>
                  </w:r>
                  <w:r>
                    <w:rPr>
                      <w:rFonts w:cs="Miriam" w:hint="cs"/>
                      <w:sz w:val="18"/>
                      <w:szCs w:val="18"/>
                      <w:rtl/>
                    </w:rPr>
                    <w:t>ת באמצעות</w:t>
                  </w:r>
                </w:p>
                <w:p w14:paraId="3F001E9A" w14:textId="77777777" w:rsidR="00C32EA2" w:rsidRDefault="00C32EA2">
                  <w:pPr>
                    <w:spacing w:line="160" w:lineRule="exact"/>
                    <w:jc w:val="left"/>
                    <w:rPr>
                      <w:rFonts w:cs="Miriam"/>
                      <w:noProof/>
                      <w:sz w:val="18"/>
                      <w:szCs w:val="18"/>
                      <w:rtl/>
                    </w:rPr>
                  </w:pPr>
                  <w:r>
                    <w:rPr>
                      <w:rFonts w:cs="Miriam"/>
                      <w:sz w:val="18"/>
                      <w:szCs w:val="18"/>
                      <w:rtl/>
                    </w:rPr>
                    <w:t>צו</w:t>
                  </w:r>
                  <w:r>
                    <w:rPr>
                      <w:rFonts w:cs="Miriam" w:hint="cs"/>
                      <w:sz w:val="18"/>
                      <w:szCs w:val="18"/>
                      <w:rtl/>
                    </w:rPr>
                    <w:t>פר</w:t>
                  </w:r>
                </w:p>
                <w:p w14:paraId="02A2D5F6" w14:textId="77777777" w:rsidR="00C32EA2" w:rsidRDefault="00C32EA2">
                  <w:pPr>
                    <w:spacing w:line="160" w:lineRule="exact"/>
                    <w:jc w:val="left"/>
                    <w:rPr>
                      <w:rFonts w:cs="Miriam"/>
                      <w:noProof/>
                      <w:sz w:val="18"/>
                      <w:szCs w:val="18"/>
                      <w:rtl/>
                    </w:rPr>
                  </w:pPr>
                </w:p>
              </w:txbxContent>
            </v:textbox>
            <w10:anchorlock/>
          </v:rect>
        </w:pict>
      </w:r>
      <w:r>
        <w:rPr>
          <w:rStyle w:val="big-number"/>
          <w:rFonts w:cs="Miriam"/>
          <w:rtl/>
        </w:rPr>
        <w:t>2.</w:t>
      </w:r>
      <w:r>
        <w:rPr>
          <w:rStyle w:val="big-number"/>
          <w:rFonts w:cs="Miriam"/>
          <w:rtl/>
        </w:rPr>
        <w:tab/>
      </w:r>
      <w:r>
        <w:rPr>
          <w:rStyle w:val="default"/>
          <w:rFonts w:cs="FrankRuehl"/>
          <w:rtl/>
        </w:rPr>
        <w:t>תי</w:t>
      </w:r>
      <w:r>
        <w:rPr>
          <w:rStyle w:val="default"/>
          <w:rFonts w:cs="FrankRuehl" w:hint="cs"/>
          <w:rtl/>
        </w:rPr>
        <w:t>אורו ומשמעותו של אות שניתן באמצעות צופר יובא לידיעת הציבור על ידי פרסום הודעה עליהם ברשומות בידי ראש הג"א, או על ידי פרסומם אחת לשנה לפחות, בשני עיתונים יומיים בשפה העברית ובעיתון יומי בשפה הערבית.</w:t>
      </w:r>
    </w:p>
    <w:p w14:paraId="59AF941E" w14:textId="77777777" w:rsidR="00C32EA2" w:rsidRDefault="00C32EA2">
      <w:pPr>
        <w:pStyle w:val="P00"/>
        <w:spacing w:before="72"/>
        <w:ind w:left="0" w:right="1134"/>
        <w:rPr>
          <w:rStyle w:val="default"/>
          <w:rFonts w:cs="FrankRuehl"/>
          <w:rtl/>
        </w:rPr>
      </w:pPr>
      <w:bookmarkStart w:id="2" w:name="Seif2"/>
      <w:bookmarkEnd w:id="2"/>
      <w:r>
        <w:rPr>
          <w:lang w:val="he-IL"/>
        </w:rPr>
        <w:pict w14:anchorId="11B0D417">
          <v:rect id="_x0000_s1028" style="position:absolute;left:0;text-align:left;margin-left:464.5pt;margin-top:8.05pt;width:75.05pt;height:24pt;z-index:251657728" o:allowincell="f" filled="f" stroked="f" strokecolor="lime" strokeweight=".25pt">
            <v:textbox inset="0,0,0,0">
              <w:txbxContent>
                <w:p w14:paraId="0BF93986" w14:textId="77777777" w:rsidR="00C32EA2" w:rsidRDefault="00C32EA2">
                  <w:pPr>
                    <w:spacing w:line="160" w:lineRule="exact"/>
                    <w:jc w:val="left"/>
                    <w:rPr>
                      <w:rFonts w:cs="Miriam"/>
                      <w:noProof/>
                      <w:sz w:val="18"/>
                      <w:szCs w:val="18"/>
                      <w:rtl/>
                    </w:rPr>
                  </w:pPr>
                  <w:r>
                    <w:rPr>
                      <w:rFonts w:cs="Miriam"/>
                      <w:sz w:val="18"/>
                      <w:szCs w:val="18"/>
                      <w:rtl/>
                    </w:rPr>
                    <w:t>או</w:t>
                  </w:r>
                  <w:r>
                    <w:rPr>
                      <w:rFonts w:cs="Miriam" w:hint="cs"/>
                      <w:sz w:val="18"/>
                      <w:szCs w:val="18"/>
                      <w:rtl/>
                    </w:rPr>
                    <w:t>ת הניתן</w:t>
                  </w:r>
                </w:p>
                <w:p w14:paraId="73209368" w14:textId="77777777" w:rsidR="00C32EA2" w:rsidRDefault="00C32EA2">
                  <w:pPr>
                    <w:spacing w:line="160" w:lineRule="exact"/>
                    <w:jc w:val="left"/>
                    <w:rPr>
                      <w:rFonts w:cs="Miriam"/>
                      <w:noProof/>
                      <w:sz w:val="18"/>
                      <w:szCs w:val="18"/>
                      <w:rtl/>
                    </w:rPr>
                  </w:pPr>
                  <w:r>
                    <w:rPr>
                      <w:rFonts w:cs="Miriam"/>
                      <w:sz w:val="18"/>
                      <w:szCs w:val="18"/>
                      <w:rtl/>
                    </w:rPr>
                    <w:t>בה</w:t>
                  </w:r>
                  <w:r>
                    <w:rPr>
                      <w:rFonts w:cs="Miriam" w:hint="cs"/>
                      <w:sz w:val="18"/>
                      <w:szCs w:val="18"/>
                      <w:rtl/>
                    </w:rPr>
                    <w:t>ודעה</w:t>
                  </w:r>
                </w:p>
                <w:p w14:paraId="43C3F2CB" w14:textId="77777777" w:rsidR="00C32EA2" w:rsidRDefault="00C32EA2">
                  <w:pPr>
                    <w:spacing w:line="160" w:lineRule="exact"/>
                    <w:jc w:val="left"/>
                    <w:rPr>
                      <w:rFonts w:cs="Miriam"/>
                      <w:noProof/>
                      <w:sz w:val="18"/>
                      <w:szCs w:val="18"/>
                      <w:rtl/>
                    </w:rPr>
                  </w:pPr>
                </w:p>
              </w:txbxContent>
            </v:textbox>
            <w10:anchorlock/>
          </v:rect>
        </w:pict>
      </w:r>
      <w:r>
        <w:rPr>
          <w:rStyle w:val="big-number"/>
          <w:rFonts w:cs="Miriam"/>
          <w:rtl/>
        </w:rPr>
        <w:t>3.</w:t>
      </w:r>
      <w:r>
        <w:rPr>
          <w:rStyle w:val="big-number"/>
          <w:rFonts w:cs="Miriam"/>
          <w:rtl/>
        </w:rPr>
        <w:tab/>
      </w:r>
      <w:r>
        <w:rPr>
          <w:rStyle w:val="default"/>
          <w:rFonts w:cs="FrankRuehl"/>
          <w:rtl/>
        </w:rPr>
        <w:t>תי</w:t>
      </w:r>
      <w:r>
        <w:rPr>
          <w:rStyle w:val="default"/>
          <w:rFonts w:cs="FrankRuehl" w:hint="cs"/>
          <w:rtl/>
        </w:rPr>
        <w:t>אורו ומשמעותו של א</w:t>
      </w:r>
      <w:r>
        <w:rPr>
          <w:rStyle w:val="default"/>
          <w:rFonts w:cs="FrankRuehl"/>
          <w:rtl/>
        </w:rPr>
        <w:t>ות</w:t>
      </w:r>
      <w:r>
        <w:rPr>
          <w:rStyle w:val="default"/>
          <w:rFonts w:cs="FrankRuehl" w:hint="cs"/>
          <w:rtl/>
        </w:rPr>
        <w:t xml:space="preserve"> שניתן באמצעות הודעה ברדיו או בטלוויזיה, יפורסמו ברדיו או בט</w:t>
      </w:r>
      <w:r>
        <w:rPr>
          <w:rStyle w:val="default"/>
          <w:rFonts w:cs="FrankRuehl"/>
          <w:rtl/>
        </w:rPr>
        <w:t>ל</w:t>
      </w:r>
      <w:r>
        <w:rPr>
          <w:rStyle w:val="default"/>
          <w:rFonts w:cs="FrankRuehl" w:hint="cs"/>
          <w:rtl/>
        </w:rPr>
        <w:t>וויזיה, לפי הענין; הודעות אלה יינתנו בעברית, בערבית ובשפות אחרות הרווחות בציבור אשר יקבע, לענין זה, ראש הג"א.</w:t>
      </w:r>
    </w:p>
    <w:p w14:paraId="3FD2347D" w14:textId="77777777" w:rsidR="00C32EA2" w:rsidRDefault="00C32EA2">
      <w:pPr>
        <w:pStyle w:val="P00"/>
        <w:spacing w:before="72"/>
        <w:ind w:left="0" w:right="1134"/>
        <w:rPr>
          <w:rStyle w:val="default"/>
          <w:rFonts w:cs="FrankRuehl"/>
          <w:rtl/>
        </w:rPr>
      </w:pPr>
      <w:bookmarkStart w:id="3" w:name="Seif3"/>
      <w:bookmarkEnd w:id="3"/>
      <w:r>
        <w:rPr>
          <w:lang w:val="he-IL"/>
        </w:rPr>
        <w:pict w14:anchorId="47C54422">
          <v:rect id="_x0000_s1029" style="position:absolute;left:0;text-align:left;margin-left:464.5pt;margin-top:8.05pt;width:75.05pt;height:24pt;z-index:251658752" o:allowincell="f" filled="f" stroked="f" strokecolor="lime" strokeweight=".25pt">
            <v:textbox inset="0,0,0,0">
              <w:txbxContent>
                <w:p w14:paraId="531AD979" w14:textId="77777777" w:rsidR="00C32EA2" w:rsidRDefault="00C32EA2">
                  <w:pPr>
                    <w:spacing w:line="160" w:lineRule="exact"/>
                    <w:jc w:val="left"/>
                    <w:rPr>
                      <w:rFonts w:cs="Miriam"/>
                      <w:noProof/>
                      <w:sz w:val="18"/>
                      <w:szCs w:val="18"/>
                      <w:rtl/>
                    </w:rPr>
                  </w:pPr>
                  <w:r>
                    <w:rPr>
                      <w:rFonts w:cs="Miriam"/>
                      <w:sz w:val="18"/>
                      <w:szCs w:val="18"/>
                      <w:rtl/>
                    </w:rPr>
                    <w:t>הג</w:t>
                  </w:r>
                  <w:r>
                    <w:rPr>
                      <w:rFonts w:cs="Miriam" w:hint="cs"/>
                      <w:sz w:val="18"/>
                      <w:szCs w:val="18"/>
                      <w:rtl/>
                    </w:rPr>
                    <w:t>בלות השימוש</w:t>
                  </w:r>
                </w:p>
                <w:p w14:paraId="4815DAD6" w14:textId="77777777" w:rsidR="00C32EA2" w:rsidRDefault="00C32EA2">
                  <w:pPr>
                    <w:spacing w:line="160" w:lineRule="exact"/>
                    <w:jc w:val="left"/>
                    <w:rPr>
                      <w:rFonts w:cs="Miriam"/>
                      <w:noProof/>
                      <w:sz w:val="18"/>
                      <w:szCs w:val="18"/>
                      <w:rtl/>
                    </w:rPr>
                  </w:pPr>
                  <w:r>
                    <w:rPr>
                      <w:rFonts w:cs="Miriam"/>
                      <w:sz w:val="18"/>
                      <w:szCs w:val="18"/>
                      <w:rtl/>
                    </w:rPr>
                    <w:t>בא</w:t>
                  </w:r>
                  <w:r>
                    <w:rPr>
                      <w:rFonts w:cs="Miriam" w:hint="cs"/>
                      <w:sz w:val="18"/>
                      <w:szCs w:val="18"/>
                      <w:rtl/>
                    </w:rPr>
                    <w:t>ותות</w:t>
                  </w:r>
                </w:p>
                <w:p w14:paraId="09792275" w14:textId="77777777" w:rsidR="00C32EA2" w:rsidRDefault="00C32EA2">
                  <w:pPr>
                    <w:spacing w:line="160" w:lineRule="exact"/>
                    <w:jc w:val="left"/>
                    <w:rPr>
                      <w:rFonts w:cs="Miriam"/>
                      <w:noProof/>
                      <w:sz w:val="18"/>
                      <w:szCs w:val="18"/>
                      <w:rtl/>
                    </w:rPr>
                  </w:pP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יושמע אות שתקנה 2 או 3 חלה עליו אלא לפי הוראת ראש הג"א או מי שהוא הסמיכו לכך</w:t>
      </w:r>
      <w:r>
        <w:rPr>
          <w:rStyle w:val="default"/>
          <w:rFonts w:cs="FrankRuehl"/>
          <w:rtl/>
        </w:rPr>
        <w:t>, א</w:t>
      </w:r>
      <w:r>
        <w:rPr>
          <w:rStyle w:val="default"/>
          <w:rFonts w:cs="FrankRuehl" w:hint="cs"/>
          <w:rtl/>
        </w:rPr>
        <w:t>ו על פי היתר, בכתב, שהוא נתן.</w:t>
      </w:r>
    </w:p>
    <w:p w14:paraId="7E348755" w14:textId="77777777" w:rsidR="00C32EA2" w:rsidRDefault="00C32EA2">
      <w:pPr>
        <w:pStyle w:val="P00"/>
        <w:spacing w:before="72"/>
        <w:ind w:left="0" w:right="1134"/>
        <w:rPr>
          <w:rStyle w:val="default"/>
          <w:rFonts w:cs="FrankRuehl"/>
          <w:rtl/>
        </w:rPr>
      </w:pPr>
      <w:bookmarkStart w:id="4" w:name="Seif4"/>
      <w:bookmarkEnd w:id="4"/>
      <w:r>
        <w:rPr>
          <w:lang w:val="he-IL"/>
        </w:rPr>
        <w:pict w14:anchorId="75D394A8">
          <v:rect id="_x0000_s1030" style="position:absolute;left:0;text-align:left;margin-left:464.5pt;margin-top:8.05pt;width:75.05pt;height:16pt;z-index:251659776" o:allowincell="f" filled="f" stroked="f" strokecolor="lime" strokeweight=".25pt">
            <v:textbox inset="0,0,0,0">
              <w:txbxContent>
                <w:p w14:paraId="2BCFAAC2" w14:textId="77777777" w:rsidR="00C32EA2" w:rsidRDefault="00C32EA2">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p w14:paraId="58D694B0" w14:textId="77777777" w:rsidR="00C32EA2" w:rsidRDefault="00C32EA2">
                  <w:pPr>
                    <w:spacing w:line="160" w:lineRule="exact"/>
                    <w:jc w:val="left"/>
                    <w:rPr>
                      <w:rFonts w:cs="Miriam"/>
                      <w:noProof/>
                      <w:sz w:val="18"/>
                      <w:szCs w:val="18"/>
                      <w:rtl/>
                    </w:rPr>
                  </w:pPr>
                </w:p>
              </w:txbxContent>
            </v:textbox>
            <w10:anchorlock/>
          </v:rect>
        </w:pict>
      </w:r>
      <w:r>
        <w:rPr>
          <w:rStyle w:val="big-number"/>
          <w:rFonts w:cs="Miriam"/>
          <w:rtl/>
        </w:rPr>
        <w:t>5.</w:t>
      </w:r>
      <w:r>
        <w:rPr>
          <w:rStyle w:val="big-number"/>
          <w:rFonts w:cs="Miriam"/>
          <w:rtl/>
        </w:rPr>
        <w:tab/>
      </w:r>
      <w:r>
        <w:rPr>
          <w:rStyle w:val="default"/>
          <w:rFonts w:cs="FrankRuehl"/>
          <w:rtl/>
        </w:rPr>
        <w:t>תק</w:t>
      </w:r>
      <w:r>
        <w:rPr>
          <w:rStyle w:val="default"/>
          <w:rFonts w:cs="FrankRuehl" w:hint="cs"/>
          <w:rtl/>
        </w:rPr>
        <w:t>נות ההתגוננות האזרחית (הגבלת השימוש באותות אזעקה</w:t>
      </w:r>
      <w:r>
        <w:rPr>
          <w:rFonts w:cs="FrankRuehl"/>
          <w:sz w:val="26"/>
          <w:rtl/>
        </w:rPr>
        <w:t> </w:t>
      </w:r>
      <w:r>
        <w:rPr>
          <w:rStyle w:val="default"/>
          <w:rFonts w:cs="FrankRuehl"/>
          <w:rtl/>
        </w:rPr>
        <w:t xml:space="preserve"> ו</w:t>
      </w:r>
      <w:r>
        <w:rPr>
          <w:rStyle w:val="default"/>
          <w:rFonts w:cs="FrankRuehl" w:hint="cs"/>
          <w:rtl/>
        </w:rPr>
        <w:t>ארגעה), תשל"ה</w:t>
      </w:r>
      <w:r>
        <w:rPr>
          <w:rStyle w:val="default"/>
          <w:rFonts w:cs="FrankRuehl"/>
          <w:rtl/>
        </w:rPr>
        <w:t xml:space="preserve">–1975 — </w:t>
      </w:r>
      <w:r>
        <w:rPr>
          <w:rStyle w:val="default"/>
          <w:rFonts w:cs="FrankRuehl" w:hint="cs"/>
          <w:rtl/>
        </w:rPr>
        <w:t>בטלות.</w:t>
      </w:r>
    </w:p>
    <w:p w14:paraId="4038C59C" w14:textId="77777777" w:rsidR="00C32EA2" w:rsidRDefault="00C32EA2">
      <w:pPr>
        <w:pStyle w:val="P00"/>
        <w:spacing w:before="72"/>
        <w:ind w:left="0" w:right="1134"/>
        <w:rPr>
          <w:rStyle w:val="default"/>
          <w:rFonts w:cs="FrankRuehl"/>
          <w:rtl/>
        </w:rPr>
      </w:pPr>
    </w:p>
    <w:p w14:paraId="5D01C3B8" w14:textId="77777777" w:rsidR="00C32EA2" w:rsidRDefault="00C32EA2">
      <w:pPr>
        <w:pStyle w:val="sig-0"/>
        <w:ind w:left="0" w:right="1134"/>
        <w:rPr>
          <w:rFonts w:cs="FrankRuehl"/>
          <w:sz w:val="26"/>
          <w:rtl/>
        </w:rPr>
      </w:pPr>
      <w:r>
        <w:rPr>
          <w:rFonts w:cs="FrankRuehl"/>
          <w:sz w:val="26"/>
          <w:rtl/>
        </w:rPr>
        <w:t>כ"</w:t>
      </w:r>
      <w:r>
        <w:rPr>
          <w:rFonts w:cs="FrankRuehl" w:hint="cs"/>
          <w:sz w:val="26"/>
          <w:rtl/>
        </w:rPr>
        <w:t>א באדר ב' תשנ"ב (26 במרס 1992)</w:t>
      </w:r>
      <w:r>
        <w:rPr>
          <w:rFonts w:cs="FrankRuehl"/>
          <w:sz w:val="26"/>
          <w:rtl/>
        </w:rPr>
        <w:tab/>
        <w:t>מ</w:t>
      </w:r>
      <w:r>
        <w:rPr>
          <w:rFonts w:cs="FrankRuehl" w:hint="cs"/>
          <w:sz w:val="26"/>
          <w:rtl/>
        </w:rPr>
        <w:t>שה ארנס</w:t>
      </w:r>
    </w:p>
    <w:p w14:paraId="27BE3FB7" w14:textId="77777777" w:rsidR="00C32EA2" w:rsidRDefault="00C32EA2">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הבטחון</w:t>
      </w:r>
    </w:p>
    <w:p w14:paraId="489F091A" w14:textId="77777777" w:rsidR="00246796" w:rsidRDefault="00246796" w:rsidP="00246796">
      <w:pPr>
        <w:pStyle w:val="P00"/>
        <w:spacing w:before="72"/>
        <w:ind w:left="0" w:right="1134"/>
        <w:rPr>
          <w:rFonts w:cs="FrankRuehl"/>
          <w:sz w:val="26"/>
          <w:rtl/>
        </w:rPr>
      </w:pPr>
      <w:r>
        <w:rPr>
          <w:rFonts w:cs="FrankRuehl"/>
          <w:sz w:val="26"/>
          <w:rtl/>
        </w:rPr>
        <w:t>------------</w:t>
      </w:r>
    </w:p>
    <w:p w14:paraId="182CF813" w14:textId="77777777" w:rsidR="00246796" w:rsidRDefault="00246796" w:rsidP="002467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 xml:space="preserve"> (34)</w:t>
      </w:r>
      <w:r>
        <w:rPr>
          <w:rFonts w:cs="FrankRuehl"/>
          <w:rtl/>
        </w:rPr>
        <w:t> </w:t>
      </w:r>
      <w:r>
        <w:rPr>
          <w:rFonts w:cs="FrankRuehl"/>
          <w:rtl/>
        </w:rPr>
        <w:t>פו</w:t>
      </w:r>
      <w:r>
        <w:rPr>
          <w:rFonts w:cs="FrankRuehl" w:hint="cs"/>
          <w:rtl/>
        </w:rPr>
        <w:t xml:space="preserve">רסמו </w:t>
      </w:r>
      <w:hyperlink r:id="rId6" w:history="1">
        <w:r w:rsidRPr="00246796">
          <w:rPr>
            <w:rStyle w:val="Hyperlink"/>
            <w:rFonts w:cs="FrankRuehl" w:hint="cs"/>
            <w:rtl/>
          </w:rPr>
          <w:t>ק"ת תשנ"ב מס' 5437</w:t>
        </w:r>
      </w:hyperlink>
      <w:r>
        <w:rPr>
          <w:rFonts w:cs="FrankRuehl" w:hint="cs"/>
          <w:rtl/>
        </w:rPr>
        <w:t xml:space="preserve"> מיום 30.4.1992 עמ' 992.</w:t>
      </w:r>
    </w:p>
    <w:p w14:paraId="1035AB46" w14:textId="77777777" w:rsidR="00246796" w:rsidRDefault="00246796">
      <w:pPr>
        <w:pStyle w:val="sig-1"/>
        <w:widowControl/>
        <w:ind w:left="0" w:right="1134"/>
        <w:rPr>
          <w:rFonts w:cs="FrankRuehl" w:hint="cs"/>
          <w:sz w:val="22"/>
          <w:rtl/>
        </w:rPr>
      </w:pPr>
    </w:p>
    <w:p w14:paraId="75F86302" w14:textId="77777777" w:rsidR="00C32EA2" w:rsidRDefault="00C32EA2">
      <w:pPr>
        <w:ind w:right="1134"/>
        <w:rPr>
          <w:rFonts w:cs="David"/>
          <w:sz w:val="24"/>
          <w:rtl/>
        </w:rPr>
      </w:pPr>
      <w:bookmarkStart w:id="5" w:name="LawPartEnd"/>
    </w:p>
    <w:bookmarkEnd w:id="5"/>
    <w:p w14:paraId="54FB47F9" w14:textId="77777777" w:rsidR="00C32EA2" w:rsidRDefault="00C32EA2">
      <w:pPr>
        <w:ind w:right="1134"/>
        <w:rPr>
          <w:rFonts w:cs="David"/>
          <w:sz w:val="24"/>
          <w:rtl/>
        </w:rPr>
      </w:pPr>
    </w:p>
    <w:sectPr w:rsidR="00C32EA2">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DA443" w14:textId="77777777" w:rsidR="00F55790" w:rsidRDefault="00F55790">
      <w:r>
        <w:separator/>
      </w:r>
    </w:p>
  </w:endnote>
  <w:endnote w:type="continuationSeparator" w:id="0">
    <w:p w14:paraId="29C1DE6C" w14:textId="77777777" w:rsidR="00F55790" w:rsidRDefault="00F5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DE79" w14:textId="77777777" w:rsidR="00C32EA2" w:rsidRDefault="00C32E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388EC3" w14:textId="77777777" w:rsidR="00C32EA2" w:rsidRDefault="00C32E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C9C1A1" w14:textId="77777777" w:rsidR="00C32EA2" w:rsidRDefault="00C32E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3114" w14:textId="77777777" w:rsidR="00C32EA2" w:rsidRDefault="00C32E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003D9">
      <w:rPr>
        <w:rFonts w:hAnsi="FrankRuehl" w:cs="FrankRuehl"/>
        <w:noProof/>
        <w:sz w:val="24"/>
        <w:szCs w:val="24"/>
        <w:rtl/>
      </w:rPr>
      <w:t>2</w:t>
    </w:r>
    <w:r>
      <w:rPr>
        <w:rFonts w:hAnsi="FrankRuehl" w:cs="FrankRuehl"/>
        <w:sz w:val="24"/>
        <w:szCs w:val="24"/>
        <w:rtl/>
      </w:rPr>
      <w:fldChar w:fldCharType="end"/>
    </w:r>
  </w:p>
  <w:p w14:paraId="6293CA85" w14:textId="77777777" w:rsidR="00C32EA2" w:rsidRDefault="00C32E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CD2CA0" w14:textId="77777777" w:rsidR="00C32EA2" w:rsidRDefault="00C32E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M:\0a-lishca\law\gideon-03-02-13\law01\125_032.doc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9488" w14:textId="77777777" w:rsidR="00C32EA2" w:rsidRDefault="00C32EA2">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AD5BC" w14:textId="77777777" w:rsidR="00F55790" w:rsidRDefault="00F55790">
      <w:r>
        <w:separator/>
      </w:r>
    </w:p>
  </w:footnote>
  <w:footnote w:type="continuationSeparator" w:id="0">
    <w:p w14:paraId="3FC7731C" w14:textId="77777777" w:rsidR="00F55790" w:rsidRDefault="00F55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AB5B" w14:textId="77777777" w:rsidR="00C32EA2" w:rsidRDefault="00C32E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(אותות אזעקה וארגעה), תשנ"ב–1992</w:t>
    </w:r>
  </w:p>
  <w:p w14:paraId="765B9C7E" w14:textId="77777777" w:rsidR="00C32EA2" w:rsidRDefault="00C32E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38F9731" w14:textId="77777777" w:rsidR="00C32EA2" w:rsidRDefault="00C32EA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3875" w14:textId="77777777" w:rsidR="00C32EA2" w:rsidRDefault="00C32E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(אותות אזעקה וארגעה), תשנ"ב–1992</w:t>
    </w:r>
  </w:p>
  <w:p w14:paraId="2E2BAE35" w14:textId="77777777" w:rsidR="00C32EA2" w:rsidRDefault="00C32E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C6E897" w14:textId="77777777" w:rsidR="00C32EA2" w:rsidRDefault="00C32EA2">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D4AD" w14:textId="77777777" w:rsidR="00C32EA2" w:rsidRDefault="00C32EA2">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6796"/>
    <w:rsid w:val="00246796"/>
    <w:rsid w:val="00387F04"/>
    <w:rsid w:val="005003D9"/>
    <w:rsid w:val="005F47F4"/>
    <w:rsid w:val="00C32EA2"/>
    <w:rsid w:val="00F557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77B7DA2"/>
  <w15:chartTrackingRefBased/>
  <w15:docId w15:val="{2A9301E2-1471-4194-9292-729F2D22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437.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125</vt:lpstr>
    </vt:vector>
  </TitlesOfParts>
  <Company/>
  <LinksUpToDate>false</LinksUpToDate>
  <CharactersWithSpaces>1604</CharactersWithSpaces>
  <SharedDoc>false</SharedDoc>
  <HLinks>
    <vt:vector size="36" baseType="variant">
      <vt:variant>
        <vt:i4>8323083</vt:i4>
      </vt:variant>
      <vt:variant>
        <vt:i4>30</vt:i4>
      </vt:variant>
      <vt:variant>
        <vt:i4>0</vt:i4>
      </vt:variant>
      <vt:variant>
        <vt:i4>5</vt:i4>
      </vt:variant>
      <vt:variant>
        <vt:lpwstr>http://www.nevo.co.il/Law_word/law06/TAK-5437.pdf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125</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(אותות אזעקה וארגעה), תשנ"ב–1992</vt:lpwstr>
  </property>
  <property fmtid="{D5CDD505-2E9C-101B-9397-08002B2CF9AE}" pid="5" name="LAWNUMBER">
    <vt:lpwstr>0032</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27XגX10X</vt:lpwstr>
  </property>
</Properties>
</file>