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F2C5" w14:textId="77777777" w:rsidR="00906E9E" w:rsidRDefault="00906E9E">
      <w:pPr>
        <w:pStyle w:val="big-header"/>
        <w:ind w:left="0" w:right="1134"/>
        <w:rPr>
          <w:rFonts w:cs="FrankRuehl" w:hint="cs"/>
          <w:sz w:val="32"/>
          <w:rtl/>
        </w:rPr>
      </w:pPr>
      <w:r>
        <w:rPr>
          <w:rFonts w:cs="FrankRuehl"/>
          <w:sz w:val="32"/>
          <w:rtl/>
        </w:rPr>
        <w:t xml:space="preserve">תקנות ההתגוננות האזרחית (הגשת תלונה וסדרי הדין בדין משמעתי), </w:t>
      </w:r>
      <w:r w:rsidR="007C484D">
        <w:rPr>
          <w:rFonts w:cs="FrankRuehl" w:hint="cs"/>
          <w:sz w:val="32"/>
          <w:rtl/>
        </w:rPr>
        <w:br/>
      </w:r>
      <w:r w:rsidR="007C484D">
        <w:rPr>
          <w:rFonts w:cs="FrankRuehl"/>
          <w:sz w:val="32"/>
          <w:rtl/>
        </w:rPr>
        <w:t>תשל"א</w:t>
      </w:r>
      <w:r w:rsidR="007C484D">
        <w:rPr>
          <w:rFonts w:cs="FrankRuehl" w:hint="cs"/>
          <w:sz w:val="32"/>
          <w:rtl/>
        </w:rPr>
        <w:t>-</w:t>
      </w:r>
      <w:r>
        <w:rPr>
          <w:rFonts w:cs="FrankRuehl"/>
          <w:sz w:val="32"/>
          <w:rtl/>
        </w:rPr>
        <w:t>1971</w:t>
      </w:r>
    </w:p>
    <w:p w14:paraId="647E3C5E" w14:textId="77777777" w:rsidR="00406133" w:rsidRPr="00406133" w:rsidRDefault="00406133" w:rsidP="00406133">
      <w:pPr>
        <w:spacing w:line="320" w:lineRule="auto"/>
        <w:jc w:val="left"/>
        <w:rPr>
          <w:rFonts w:cs="FrankRuehl"/>
          <w:szCs w:val="26"/>
          <w:rtl/>
        </w:rPr>
      </w:pPr>
    </w:p>
    <w:p w14:paraId="59DEC2F4" w14:textId="77777777" w:rsidR="00406133" w:rsidRDefault="00406133" w:rsidP="00406133">
      <w:pPr>
        <w:spacing w:line="320" w:lineRule="auto"/>
        <w:jc w:val="left"/>
        <w:rPr>
          <w:rFonts w:cs="Miriam"/>
          <w:szCs w:val="22"/>
          <w:rtl/>
        </w:rPr>
      </w:pPr>
      <w:r w:rsidRPr="00406133">
        <w:rPr>
          <w:rFonts w:cs="Miriam"/>
          <w:szCs w:val="22"/>
          <w:rtl/>
        </w:rPr>
        <w:t>בטחון</w:t>
      </w:r>
      <w:r w:rsidRPr="00406133">
        <w:rPr>
          <w:rFonts w:cs="FrankRuehl"/>
          <w:szCs w:val="26"/>
          <w:rtl/>
        </w:rPr>
        <w:t xml:space="preserve"> – התגוננות אזרחית</w:t>
      </w:r>
    </w:p>
    <w:p w14:paraId="51E9FE8E" w14:textId="77777777" w:rsidR="00406133" w:rsidRPr="00406133" w:rsidRDefault="00406133" w:rsidP="00406133">
      <w:pPr>
        <w:spacing w:line="320" w:lineRule="auto"/>
        <w:jc w:val="left"/>
        <w:rPr>
          <w:rFonts w:cs="Miriam" w:hint="cs"/>
          <w:szCs w:val="22"/>
          <w:rtl/>
        </w:rPr>
      </w:pPr>
      <w:r w:rsidRPr="00406133">
        <w:rPr>
          <w:rFonts w:cs="Miriam"/>
          <w:szCs w:val="22"/>
          <w:rtl/>
        </w:rPr>
        <w:t>בתי משפט וסדרי דין</w:t>
      </w:r>
      <w:r w:rsidRPr="00406133">
        <w:rPr>
          <w:rFonts w:cs="FrankRuehl"/>
          <w:szCs w:val="26"/>
          <w:rtl/>
        </w:rPr>
        <w:t xml:space="preserve"> – בתי משפט ובתי דין – בתי דין משמעתיים</w:t>
      </w:r>
    </w:p>
    <w:p w14:paraId="18D7675A" w14:textId="77777777" w:rsidR="00906E9E" w:rsidRDefault="00906E9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06E9E" w14:paraId="3D6A7E29" w14:textId="77777777">
        <w:tblPrEx>
          <w:tblCellMar>
            <w:top w:w="0" w:type="dxa"/>
            <w:bottom w:w="0" w:type="dxa"/>
          </w:tblCellMar>
        </w:tblPrEx>
        <w:tc>
          <w:tcPr>
            <w:tcW w:w="850" w:type="dxa"/>
          </w:tcPr>
          <w:p w14:paraId="1AA4B267"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3B5CD091" w14:textId="77777777" w:rsidR="00906E9E" w:rsidRDefault="00906E9E">
            <w:pPr>
              <w:spacing w:line="240" w:lineRule="auto"/>
              <w:rPr>
                <w:sz w:val="24"/>
              </w:rPr>
            </w:pPr>
            <w:hyperlink w:anchor="Seif0" w:tooltip="הגדרות" w:history="1">
              <w:r>
                <w:rPr>
                  <w:rStyle w:val="Hyperlink"/>
                </w:rPr>
                <w:t>Go</w:t>
              </w:r>
            </w:hyperlink>
          </w:p>
        </w:tc>
        <w:tc>
          <w:tcPr>
            <w:tcW w:w="5669" w:type="dxa"/>
          </w:tcPr>
          <w:p w14:paraId="72BA1886" w14:textId="77777777" w:rsidR="00906E9E" w:rsidRDefault="00906E9E">
            <w:pPr>
              <w:spacing w:line="240" w:lineRule="auto"/>
              <w:rPr>
                <w:sz w:val="24"/>
                <w:rtl/>
              </w:rPr>
            </w:pPr>
            <w:r>
              <w:rPr>
                <w:sz w:val="24"/>
                <w:rtl/>
              </w:rPr>
              <w:t>הגדרות</w:t>
            </w:r>
          </w:p>
        </w:tc>
        <w:tc>
          <w:tcPr>
            <w:tcW w:w="1247" w:type="dxa"/>
          </w:tcPr>
          <w:p w14:paraId="684BC251" w14:textId="77777777" w:rsidR="00906E9E" w:rsidRDefault="00906E9E">
            <w:pPr>
              <w:spacing w:line="240" w:lineRule="auto"/>
              <w:rPr>
                <w:sz w:val="24"/>
              </w:rPr>
            </w:pPr>
            <w:r>
              <w:rPr>
                <w:sz w:val="24"/>
                <w:rtl/>
              </w:rPr>
              <w:t xml:space="preserve">סעיף 1 </w:t>
            </w:r>
          </w:p>
        </w:tc>
      </w:tr>
      <w:tr w:rsidR="00906E9E" w14:paraId="417A5A5A" w14:textId="77777777">
        <w:tblPrEx>
          <w:tblCellMar>
            <w:top w:w="0" w:type="dxa"/>
            <w:bottom w:w="0" w:type="dxa"/>
          </w:tblCellMar>
        </w:tblPrEx>
        <w:tc>
          <w:tcPr>
            <w:tcW w:w="850" w:type="dxa"/>
          </w:tcPr>
          <w:p w14:paraId="3976B17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19837335" w14:textId="77777777" w:rsidR="00906E9E" w:rsidRDefault="00906E9E">
            <w:pPr>
              <w:spacing w:line="240" w:lineRule="auto"/>
              <w:rPr>
                <w:sz w:val="24"/>
              </w:rPr>
            </w:pPr>
            <w:hyperlink w:anchor="Seif1" w:tooltip="המוסמכים להגיש תלונה" w:history="1">
              <w:r>
                <w:rPr>
                  <w:rStyle w:val="Hyperlink"/>
                </w:rPr>
                <w:t>Go</w:t>
              </w:r>
            </w:hyperlink>
          </w:p>
        </w:tc>
        <w:tc>
          <w:tcPr>
            <w:tcW w:w="5669" w:type="dxa"/>
          </w:tcPr>
          <w:p w14:paraId="62E78295" w14:textId="77777777" w:rsidR="00906E9E" w:rsidRDefault="00906E9E">
            <w:pPr>
              <w:spacing w:line="240" w:lineRule="auto"/>
              <w:rPr>
                <w:sz w:val="24"/>
                <w:rtl/>
              </w:rPr>
            </w:pPr>
            <w:r>
              <w:rPr>
                <w:sz w:val="24"/>
                <w:rtl/>
              </w:rPr>
              <w:t>המוסמכים להגיש תלונה</w:t>
            </w:r>
          </w:p>
        </w:tc>
        <w:tc>
          <w:tcPr>
            <w:tcW w:w="1247" w:type="dxa"/>
          </w:tcPr>
          <w:p w14:paraId="66896F29" w14:textId="77777777" w:rsidR="00906E9E" w:rsidRDefault="00906E9E">
            <w:pPr>
              <w:spacing w:line="240" w:lineRule="auto"/>
              <w:rPr>
                <w:sz w:val="24"/>
              </w:rPr>
            </w:pPr>
            <w:r>
              <w:rPr>
                <w:sz w:val="24"/>
                <w:rtl/>
              </w:rPr>
              <w:t xml:space="preserve">סעיף 2 </w:t>
            </w:r>
          </w:p>
        </w:tc>
      </w:tr>
      <w:tr w:rsidR="00906E9E" w14:paraId="1F57BE4B" w14:textId="77777777">
        <w:tblPrEx>
          <w:tblCellMar>
            <w:top w:w="0" w:type="dxa"/>
            <w:bottom w:w="0" w:type="dxa"/>
          </w:tblCellMar>
        </w:tblPrEx>
        <w:tc>
          <w:tcPr>
            <w:tcW w:w="850" w:type="dxa"/>
          </w:tcPr>
          <w:p w14:paraId="0DE8FC1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3E1C16E9" w14:textId="77777777" w:rsidR="00906E9E" w:rsidRDefault="00906E9E">
            <w:pPr>
              <w:spacing w:line="240" w:lineRule="auto"/>
              <w:rPr>
                <w:sz w:val="24"/>
              </w:rPr>
            </w:pPr>
            <w:hyperlink w:anchor="Seif2" w:tooltip="טופס התלונה" w:history="1">
              <w:r>
                <w:rPr>
                  <w:rStyle w:val="Hyperlink"/>
                </w:rPr>
                <w:t>Go</w:t>
              </w:r>
            </w:hyperlink>
          </w:p>
        </w:tc>
        <w:tc>
          <w:tcPr>
            <w:tcW w:w="5669" w:type="dxa"/>
          </w:tcPr>
          <w:p w14:paraId="56A7BB97" w14:textId="77777777" w:rsidR="00906E9E" w:rsidRDefault="00906E9E">
            <w:pPr>
              <w:spacing w:line="240" w:lineRule="auto"/>
              <w:rPr>
                <w:sz w:val="24"/>
                <w:rtl/>
              </w:rPr>
            </w:pPr>
            <w:r>
              <w:rPr>
                <w:sz w:val="24"/>
                <w:rtl/>
              </w:rPr>
              <w:t>טופס התלונה</w:t>
            </w:r>
          </w:p>
        </w:tc>
        <w:tc>
          <w:tcPr>
            <w:tcW w:w="1247" w:type="dxa"/>
          </w:tcPr>
          <w:p w14:paraId="7BD46C9D" w14:textId="77777777" w:rsidR="00906E9E" w:rsidRDefault="00906E9E">
            <w:pPr>
              <w:spacing w:line="240" w:lineRule="auto"/>
              <w:rPr>
                <w:sz w:val="24"/>
              </w:rPr>
            </w:pPr>
            <w:r>
              <w:rPr>
                <w:sz w:val="24"/>
                <w:rtl/>
              </w:rPr>
              <w:t xml:space="preserve">סעיף 3 </w:t>
            </w:r>
          </w:p>
        </w:tc>
      </w:tr>
      <w:tr w:rsidR="00906E9E" w14:paraId="61B61805" w14:textId="77777777">
        <w:tblPrEx>
          <w:tblCellMar>
            <w:top w:w="0" w:type="dxa"/>
            <w:bottom w:w="0" w:type="dxa"/>
          </w:tblCellMar>
        </w:tblPrEx>
        <w:tc>
          <w:tcPr>
            <w:tcW w:w="850" w:type="dxa"/>
          </w:tcPr>
          <w:p w14:paraId="042C1572"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2A3F73DB" w14:textId="77777777" w:rsidR="00906E9E" w:rsidRDefault="00906E9E">
            <w:pPr>
              <w:spacing w:line="240" w:lineRule="auto"/>
              <w:rPr>
                <w:sz w:val="24"/>
              </w:rPr>
            </w:pPr>
            <w:hyperlink w:anchor="Seif3" w:tooltip="הגשת תלונה" w:history="1">
              <w:r>
                <w:rPr>
                  <w:rStyle w:val="Hyperlink"/>
                </w:rPr>
                <w:t>Go</w:t>
              </w:r>
            </w:hyperlink>
          </w:p>
        </w:tc>
        <w:tc>
          <w:tcPr>
            <w:tcW w:w="5669" w:type="dxa"/>
          </w:tcPr>
          <w:p w14:paraId="5F4C704C" w14:textId="77777777" w:rsidR="00906E9E" w:rsidRDefault="00906E9E">
            <w:pPr>
              <w:spacing w:line="240" w:lineRule="auto"/>
              <w:rPr>
                <w:sz w:val="24"/>
                <w:rtl/>
              </w:rPr>
            </w:pPr>
            <w:r>
              <w:rPr>
                <w:sz w:val="24"/>
                <w:rtl/>
              </w:rPr>
              <w:t>הגשת תלונה</w:t>
            </w:r>
          </w:p>
        </w:tc>
        <w:tc>
          <w:tcPr>
            <w:tcW w:w="1247" w:type="dxa"/>
          </w:tcPr>
          <w:p w14:paraId="127D085A" w14:textId="77777777" w:rsidR="00906E9E" w:rsidRDefault="00906E9E">
            <w:pPr>
              <w:spacing w:line="240" w:lineRule="auto"/>
              <w:rPr>
                <w:sz w:val="24"/>
              </w:rPr>
            </w:pPr>
            <w:r>
              <w:rPr>
                <w:sz w:val="24"/>
                <w:rtl/>
              </w:rPr>
              <w:t xml:space="preserve">סעיף 4 </w:t>
            </w:r>
          </w:p>
        </w:tc>
      </w:tr>
      <w:tr w:rsidR="00906E9E" w14:paraId="15CC2001" w14:textId="77777777">
        <w:tblPrEx>
          <w:tblCellMar>
            <w:top w:w="0" w:type="dxa"/>
            <w:bottom w:w="0" w:type="dxa"/>
          </w:tblCellMar>
        </w:tblPrEx>
        <w:tc>
          <w:tcPr>
            <w:tcW w:w="850" w:type="dxa"/>
          </w:tcPr>
          <w:p w14:paraId="21C461EB"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05ED2FA5" w14:textId="77777777" w:rsidR="00906E9E" w:rsidRDefault="00906E9E">
            <w:pPr>
              <w:spacing w:line="240" w:lineRule="auto"/>
              <w:rPr>
                <w:sz w:val="24"/>
              </w:rPr>
            </w:pPr>
            <w:hyperlink w:anchor="Seif4" w:tooltip="תלונה נפרדת" w:history="1">
              <w:r>
                <w:rPr>
                  <w:rStyle w:val="Hyperlink"/>
                </w:rPr>
                <w:t>Go</w:t>
              </w:r>
            </w:hyperlink>
          </w:p>
        </w:tc>
        <w:tc>
          <w:tcPr>
            <w:tcW w:w="5669" w:type="dxa"/>
          </w:tcPr>
          <w:p w14:paraId="7749740D" w14:textId="77777777" w:rsidR="00906E9E" w:rsidRDefault="00906E9E">
            <w:pPr>
              <w:spacing w:line="240" w:lineRule="auto"/>
              <w:rPr>
                <w:sz w:val="24"/>
                <w:rtl/>
              </w:rPr>
            </w:pPr>
            <w:r>
              <w:rPr>
                <w:sz w:val="24"/>
                <w:rtl/>
              </w:rPr>
              <w:t>תלונה נפרדת</w:t>
            </w:r>
          </w:p>
        </w:tc>
        <w:tc>
          <w:tcPr>
            <w:tcW w:w="1247" w:type="dxa"/>
          </w:tcPr>
          <w:p w14:paraId="57F60FE1" w14:textId="77777777" w:rsidR="00906E9E" w:rsidRDefault="00906E9E">
            <w:pPr>
              <w:spacing w:line="240" w:lineRule="auto"/>
              <w:rPr>
                <w:sz w:val="24"/>
              </w:rPr>
            </w:pPr>
            <w:r>
              <w:rPr>
                <w:sz w:val="24"/>
                <w:rtl/>
              </w:rPr>
              <w:t xml:space="preserve">סעיף 5 </w:t>
            </w:r>
          </w:p>
        </w:tc>
      </w:tr>
      <w:tr w:rsidR="00906E9E" w14:paraId="116489C8" w14:textId="77777777">
        <w:tblPrEx>
          <w:tblCellMar>
            <w:top w:w="0" w:type="dxa"/>
            <w:bottom w:w="0" w:type="dxa"/>
          </w:tblCellMar>
        </w:tblPrEx>
        <w:tc>
          <w:tcPr>
            <w:tcW w:w="850" w:type="dxa"/>
          </w:tcPr>
          <w:p w14:paraId="52F4841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097CCD10" w14:textId="77777777" w:rsidR="00906E9E" w:rsidRDefault="00906E9E">
            <w:pPr>
              <w:spacing w:line="240" w:lineRule="auto"/>
              <w:rPr>
                <w:sz w:val="24"/>
              </w:rPr>
            </w:pPr>
            <w:hyperlink w:anchor="Seif5" w:tooltip="פרטים לא מדוייקים על הנאשם" w:history="1">
              <w:r>
                <w:rPr>
                  <w:rStyle w:val="Hyperlink"/>
                </w:rPr>
                <w:t>Go</w:t>
              </w:r>
            </w:hyperlink>
          </w:p>
        </w:tc>
        <w:tc>
          <w:tcPr>
            <w:tcW w:w="5669" w:type="dxa"/>
          </w:tcPr>
          <w:p w14:paraId="13D39CB5" w14:textId="77777777" w:rsidR="00906E9E" w:rsidRDefault="00906E9E">
            <w:pPr>
              <w:spacing w:line="240" w:lineRule="auto"/>
              <w:rPr>
                <w:sz w:val="24"/>
                <w:rtl/>
              </w:rPr>
            </w:pPr>
            <w:r>
              <w:rPr>
                <w:sz w:val="24"/>
                <w:rtl/>
              </w:rPr>
              <w:t>פרטים לא מדוייקים על הנאשם</w:t>
            </w:r>
          </w:p>
        </w:tc>
        <w:tc>
          <w:tcPr>
            <w:tcW w:w="1247" w:type="dxa"/>
          </w:tcPr>
          <w:p w14:paraId="382F8094" w14:textId="77777777" w:rsidR="00906E9E" w:rsidRDefault="00906E9E">
            <w:pPr>
              <w:spacing w:line="240" w:lineRule="auto"/>
              <w:rPr>
                <w:sz w:val="24"/>
              </w:rPr>
            </w:pPr>
            <w:r>
              <w:rPr>
                <w:sz w:val="24"/>
                <w:rtl/>
              </w:rPr>
              <w:t xml:space="preserve">סעיף 6 </w:t>
            </w:r>
          </w:p>
        </w:tc>
      </w:tr>
      <w:tr w:rsidR="00906E9E" w14:paraId="04F2E7CB" w14:textId="77777777">
        <w:tblPrEx>
          <w:tblCellMar>
            <w:top w:w="0" w:type="dxa"/>
            <w:bottom w:w="0" w:type="dxa"/>
          </w:tblCellMar>
        </w:tblPrEx>
        <w:tc>
          <w:tcPr>
            <w:tcW w:w="850" w:type="dxa"/>
          </w:tcPr>
          <w:p w14:paraId="5906733B"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677F7366" w14:textId="77777777" w:rsidR="00906E9E" w:rsidRDefault="00906E9E">
            <w:pPr>
              <w:spacing w:line="240" w:lineRule="auto"/>
              <w:rPr>
                <w:sz w:val="24"/>
              </w:rPr>
            </w:pPr>
            <w:hyperlink w:anchor="Seif6" w:tooltip="העברת תלונה שהופנתה בטעות" w:history="1">
              <w:r>
                <w:rPr>
                  <w:rStyle w:val="Hyperlink"/>
                </w:rPr>
                <w:t>Go</w:t>
              </w:r>
            </w:hyperlink>
          </w:p>
        </w:tc>
        <w:tc>
          <w:tcPr>
            <w:tcW w:w="5669" w:type="dxa"/>
          </w:tcPr>
          <w:p w14:paraId="1F7B0F83" w14:textId="77777777" w:rsidR="00906E9E" w:rsidRDefault="00906E9E">
            <w:pPr>
              <w:spacing w:line="240" w:lineRule="auto"/>
              <w:rPr>
                <w:sz w:val="24"/>
                <w:rtl/>
              </w:rPr>
            </w:pPr>
            <w:r>
              <w:rPr>
                <w:sz w:val="24"/>
                <w:rtl/>
              </w:rPr>
              <w:t>העברת תלונה שהופנתה בטעות</w:t>
            </w:r>
          </w:p>
        </w:tc>
        <w:tc>
          <w:tcPr>
            <w:tcW w:w="1247" w:type="dxa"/>
          </w:tcPr>
          <w:p w14:paraId="4F0EC6F1" w14:textId="77777777" w:rsidR="00906E9E" w:rsidRDefault="00906E9E">
            <w:pPr>
              <w:spacing w:line="240" w:lineRule="auto"/>
              <w:rPr>
                <w:sz w:val="24"/>
              </w:rPr>
            </w:pPr>
            <w:r>
              <w:rPr>
                <w:sz w:val="24"/>
                <w:rtl/>
              </w:rPr>
              <w:t xml:space="preserve">סעיף 7 </w:t>
            </w:r>
          </w:p>
        </w:tc>
      </w:tr>
      <w:tr w:rsidR="00906E9E" w14:paraId="1BB9695A" w14:textId="77777777">
        <w:tblPrEx>
          <w:tblCellMar>
            <w:top w:w="0" w:type="dxa"/>
            <w:bottom w:w="0" w:type="dxa"/>
          </w:tblCellMar>
        </w:tblPrEx>
        <w:tc>
          <w:tcPr>
            <w:tcW w:w="850" w:type="dxa"/>
          </w:tcPr>
          <w:p w14:paraId="75B2FADC"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6E4EB8E3" w14:textId="77777777" w:rsidR="00906E9E" w:rsidRDefault="00906E9E">
            <w:pPr>
              <w:spacing w:line="240" w:lineRule="auto"/>
              <w:rPr>
                <w:sz w:val="24"/>
              </w:rPr>
            </w:pPr>
            <w:hyperlink w:anchor="Seif7" w:tooltip="פעולות קצין השיפוט" w:history="1">
              <w:r>
                <w:rPr>
                  <w:rStyle w:val="Hyperlink"/>
                </w:rPr>
                <w:t>Go</w:t>
              </w:r>
            </w:hyperlink>
          </w:p>
        </w:tc>
        <w:tc>
          <w:tcPr>
            <w:tcW w:w="5669" w:type="dxa"/>
          </w:tcPr>
          <w:p w14:paraId="5D17DD1E" w14:textId="77777777" w:rsidR="00906E9E" w:rsidRDefault="00906E9E">
            <w:pPr>
              <w:spacing w:line="240" w:lineRule="auto"/>
              <w:rPr>
                <w:sz w:val="24"/>
                <w:rtl/>
              </w:rPr>
            </w:pPr>
            <w:r>
              <w:rPr>
                <w:sz w:val="24"/>
                <w:rtl/>
              </w:rPr>
              <w:t>פעולות קצין השיפוט</w:t>
            </w:r>
          </w:p>
        </w:tc>
        <w:tc>
          <w:tcPr>
            <w:tcW w:w="1247" w:type="dxa"/>
          </w:tcPr>
          <w:p w14:paraId="778A9D17" w14:textId="77777777" w:rsidR="00906E9E" w:rsidRDefault="00906E9E">
            <w:pPr>
              <w:spacing w:line="240" w:lineRule="auto"/>
              <w:rPr>
                <w:sz w:val="24"/>
              </w:rPr>
            </w:pPr>
            <w:r>
              <w:rPr>
                <w:sz w:val="24"/>
                <w:rtl/>
              </w:rPr>
              <w:t xml:space="preserve">סעיף 8 </w:t>
            </w:r>
          </w:p>
        </w:tc>
      </w:tr>
      <w:tr w:rsidR="00906E9E" w14:paraId="4FF0DA20" w14:textId="77777777">
        <w:tblPrEx>
          <w:tblCellMar>
            <w:top w:w="0" w:type="dxa"/>
            <w:bottom w:w="0" w:type="dxa"/>
          </w:tblCellMar>
        </w:tblPrEx>
        <w:tc>
          <w:tcPr>
            <w:tcW w:w="850" w:type="dxa"/>
          </w:tcPr>
          <w:p w14:paraId="330B6E0C"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58899FB8" w14:textId="77777777" w:rsidR="00906E9E" w:rsidRDefault="00906E9E">
            <w:pPr>
              <w:spacing w:line="240" w:lineRule="auto"/>
              <w:rPr>
                <w:sz w:val="24"/>
              </w:rPr>
            </w:pPr>
            <w:hyperlink w:anchor="Seif8" w:tooltip="מועד הדיון בתלונה" w:history="1">
              <w:r>
                <w:rPr>
                  <w:rStyle w:val="Hyperlink"/>
                </w:rPr>
                <w:t>Go</w:t>
              </w:r>
            </w:hyperlink>
          </w:p>
        </w:tc>
        <w:tc>
          <w:tcPr>
            <w:tcW w:w="5669" w:type="dxa"/>
          </w:tcPr>
          <w:p w14:paraId="32C13C1F" w14:textId="77777777" w:rsidR="00906E9E" w:rsidRDefault="00906E9E">
            <w:pPr>
              <w:spacing w:line="240" w:lineRule="auto"/>
              <w:rPr>
                <w:sz w:val="24"/>
                <w:rtl/>
              </w:rPr>
            </w:pPr>
            <w:r>
              <w:rPr>
                <w:sz w:val="24"/>
                <w:rtl/>
              </w:rPr>
              <w:t>מועד הדיון בתלונה</w:t>
            </w:r>
          </w:p>
        </w:tc>
        <w:tc>
          <w:tcPr>
            <w:tcW w:w="1247" w:type="dxa"/>
          </w:tcPr>
          <w:p w14:paraId="3A2C48C7" w14:textId="77777777" w:rsidR="00906E9E" w:rsidRDefault="00906E9E">
            <w:pPr>
              <w:spacing w:line="240" w:lineRule="auto"/>
              <w:rPr>
                <w:sz w:val="24"/>
              </w:rPr>
            </w:pPr>
            <w:r>
              <w:rPr>
                <w:sz w:val="24"/>
                <w:rtl/>
              </w:rPr>
              <w:t xml:space="preserve">סעיף 9 </w:t>
            </w:r>
          </w:p>
        </w:tc>
      </w:tr>
      <w:tr w:rsidR="00906E9E" w14:paraId="2C2A38FF" w14:textId="77777777">
        <w:tblPrEx>
          <w:tblCellMar>
            <w:top w:w="0" w:type="dxa"/>
            <w:bottom w:w="0" w:type="dxa"/>
          </w:tblCellMar>
        </w:tblPrEx>
        <w:tc>
          <w:tcPr>
            <w:tcW w:w="850" w:type="dxa"/>
          </w:tcPr>
          <w:p w14:paraId="65ECE3AD"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4BE74CD2" w14:textId="77777777" w:rsidR="00906E9E" w:rsidRDefault="00906E9E">
            <w:pPr>
              <w:spacing w:line="240" w:lineRule="auto"/>
              <w:rPr>
                <w:sz w:val="24"/>
              </w:rPr>
            </w:pPr>
            <w:hyperlink w:anchor="Seif9" w:tooltip="העברת תלונה על ידי קצין שיפוט" w:history="1">
              <w:r>
                <w:rPr>
                  <w:rStyle w:val="Hyperlink"/>
                </w:rPr>
                <w:t>Go</w:t>
              </w:r>
            </w:hyperlink>
          </w:p>
        </w:tc>
        <w:tc>
          <w:tcPr>
            <w:tcW w:w="5669" w:type="dxa"/>
          </w:tcPr>
          <w:p w14:paraId="037B007D" w14:textId="77777777" w:rsidR="00906E9E" w:rsidRDefault="00906E9E">
            <w:pPr>
              <w:spacing w:line="240" w:lineRule="auto"/>
              <w:rPr>
                <w:sz w:val="24"/>
                <w:rtl/>
              </w:rPr>
            </w:pPr>
            <w:r>
              <w:rPr>
                <w:sz w:val="24"/>
                <w:rtl/>
              </w:rPr>
              <w:t>העברת תלונה על ידי קצין שיפוט</w:t>
            </w:r>
          </w:p>
        </w:tc>
        <w:tc>
          <w:tcPr>
            <w:tcW w:w="1247" w:type="dxa"/>
          </w:tcPr>
          <w:p w14:paraId="20CE79FA" w14:textId="77777777" w:rsidR="00906E9E" w:rsidRDefault="00906E9E">
            <w:pPr>
              <w:spacing w:line="240" w:lineRule="auto"/>
              <w:rPr>
                <w:sz w:val="24"/>
              </w:rPr>
            </w:pPr>
            <w:r>
              <w:rPr>
                <w:sz w:val="24"/>
                <w:rtl/>
              </w:rPr>
              <w:t xml:space="preserve">סעיף 10 </w:t>
            </w:r>
          </w:p>
        </w:tc>
      </w:tr>
      <w:tr w:rsidR="00906E9E" w14:paraId="42026346" w14:textId="77777777">
        <w:tblPrEx>
          <w:tblCellMar>
            <w:top w:w="0" w:type="dxa"/>
            <w:bottom w:w="0" w:type="dxa"/>
          </w:tblCellMar>
        </w:tblPrEx>
        <w:tc>
          <w:tcPr>
            <w:tcW w:w="850" w:type="dxa"/>
          </w:tcPr>
          <w:p w14:paraId="6AD96BEC"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320E1C0B" w14:textId="77777777" w:rsidR="00906E9E" w:rsidRDefault="00906E9E">
            <w:pPr>
              <w:spacing w:line="240" w:lineRule="auto"/>
              <w:rPr>
                <w:sz w:val="24"/>
              </w:rPr>
            </w:pPr>
            <w:hyperlink w:anchor="Seif10" w:tooltip="ביטול התלונה" w:history="1">
              <w:r>
                <w:rPr>
                  <w:rStyle w:val="Hyperlink"/>
                </w:rPr>
                <w:t>Go</w:t>
              </w:r>
            </w:hyperlink>
          </w:p>
        </w:tc>
        <w:tc>
          <w:tcPr>
            <w:tcW w:w="5669" w:type="dxa"/>
          </w:tcPr>
          <w:p w14:paraId="6256ADA2" w14:textId="77777777" w:rsidR="00906E9E" w:rsidRDefault="00906E9E">
            <w:pPr>
              <w:spacing w:line="240" w:lineRule="auto"/>
              <w:rPr>
                <w:sz w:val="24"/>
                <w:rtl/>
              </w:rPr>
            </w:pPr>
            <w:r>
              <w:rPr>
                <w:sz w:val="24"/>
                <w:rtl/>
              </w:rPr>
              <w:t>ביטול התלונה</w:t>
            </w:r>
          </w:p>
        </w:tc>
        <w:tc>
          <w:tcPr>
            <w:tcW w:w="1247" w:type="dxa"/>
          </w:tcPr>
          <w:p w14:paraId="324FFF50" w14:textId="77777777" w:rsidR="00906E9E" w:rsidRDefault="00906E9E">
            <w:pPr>
              <w:spacing w:line="240" w:lineRule="auto"/>
              <w:rPr>
                <w:sz w:val="24"/>
              </w:rPr>
            </w:pPr>
            <w:r>
              <w:rPr>
                <w:sz w:val="24"/>
                <w:rtl/>
              </w:rPr>
              <w:t xml:space="preserve">סעיף 11 </w:t>
            </w:r>
          </w:p>
        </w:tc>
      </w:tr>
      <w:tr w:rsidR="00906E9E" w14:paraId="52D1F028" w14:textId="77777777">
        <w:tblPrEx>
          <w:tblCellMar>
            <w:top w:w="0" w:type="dxa"/>
            <w:bottom w:w="0" w:type="dxa"/>
          </w:tblCellMar>
        </w:tblPrEx>
        <w:tc>
          <w:tcPr>
            <w:tcW w:w="850" w:type="dxa"/>
          </w:tcPr>
          <w:p w14:paraId="70A74BA5"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7C484D">
              <w:rPr>
                <w:noProof/>
                <w:sz w:val="24"/>
                <w:rtl/>
              </w:rPr>
              <w:t>2</w:t>
            </w:r>
            <w:r>
              <w:rPr>
                <w:sz w:val="24"/>
                <w:rtl/>
              </w:rPr>
              <w:fldChar w:fldCharType="end"/>
            </w:r>
          </w:p>
        </w:tc>
        <w:tc>
          <w:tcPr>
            <w:tcW w:w="567" w:type="dxa"/>
          </w:tcPr>
          <w:p w14:paraId="5D0DE343" w14:textId="77777777" w:rsidR="00906E9E" w:rsidRDefault="00906E9E">
            <w:pPr>
              <w:spacing w:line="240" w:lineRule="auto"/>
              <w:rPr>
                <w:sz w:val="24"/>
              </w:rPr>
            </w:pPr>
            <w:hyperlink w:anchor="Seif11" w:tooltip="נימוקים לביטול תלונה" w:history="1">
              <w:r>
                <w:rPr>
                  <w:rStyle w:val="Hyperlink"/>
                </w:rPr>
                <w:t>Go</w:t>
              </w:r>
            </w:hyperlink>
          </w:p>
        </w:tc>
        <w:tc>
          <w:tcPr>
            <w:tcW w:w="5669" w:type="dxa"/>
          </w:tcPr>
          <w:p w14:paraId="78D477F3" w14:textId="77777777" w:rsidR="00906E9E" w:rsidRDefault="00906E9E">
            <w:pPr>
              <w:spacing w:line="240" w:lineRule="auto"/>
              <w:rPr>
                <w:sz w:val="24"/>
                <w:rtl/>
              </w:rPr>
            </w:pPr>
            <w:r>
              <w:rPr>
                <w:sz w:val="24"/>
                <w:rtl/>
              </w:rPr>
              <w:t>נימוקים לביטול תלונה</w:t>
            </w:r>
          </w:p>
        </w:tc>
        <w:tc>
          <w:tcPr>
            <w:tcW w:w="1247" w:type="dxa"/>
          </w:tcPr>
          <w:p w14:paraId="0A0A93BA" w14:textId="77777777" w:rsidR="00906E9E" w:rsidRDefault="00906E9E">
            <w:pPr>
              <w:spacing w:line="240" w:lineRule="auto"/>
              <w:rPr>
                <w:sz w:val="24"/>
              </w:rPr>
            </w:pPr>
            <w:r>
              <w:rPr>
                <w:sz w:val="24"/>
                <w:rtl/>
              </w:rPr>
              <w:t xml:space="preserve">סעיף 12 </w:t>
            </w:r>
          </w:p>
        </w:tc>
      </w:tr>
      <w:tr w:rsidR="00906E9E" w14:paraId="68CEC289" w14:textId="77777777">
        <w:tblPrEx>
          <w:tblCellMar>
            <w:top w:w="0" w:type="dxa"/>
            <w:bottom w:w="0" w:type="dxa"/>
          </w:tblCellMar>
        </w:tblPrEx>
        <w:tc>
          <w:tcPr>
            <w:tcW w:w="850" w:type="dxa"/>
          </w:tcPr>
          <w:p w14:paraId="5AF7011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50F222BA" w14:textId="77777777" w:rsidR="00906E9E" w:rsidRDefault="00906E9E">
            <w:pPr>
              <w:spacing w:line="240" w:lineRule="auto"/>
              <w:rPr>
                <w:sz w:val="24"/>
              </w:rPr>
            </w:pPr>
            <w:hyperlink w:anchor="Seif12" w:tooltip="סדרי הדין" w:history="1">
              <w:r>
                <w:rPr>
                  <w:rStyle w:val="Hyperlink"/>
                </w:rPr>
                <w:t>Go</w:t>
              </w:r>
            </w:hyperlink>
          </w:p>
        </w:tc>
        <w:tc>
          <w:tcPr>
            <w:tcW w:w="5669" w:type="dxa"/>
          </w:tcPr>
          <w:p w14:paraId="742B2311" w14:textId="77777777" w:rsidR="00906E9E" w:rsidRDefault="00906E9E">
            <w:pPr>
              <w:spacing w:line="240" w:lineRule="auto"/>
              <w:rPr>
                <w:sz w:val="24"/>
                <w:rtl/>
              </w:rPr>
            </w:pPr>
            <w:r>
              <w:rPr>
                <w:sz w:val="24"/>
                <w:rtl/>
              </w:rPr>
              <w:t>סדרי הדין</w:t>
            </w:r>
          </w:p>
        </w:tc>
        <w:tc>
          <w:tcPr>
            <w:tcW w:w="1247" w:type="dxa"/>
          </w:tcPr>
          <w:p w14:paraId="35ED39CA" w14:textId="77777777" w:rsidR="00906E9E" w:rsidRDefault="00906E9E">
            <w:pPr>
              <w:spacing w:line="240" w:lineRule="auto"/>
              <w:rPr>
                <w:sz w:val="24"/>
              </w:rPr>
            </w:pPr>
            <w:r>
              <w:rPr>
                <w:sz w:val="24"/>
                <w:rtl/>
              </w:rPr>
              <w:t xml:space="preserve">סעיף 13 </w:t>
            </w:r>
          </w:p>
        </w:tc>
      </w:tr>
      <w:tr w:rsidR="00906E9E" w14:paraId="42289BDB" w14:textId="77777777">
        <w:tblPrEx>
          <w:tblCellMar>
            <w:top w:w="0" w:type="dxa"/>
            <w:bottom w:w="0" w:type="dxa"/>
          </w:tblCellMar>
        </w:tblPrEx>
        <w:tc>
          <w:tcPr>
            <w:tcW w:w="850" w:type="dxa"/>
          </w:tcPr>
          <w:p w14:paraId="5F09FEE6"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1D84A46F" w14:textId="77777777" w:rsidR="00906E9E" w:rsidRDefault="00906E9E">
            <w:pPr>
              <w:spacing w:line="240" w:lineRule="auto"/>
              <w:rPr>
                <w:sz w:val="24"/>
              </w:rPr>
            </w:pPr>
            <w:hyperlink w:anchor="Seif13" w:tooltip="הודאת הנאשם באשמה או בעובדות" w:history="1">
              <w:r>
                <w:rPr>
                  <w:rStyle w:val="Hyperlink"/>
                </w:rPr>
                <w:t>Go</w:t>
              </w:r>
            </w:hyperlink>
          </w:p>
        </w:tc>
        <w:tc>
          <w:tcPr>
            <w:tcW w:w="5669" w:type="dxa"/>
          </w:tcPr>
          <w:p w14:paraId="04A4F8DD" w14:textId="77777777" w:rsidR="00906E9E" w:rsidRDefault="00906E9E">
            <w:pPr>
              <w:spacing w:line="240" w:lineRule="auto"/>
              <w:rPr>
                <w:sz w:val="24"/>
                <w:rtl/>
              </w:rPr>
            </w:pPr>
            <w:r>
              <w:rPr>
                <w:sz w:val="24"/>
                <w:rtl/>
              </w:rPr>
              <w:t>הודאת הנאשם באשמה או בעובדות</w:t>
            </w:r>
          </w:p>
        </w:tc>
        <w:tc>
          <w:tcPr>
            <w:tcW w:w="1247" w:type="dxa"/>
          </w:tcPr>
          <w:p w14:paraId="47EBF526" w14:textId="77777777" w:rsidR="00906E9E" w:rsidRDefault="00906E9E">
            <w:pPr>
              <w:spacing w:line="240" w:lineRule="auto"/>
              <w:rPr>
                <w:sz w:val="24"/>
              </w:rPr>
            </w:pPr>
            <w:r>
              <w:rPr>
                <w:sz w:val="24"/>
                <w:rtl/>
              </w:rPr>
              <w:t xml:space="preserve">סעיף 14 </w:t>
            </w:r>
          </w:p>
        </w:tc>
      </w:tr>
      <w:tr w:rsidR="00906E9E" w14:paraId="4A6C63C4" w14:textId="77777777">
        <w:tblPrEx>
          <w:tblCellMar>
            <w:top w:w="0" w:type="dxa"/>
            <w:bottom w:w="0" w:type="dxa"/>
          </w:tblCellMar>
        </w:tblPrEx>
        <w:tc>
          <w:tcPr>
            <w:tcW w:w="850" w:type="dxa"/>
          </w:tcPr>
          <w:p w14:paraId="2AEFED5D"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5171C33A" w14:textId="77777777" w:rsidR="00906E9E" w:rsidRDefault="00906E9E">
            <w:pPr>
              <w:spacing w:line="240" w:lineRule="auto"/>
              <w:rPr>
                <w:sz w:val="24"/>
              </w:rPr>
            </w:pPr>
            <w:hyperlink w:anchor="Seif14" w:tooltip="גביית עדות" w:history="1">
              <w:r>
                <w:rPr>
                  <w:rStyle w:val="Hyperlink"/>
                </w:rPr>
                <w:t>Go</w:t>
              </w:r>
            </w:hyperlink>
          </w:p>
        </w:tc>
        <w:tc>
          <w:tcPr>
            <w:tcW w:w="5669" w:type="dxa"/>
          </w:tcPr>
          <w:p w14:paraId="145B7BFD" w14:textId="77777777" w:rsidR="00906E9E" w:rsidRDefault="00906E9E">
            <w:pPr>
              <w:spacing w:line="240" w:lineRule="auto"/>
              <w:rPr>
                <w:sz w:val="24"/>
                <w:rtl/>
              </w:rPr>
            </w:pPr>
            <w:r>
              <w:rPr>
                <w:sz w:val="24"/>
                <w:rtl/>
              </w:rPr>
              <w:t>גביית עדות</w:t>
            </w:r>
          </w:p>
        </w:tc>
        <w:tc>
          <w:tcPr>
            <w:tcW w:w="1247" w:type="dxa"/>
          </w:tcPr>
          <w:p w14:paraId="14B04C50" w14:textId="77777777" w:rsidR="00906E9E" w:rsidRDefault="00906E9E">
            <w:pPr>
              <w:spacing w:line="240" w:lineRule="auto"/>
              <w:rPr>
                <w:sz w:val="24"/>
              </w:rPr>
            </w:pPr>
            <w:r>
              <w:rPr>
                <w:sz w:val="24"/>
                <w:rtl/>
              </w:rPr>
              <w:t xml:space="preserve">סעיף 15 </w:t>
            </w:r>
          </w:p>
        </w:tc>
      </w:tr>
      <w:tr w:rsidR="00906E9E" w14:paraId="07752DD6" w14:textId="77777777">
        <w:tblPrEx>
          <w:tblCellMar>
            <w:top w:w="0" w:type="dxa"/>
            <w:bottom w:w="0" w:type="dxa"/>
          </w:tblCellMar>
        </w:tblPrEx>
        <w:tc>
          <w:tcPr>
            <w:tcW w:w="850" w:type="dxa"/>
          </w:tcPr>
          <w:p w14:paraId="3B3C33B7"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0F98C156" w14:textId="77777777" w:rsidR="00906E9E" w:rsidRDefault="00906E9E">
            <w:pPr>
              <w:spacing w:line="240" w:lineRule="auto"/>
              <w:rPr>
                <w:sz w:val="24"/>
              </w:rPr>
            </w:pPr>
            <w:hyperlink w:anchor="Seif15" w:tooltip="דברי הנאשם" w:history="1">
              <w:r>
                <w:rPr>
                  <w:rStyle w:val="Hyperlink"/>
                </w:rPr>
                <w:t>Go</w:t>
              </w:r>
            </w:hyperlink>
          </w:p>
        </w:tc>
        <w:tc>
          <w:tcPr>
            <w:tcW w:w="5669" w:type="dxa"/>
          </w:tcPr>
          <w:p w14:paraId="723DA926" w14:textId="77777777" w:rsidR="00906E9E" w:rsidRDefault="00906E9E">
            <w:pPr>
              <w:spacing w:line="240" w:lineRule="auto"/>
              <w:rPr>
                <w:sz w:val="24"/>
                <w:rtl/>
              </w:rPr>
            </w:pPr>
            <w:r>
              <w:rPr>
                <w:sz w:val="24"/>
                <w:rtl/>
              </w:rPr>
              <w:t>דברי הנאשם</w:t>
            </w:r>
          </w:p>
        </w:tc>
        <w:tc>
          <w:tcPr>
            <w:tcW w:w="1247" w:type="dxa"/>
          </w:tcPr>
          <w:p w14:paraId="428F1DC0" w14:textId="77777777" w:rsidR="00906E9E" w:rsidRDefault="00906E9E">
            <w:pPr>
              <w:spacing w:line="240" w:lineRule="auto"/>
              <w:rPr>
                <w:sz w:val="24"/>
              </w:rPr>
            </w:pPr>
            <w:r>
              <w:rPr>
                <w:sz w:val="24"/>
                <w:rtl/>
              </w:rPr>
              <w:t xml:space="preserve">סעיף 16 </w:t>
            </w:r>
          </w:p>
        </w:tc>
      </w:tr>
      <w:tr w:rsidR="00906E9E" w14:paraId="0839B854" w14:textId="77777777">
        <w:tblPrEx>
          <w:tblCellMar>
            <w:top w:w="0" w:type="dxa"/>
            <w:bottom w:w="0" w:type="dxa"/>
          </w:tblCellMar>
        </w:tblPrEx>
        <w:tc>
          <w:tcPr>
            <w:tcW w:w="850" w:type="dxa"/>
          </w:tcPr>
          <w:p w14:paraId="356C317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12B2DAC8" w14:textId="77777777" w:rsidR="00906E9E" w:rsidRDefault="00906E9E">
            <w:pPr>
              <w:spacing w:line="240" w:lineRule="auto"/>
              <w:rPr>
                <w:sz w:val="24"/>
              </w:rPr>
            </w:pPr>
            <w:hyperlink w:anchor="Seif16" w:tooltip="מתן הפסק" w:history="1">
              <w:r>
                <w:rPr>
                  <w:rStyle w:val="Hyperlink"/>
                </w:rPr>
                <w:t>Go</w:t>
              </w:r>
            </w:hyperlink>
          </w:p>
        </w:tc>
        <w:tc>
          <w:tcPr>
            <w:tcW w:w="5669" w:type="dxa"/>
          </w:tcPr>
          <w:p w14:paraId="727FECBE" w14:textId="77777777" w:rsidR="00906E9E" w:rsidRDefault="00906E9E">
            <w:pPr>
              <w:spacing w:line="240" w:lineRule="auto"/>
              <w:rPr>
                <w:sz w:val="24"/>
                <w:rtl/>
              </w:rPr>
            </w:pPr>
            <w:r>
              <w:rPr>
                <w:sz w:val="24"/>
                <w:rtl/>
              </w:rPr>
              <w:t>מתן הפסק</w:t>
            </w:r>
          </w:p>
        </w:tc>
        <w:tc>
          <w:tcPr>
            <w:tcW w:w="1247" w:type="dxa"/>
          </w:tcPr>
          <w:p w14:paraId="30AA16CE" w14:textId="77777777" w:rsidR="00906E9E" w:rsidRDefault="00906E9E">
            <w:pPr>
              <w:spacing w:line="240" w:lineRule="auto"/>
              <w:rPr>
                <w:sz w:val="24"/>
              </w:rPr>
            </w:pPr>
            <w:r>
              <w:rPr>
                <w:sz w:val="24"/>
                <w:rtl/>
              </w:rPr>
              <w:t xml:space="preserve">סעיף 17 </w:t>
            </w:r>
          </w:p>
        </w:tc>
      </w:tr>
      <w:tr w:rsidR="00906E9E" w14:paraId="2C50DF1C" w14:textId="77777777">
        <w:tblPrEx>
          <w:tblCellMar>
            <w:top w:w="0" w:type="dxa"/>
            <w:bottom w:w="0" w:type="dxa"/>
          </w:tblCellMar>
        </w:tblPrEx>
        <w:tc>
          <w:tcPr>
            <w:tcW w:w="850" w:type="dxa"/>
          </w:tcPr>
          <w:p w14:paraId="296119AD"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0D22CD4E" w14:textId="77777777" w:rsidR="00906E9E" w:rsidRDefault="00906E9E">
            <w:pPr>
              <w:spacing w:line="240" w:lineRule="auto"/>
              <w:rPr>
                <w:sz w:val="24"/>
              </w:rPr>
            </w:pPr>
            <w:hyperlink w:anchor="Seif17" w:tooltip="קביעת העונש" w:history="1">
              <w:r>
                <w:rPr>
                  <w:rStyle w:val="Hyperlink"/>
                </w:rPr>
                <w:t>Go</w:t>
              </w:r>
            </w:hyperlink>
          </w:p>
        </w:tc>
        <w:tc>
          <w:tcPr>
            <w:tcW w:w="5669" w:type="dxa"/>
          </w:tcPr>
          <w:p w14:paraId="0B2AD972" w14:textId="77777777" w:rsidR="00906E9E" w:rsidRDefault="00906E9E">
            <w:pPr>
              <w:spacing w:line="240" w:lineRule="auto"/>
              <w:rPr>
                <w:sz w:val="24"/>
                <w:rtl/>
              </w:rPr>
            </w:pPr>
            <w:r>
              <w:rPr>
                <w:sz w:val="24"/>
                <w:rtl/>
              </w:rPr>
              <w:t>קביעת העונש</w:t>
            </w:r>
          </w:p>
        </w:tc>
        <w:tc>
          <w:tcPr>
            <w:tcW w:w="1247" w:type="dxa"/>
          </w:tcPr>
          <w:p w14:paraId="05E48F0F" w14:textId="77777777" w:rsidR="00906E9E" w:rsidRDefault="00906E9E">
            <w:pPr>
              <w:spacing w:line="240" w:lineRule="auto"/>
              <w:rPr>
                <w:sz w:val="24"/>
              </w:rPr>
            </w:pPr>
            <w:r>
              <w:rPr>
                <w:sz w:val="24"/>
                <w:rtl/>
              </w:rPr>
              <w:t xml:space="preserve">סעיף 18 </w:t>
            </w:r>
          </w:p>
        </w:tc>
      </w:tr>
      <w:tr w:rsidR="00906E9E" w14:paraId="04D714EF" w14:textId="77777777">
        <w:tblPrEx>
          <w:tblCellMar>
            <w:top w:w="0" w:type="dxa"/>
            <w:bottom w:w="0" w:type="dxa"/>
          </w:tblCellMar>
        </w:tblPrEx>
        <w:tc>
          <w:tcPr>
            <w:tcW w:w="850" w:type="dxa"/>
          </w:tcPr>
          <w:p w14:paraId="358BF28A"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54E468E8" w14:textId="77777777" w:rsidR="00906E9E" w:rsidRDefault="00906E9E">
            <w:pPr>
              <w:spacing w:line="240" w:lineRule="auto"/>
              <w:rPr>
                <w:sz w:val="24"/>
              </w:rPr>
            </w:pPr>
            <w:hyperlink w:anchor="Seif18" w:tooltip="מועד לדיון בערר" w:history="1">
              <w:r>
                <w:rPr>
                  <w:rStyle w:val="Hyperlink"/>
                </w:rPr>
                <w:t>Go</w:t>
              </w:r>
            </w:hyperlink>
          </w:p>
        </w:tc>
        <w:tc>
          <w:tcPr>
            <w:tcW w:w="5669" w:type="dxa"/>
          </w:tcPr>
          <w:p w14:paraId="59995EC7" w14:textId="77777777" w:rsidR="00906E9E" w:rsidRDefault="00906E9E">
            <w:pPr>
              <w:spacing w:line="240" w:lineRule="auto"/>
              <w:rPr>
                <w:sz w:val="24"/>
                <w:rtl/>
              </w:rPr>
            </w:pPr>
            <w:r>
              <w:rPr>
                <w:sz w:val="24"/>
                <w:rtl/>
              </w:rPr>
              <w:t>מועד לדיון בערר</w:t>
            </w:r>
          </w:p>
        </w:tc>
        <w:tc>
          <w:tcPr>
            <w:tcW w:w="1247" w:type="dxa"/>
          </w:tcPr>
          <w:p w14:paraId="6BD5D19B" w14:textId="77777777" w:rsidR="00906E9E" w:rsidRDefault="00906E9E">
            <w:pPr>
              <w:spacing w:line="240" w:lineRule="auto"/>
              <w:rPr>
                <w:sz w:val="24"/>
              </w:rPr>
            </w:pPr>
            <w:r>
              <w:rPr>
                <w:sz w:val="24"/>
                <w:rtl/>
              </w:rPr>
              <w:t xml:space="preserve">סעיף 19 </w:t>
            </w:r>
          </w:p>
        </w:tc>
      </w:tr>
      <w:tr w:rsidR="00906E9E" w14:paraId="5B29C3DA" w14:textId="77777777">
        <w:tblPrEx>
          <w:tblCellMar>
            <w:top w:w="0" w:type="dxa"/>
            <w:bottom w:w="0" w:type="dxa"/>
          </w:tblCellMar>
        </w:tblPrEx>
        <w:tc>
          <w:tcPr>
            <w:tcW w:w="850" w:type="dxa"/>
          </w:tcPr>
          <w:p w14:paraId="4A4ABE69"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307794B7" w14:textId="77777777" w:rsidR="00906E9E" w:rsidRDefault="00906E9E">
            <w:pPr>
              <w:spacing w:line="240" w:lineRule="auto"/>
              <w:rPr>
                <w:sz w:val="24"/>
              </w:rPr>
            </w:pPr>
            <w:hyperlink w:anchor="Seif19" w:tooltip="סדר הדין בערר" w:history="1">
              <w:r>
                <w:rPr>
                  <w:rStyle w:val="Hyperlink"/>
                </w:rPr>
                <w:t>Go</w:t>
              </w:r>
            </w:hyperlink>
          </w:p>
        </w:tc>
        <w:tc>
          <w:tcPr>
            <w:tcW w:w="5669" w:type="dxa"/>
          </w:tcPr>
          <w:p w14:paraId="769110C3" w14:textId="77777777" w:rsidR="00906E9E" w:rsidRDefault="00906E9E">
            <w:pPr>
              <w:spacing w:line="240" w:lineRule="auto"/>
              <w:rPr>
                <w:sz w:val="24"/>
                <w:rtl/>
              </w:rPr>
            </w:pPr>
            <w:r>
              <w:rPr>
                <w:sz w:val="24"/>
                <w:rtl/>
              </w:rPr>
              <w:t>סדר הדין בערר</w:t>
            </w:r>
          </w:p>
        </w:tc>
        <w:tc>
          <w:tcPr>
            <w:tcW w:w="1247" w:type="dxa"/>
          </w:tcPr>
          <w:p w14:paraId="363CF257" w14:textId="77777777" w:rsidR="00906E9E" w:rsidRDefault="00906E9E">
            <w:pPr>
              <w:spacing w:line="240" w:lineRule="auto"/>
              <w:rPr>
                <w:sz w:val="24"/>
              </w:rPr>
            </w:pPr>
            <w:r>
              <w:rPr>
                <w:sz w:val="24"/>
                <w:rtl/>
              </w:rPr>
              <w:t xml:space="preserve">סעיף 20 </w:t>
            </w:r>
          </w:p>
        </w:tc>
      </w:tr>
      <w:tr w:rsidR="00906E9E" w14:paraId="468FD569" w14:textId="77777777">
        <w:tblPrEx>
          <w:tblCellMar>
            <w:top w:w="0" w:type="dxa"/>
            <w:bottom w:w="0" w:type="dxa"/>
          </w:tblCellMar>
        </w:tblPrEx>
        <w:tc>
          <w:tcPr>
            <w:tcW w:w="850" w:type="dxa"/>
          </w:tcPr>
          <w:p w14:paraId="6C4B70A3"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252D1361" w14:textId="77777777" w:rsidR="00906E9E" w:rsidRDefault="00906E9E">
            <w:pPr>
              <w:spacing w:line="240" w:lineRule="auto"/>
              <w:rPr>
                <w:sz w:val="24"/>
              </w:rPr>
            </w:pPr>
            <w:hyperlink w:anchor="Seif20" w:tooltip="מסירת הודעה על החלטה בערר" w:history="1">
              <w:r>
                <w:rPr>
                  <w:rStyle w:val="Hyperlink"/>
                </w:rPr>
                <w:t>Go</w:t>
              </w:r>
            </w:hyperlink>
          </w:p>
        </w:tc>
        <w:tc>
          <w:tcPr>
            <w:tcW w:w="5669" w:type="dxa"/>
          </w:tcPr>
          <w:p w14:paraId="4D4D34F2" w14:textId="77777777" w:rsidR="00906E9E" w:rsidRDefault="00906E9E">
            <w:pPr>
              <w:spacing w:line="240" w:lineRule="auto"/>
              <w:rPr>
                <w:sz w:val="24"/>
                <w:rtl/>
              </w:rPr>
            </w:pPr>
            <w:r>
              <w:rPr>
                <w:sz w:val="24"/>
                <w:rtl/>
              </w:rPr>
              <w:t>מסירת הודעה על החלטה בערר</w:t>
            </w:r>
          </w:p>
        </w:tc>
        <w:tc>
          <w:tcPr>
            <w:tcW w:w="1247" w:type="dxa"/>
          </w:tcPr>
          <w:p w14:paraId="25F51769" w14:textId="77777777" w:rsidR="00906E9E" w:rsidRDefault="00906E9E">
            <w:pPr>
              <w:spacing w:line="240" w:lineRule="auto"/>
              <w:rPr>
                <w:sz w:val="24"/>
              </w:rPr>
            </w:pPr>
            <w:r>
              <w:rPr>
                <w:sz w:val="24"/>
                <w:rtl/>
              </w:rPr>
              <w:t xml:space="preserve">סעיף 21 </w:t>
            </w:r>
          </w:p>
        </w:tc>
      </w:tr>
      <w:tr w:rsidR="00906E9E" w14:paraId="19DEF0BC" w14:textId="77777777">
        <w:tblPrEx>
          <w:tblCellMar>
            <w:top w:w="0" w:type="dxa"/>
            <w:bottom w:w="0" w:type="dxa"/>
          </w:tblCellMar>
        </w:tblPrEx>
        <w:tc>
          <w:tcPr>
            <w:tcW w:w="850" w:type="dxa"/>
          </w:tcPr>
          <w:p w14:paraId="16FAF4D0"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348E96F8" w14:textId="77777777" w:rsidR="00906E9E" w:rsidRDefault="00906E9E">
            <w:pPr>
              <w:spacing w:line="240" w:lineRule="auto"/>
              <w:rPr>
                <w:sz w:val="24"/>
              </w:rPr>
            </w:pPr>
            <w:hyperlink w:anchor="Seif21" w:tooltip="אי קיום מועדים" w:history="1">
              <w:r>
                <w:rPr>
                  <w:rStyle w:val="Hyperlink"/>
                </w:rPr>
                <w:t>Go</w:t>
              </w:r>
            </w:hyperlink>
          </w:p>
        </w:tc>
        <w:tc>
          <w:tcPr>
            <w:tcW w:w="5669" w:type="dxa"/>
          </w:tcPr>
          <w:p w14:paraId="5D4285E7" w14:textId="77777777" w:rsidR="00906E9E" w:rsidRDefault="00906E9E">
            <w:pPr>
              <w:spacing w:line="240" w:lineRule="auto"/>
              <w:rPr>
                <w:sz w:val="24"/>
                <w:rtl/>
              </w:rPr>
            </w:pPr>
            <w:r>
              <w:rPr>
                <w:sz w:val="24"/>
                <w:rtl/>
              </w:rPr>
              <w:t>אי קיום מועדים</w:t>
            </w:r>
          </w:p>
        </w:tc>
        <w:tc>
          <w:tcPr>
            <w:tcW w:w="1247" w:type="dxa"/>
          </w:tcPr>
          <w:p w14:paraId="5C17D8A4" w14:textId="77777777" w:rsidR="00906E9E" w:rsidRDefault="00906E9E">
            <w:pPr>
              <w:spacing w:line="240" w:lineRule="auto"/>
              <w:rPr>
                <w:sz w:val="24"/>
              </w:rPr>
            </w:pPr>
            <w:r>
              <w:rPr>
                <w:sz w:val="24"/>
                <w:rtl/>
              </w:rPr>
              <w:t xml:space="preserve">סעיף 22 </w:t>
            </w:r>
          </w:p>
        </w:tc>
      </w:tr>
      <w:tr w:rsidR="00906E9E" w14:paraId="4F3C7AEE" w14:textId="77777777">
        <w:tblPrEx>
          <w:tblCellMar>
            <w:top w:w="0" w:type="dxa"/>
            <w:bottom w:w="0" w:type="dxa"/>
          </w:tblCellMar>
        </w:tblPrEx>
        <w:tc>
          <w:tcPr>
            <w:tcW w:w="850" w:type="dxa"/>
          </w:tcPr>
          <w:p w14:paraId="18C61804" w14:textId="77777777" w:rsidR="00906E9E" w:rsidRDefault="00906E9E">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7C484D">
              <w:rPr>
                <w:noProof/>
                <w:sz w:val="24"/>
                <w:rtl/>
              </w:rPr>
              <w:t>3</w:t>
            </w:r>
            <w:r>
              <w:rPr>
                <w:sz w:val="24"/>
                <w:rtl/>
              </w:rPr>
              <w:fldChar w:fldCharType="end"/>
            </w:r>
          </w:p>
        </w:tc>
        <w:tc>
          <w:tcPr>
            <w:tcW w:w="567" w:type="dxa"/>
          </w:tcPr>
          <w:p w14:paraId="02942261" w14:textId="77777777" w:rsidR="00906E9E" w:rsidRDefault="00906E9E">
            <w:pPr>
              <w:spacing w:line="240" w:lineRule="auto"/>
              <w:rPr>
                <w:sz w:val="24"/>
              </w:rPr>
            </w:pPr>
            <w:hyperlink w:anchor="Seif22" w:tooltip="השם" w:history="1">
              <w:r>
                <w:rPr>
                  <w:rStyle w:val="Hyperlink"/>
                </w:rPr>
                <w:t>Go</w:t>
              </w:r>
            </w:hyperlink>
          </w:p>
        </w:tc>
        <w:tc>
          <w:tcPr>
            <w:tcW w:w="5669" w:type="dxa"/>
          </w:tcPr>
          <w:p w14:paraId="07F79D50" w14:textId="77777777" w:rsidR="00906E9E" w:rsidRDefault="00906E9E">
            <w:pPr>
              <w:spacing w:line="240" w:lineRule="auto"/>
              <w:rPr>
                <w:sz w:val="24"/>
                <w:rtl/>
              </w:rPr>
            </w:pPr>
            <w:r>
              <w:rPr>
                <w:sz w:val="24"/>
                <w:rtl/>
              </w:rPr>
              <w:t>השם</w:t>
            </w:r>
          </w:p>
        </w:tc>
        <w:tc>
          <w:tcPr>
            <w:tcW w:w="1247" w:type="dxa"/>
          </w:tcPr>
          <w:p w14:paraId="415AB0C6" w14:textId="77777777" w:rsidR="00906E9E" w:rsidRDefault="00906E9E">
            <w:pPr>
              <w:spacing w:line="240" w:lineRule="auto"/>
              <w:rPr>
                <w:sz w:val="24"/>
              </w:rPr>
            </w:pPr>
            <w:r>
              <w:rPr>
                <w:sz w:val="24"/>
                <w:rtl/>
              </w:rPr>
              <w:t xml:space="preserve">סעיף 23 </w:t>
            </w:r>
          </w:p>
        </w:tc>
      </w:tr>
    </w:tbl>
    <w:p w14:paraId="5E44D34D" w14:textId="77777777" w:rsidR="00906E9E" w:rsidRDefault="00906E9E">
      <w:pPr>
        <w:pStyle w:val="big-header"/>
        <w:ind w:left="0" w:right="1134"/>
        <w:rPr>
          <w:rFonts w:cs="FrankRuehl"/>
          <w:sz w:val="32"/>
          <w:rtl/>
        </w:rPr>
      </w:pPr>
    </w:p>
    <w:p w14:paraId="116B1ED2" w14:textId="77777777" w:rsidR="00906E9E" w:rsidRDefault="00906E9E" w:rsidP="007C484D">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ההתגוננות האזרחית (הגשת תלונה וסדרי הדין בדין משמעתי), </w:t>
      </w:r>
      <w:r w:rsidR="007C484D">
        <w:rPr>
          <w:rFonts w:cs="FrankRuehl"/>
          <w:sz w:val="32"/>
          <w:rtl/>
        </w:rPr>
        <w:br/>
      </w:r>
      <w:r>
        <w:rPr>
          <w:rFonts w:cs="FrankRuehl" w:hint="cs"/>
          <w:sz w:val="32"/>
          <w:rtl/>
        </w:rPr>
        <w:t>תשל"א</w:t>
      </w:r>
      <w:r w:rsidR="007C484D">
        <w:rPr>
          <w:rFonts w:cs="FrankRuehl" w:hint="cs"/>
          <w:sz w:val="32"/>
          <w:rtl/>
        </w:rPr>
        <w:t>-</w:t>
      </w:r>
      <w:r>
        <w:rPr>
          <w:rFonts w:cs="FrankRuehl"/>
          <w:sz w:val="32"/>
          <w:rtl/>
        </w:rPr>
        <w:t>1971</w:t>
      </w:r>
      <w:r w:rsidR="007C484D">
        <w:rPr>
          <w:rStyle w:val="a6"/>
          <w:rFonts w:cs="FrankRuehl"/>
          <w:sz w:val="32"/>
          <w:rtl/>
        </w:rPr>
        <w:footnoteReference w:customMarkFollows="1" w:id="1"/>
        <w:t>*</w:t>
      </w:r>
    </w:p>
    <w:p w14:paraId="558A1CB4" w14:textId="77777777" w:rsidR="00906E9E" w:rsidRDefault="00906E9E" w:rsidP="007C484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24 לתוספת לחוק ההתגוננות האזרחית, תשי"א</w:t>
      </w:r>
      <w:r w:rsidR="007C484D">
        <w:rPr>
          <w:rStyle w:val="default"/>
          <w:rFonts w:cs="FrankRuehl" w:hint="cs"/>
          <w:rtl/>
        </w:rPr>
        <w:t>-</w:t>
      </w:r>
      <w:r>
        <w:rPr>
          <w:rStyle w:val="default"/>
          <w:rFonts w:cs="FrankRuehl"/>
          <w:rtl/>
        </w:rPr>
        <w:t xml:space="preserve">1951, </w:t>
      </w:r>
      <w:r>
        <w:rPr>
          <w:rStyle w:val="default"/>
          <w:rFonts w:cs="FrankRuehl" w:hint="cs"/>
          <w:rtl/>
        </w:rPr>
        <w:t>אני מתקין תקנות אלה:</w:t>
      </w:r>
    </w:p>
    <w:p w14:paraId="2E7C0AFF" w14:textId="77777777" w:rsidR="00906E9E" w:rsidRDefault="00906E9E" w:rsidP="007C484D">
      <w:pPr>
        <w:pStyle w:val="P00"/>
        <w:spacing w:before="72"/>
        <w:ind w:left="0" w:right="1134"/>
        <w:rPr>
          <w:rStyle w:val="default"/>
          <w:rFonts w:cs="FrankRuehl"/>
          <w:rtl/>
        </w:rPr>
      </w:pPr>
      <w:bookmarkStart w:id="0" w:name="Seif0"/>
      <w:bookmarkEnd w:id="0"/>
      <w:r>
        <w:rPr>
          <w:lang w:val="he-IL"/>
        </w:rPr>
        <w:pict w14:anchorId="46C02618">
          <v:rect id="_x0000_s1026" style="position:absolute;left:0;text-align:left;margin-left:464.5pt;margin-top:8.05pt;width:75.05pt;height:11pt;z-index:251646464" o:allowincell="f" filled="f" stroked="f" strokecolor="lime" strokeweight=".25pt">
            <v:textbox inset="0,0,0,0">
              <w:txbxContent>
                <w:p w14:paraId="63206FD6" w14:textId="77777777" w:rsidR="00906E9E" w:rsidRDefault="00906E9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"חבר הגא" </w:t>
      </w:r>
      <w:r w:rsidR="007C484D">
        <w:rPr>
          <w:rStyle w:val="default"/>
          <w:rFonts w:cs="FrankRuehl" w:hint="cs"/>
          <w:rtl/>
        </w:rPr>
        <w:t>-</w:t>
      </w:r>
      <w:r>
        <w:rPr>
          <w:rStyle w:val="default"/>
          <w:rFonts w:cs="FrankRuehl"/>
          <w:rtl/>
        </w:rPr>
        <w:t xml:space="preserve"> </w:t>
      </w:r>
      <w:r>
        <w:rPr>
          <w:rStyle w:val="default"/>
          <w:rFonts w:cs="FrankRuehl" w:hint="cs"/>
          <w:rtl/>
        </w:rPr>
        <w:t>חבר הגא שאינו חייל.</w:t>
      </w:r>
    </w:p>
    <w:p w14:paraId="67BE97CD" w14:textId="77777777" w:rsidR="00906E9E" w:rsidRDefault="00906E9E">
      <w:pPr>
        <w:pStyle w:val="P00"/>
        <w:spacing w:before="72"/>
        <w:ind w:left="0" w:right="1134"/>
        <w:rPr>
          <w:rStyle w:val="default"/>
          <w:rFonts w:cs="FrankRuehl"/>
          <w:rtl/>
        </w:rPr>
      </w:pPr>
      <w:bookmarkStart w:id="1" w:name="Seif1"/>
      <w:bookmarkEnd w:id="1"/>
      <w:r>
        <w:rPr>
          <w:lang w:val="he-IL"/>
        </w:rPr>
        <w:pict w14:anchorId="548248F3">
          <v:rect id="_x0000_s1027" style="position:absolute;left:0;text-align:left;margin-left:464.5pt;margin-top:8.05pt;width:75.05pt;height:19.1pt;z-index:251647488" o:allowincell="f" filled="f" stroked="f" strokecolor="lime" strokeweight=".25pt">
            <v:textbox inset="0,0,0,0">
              <w:txbxContent>
                <w:p w14:paraId="3CEEA9BB" w14:textId="77777777" w:rsidR="00906E9E" w:rsidRDefault="00906E9E" w:rsidP="007C484D">
                  <w:pPr>
                    <w:spacing w:line="160" w:lineRule="exact"/>
                    <w:jc w:val="left"/>
                    <w:rPr>
                      <w:rFonts w:cs="Miriam"/>
                      <w:noProof/>
                      <w:sz w:val="18"/>
                      <w:szCs w:val="18"/>
                      <w:rtl/>
                    </w:rPr>
                  </w:pPr>
                  <w:r>
                    <w:rPr>
                      <w:rFonts w:cs="Miriam"/>
                      <w:sz w:val="18"/>
                      <w:szCs w:val="18"/>
                      <w:rtl/>
                    </w:rPr>
                    <w:t>המ</w:t>
                  </w:r>
                  <w:r>
                    <w:rPr>
                      <w:rFonts w:cs="Miriam" w:hint="cs"/>
                      <w:sz w:val="18"/>
                      <w:szCs w:val="18"/>
                      <w:rtl/>
                    </w:rPr>
                    <w:t>וסמכים להגיש</w:t>
                  </w:r>
                  <w:r w:rsidR="007C484D">
                    <w:rPr>
                      <w:rFonts w:cs="Miriam" w:hint="cs"/>
                      <w:sz w:val="18"/>
                      <w:szCs w:val="18"/>
                      <w:rtl/>
                    </w:rPr>
                    <w:t xml:space="preserve"> </w:t>
                  </w:r>
                  <w:r>
                    <w:rPr>
                      <w:rFonts w:cs="Miriam"/>
                      <w:sz w:val="18"/>
                      <w:szCs w:val="18"/>
                      <w:rtl/>
                    </w:rPr>
                    <w:t>תל</w:t>
                  </w:r>
                  <w:r>
                    <w:rPr>
                      <w:rFonts w:cs="Miriam" w:hint="cs"/>
                      <w:sz w:val="18"/>
                      <w:szCs w:val="18"/>
                      <w:rtl/>
                    </w:rPr>
                    <w:t>ונה</w:t>
                  </w:r>
                </w:p>
              </w:txbxContent>
            </v:textbox>
            <w10:anchorlock/>
          </v:rect>
        </w:pict>
      </w:r>
      <w:r>
        <w:rPr>
          <w:rStyle w:val="big-number"/>
          <w:rFonts w:cs="Miriam"/>
          <w:rtl/>
        </w:rPr>
        <w:t>2.</w:t>
      </w:r>
      <w:r>
        <w:rPr>
          <w:rStyle w:val="big-number"/>
          <w:rFonts w:cs="Miriam"/>
          <w:rtl/>
        </w:rPr>
        <w:tab/>
      </w:r>
      <w:r>
        <w:rPr>
          <w:rStyle w:val="default"/>
          <w:rFonts w:cs="FrankRuehl"/>
          <w:rtl/>
        </w:rPr>
        <w:t>אל</w:t>
      </w:r>
      <w:r>
        <w:rPr>
          <w:rStyle w:val="default"/>
          <w:rFonts w:cs="FrankRuehl" w:hint="cs"/>
          <w:rtl/>
        </w:rPr>
        <w:t>ה מוסמכים ל</w:t>
      </w:r>
      <w:r>
        <w:rPr>
          <w:rStyle w:val="default"/>
          <w:rFonts w:cs="FrankRuehl"/>
          <w:rtl/>
        </w:rPr>
        <w:t>הג</w:t>
      </w:r>
      <w:r>
        <w:rPr>
          <w:rStyle w:val="default"/>
          <w:rFonts w:cs="FrankRuehl" w:hint="cs"/>
          <w:rtl/>
        </w:rPr>
        <w:t>יש תלונה נגד חבר הגא:</w:t>
      </w:r>
    </w:p>
    <w:p w14:paraId="15D27209" w14:textId="77777777" w:rsidR="00906E9E" w:rsidRDefault="00906E9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פקד יחידת הגא שאליה הוצב אותו חבר הגא;</w:t>
      </w:r>
    </w:p>
    <w:p w14:paraId="456D7F96" w14:textId="77777777" w:rsidR="00906E9E" w:rsidRDefault="00906E9E">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הגא הממונה על המשמעת ביחידה;</w:t>
      </w:r>
    </w:p>
    <w:p w14:paraId="14C47FCD" w14:textId="77777777" w:rsidR="00906E9E" w:rsidRDefault="00906E9E">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ייל או חבר הגא שראש הגא הסמיכו לכך.</w:t>
      </w:r>
    </w:p>
    <w:p w14:paraId="51679AF0" w14:textId="77777777" w:rsidR="00906E9E" w:rsidRDefault="00906E9E">
      <w:pPr>
        <w:pStyle w:val="P00"/>
        <w:spacing w:before="72"/>
        <w:ind w:left="0" w:right="1134"/>
        <w:rPr>
          <w:rStyle w:val="default"/>
          <w:rFonts w:cs="FrankRuehl"/>
          <w:rtl/>
        </w:rPr>
      </w:pPr>
      <w:bookmarkStart w:id="2" w:name="Seif2"/>
      <w:bookmarkEnd w:id="2"/>
      <w:r>
        <w:rPr>
          <w:lang w:val="he-IL"/>
        </w:rPr>
        <w:pict w14:anchorId="25357123">
          <v:rect id="_x0000_s1028" style="position:absolute;left:0;text-align:left;margin-left:464.5pt;margin-top:8.05pt;width:75.05pt;height:10.95pt;z-index:251648512" o:allowincell="f" filled="f" stroked="f" strokecolor="lime" strokeweight=".25pt">
            <v:textbox inset="0,0,0,0">
              <w:txbxContent>
                <w:p w14:paraId="2CD79F7F" w14:textId="77777777" w:rsidR="00906E9E" w:rsidRDefault="00906E9E">
                  <w:pPr>
                    <w:spacing w:line="160" w:lineRule="exact"/>
                    <w:jc w:val="left"/>
                    <w:rPr>
                      <w:rFonts w:cs="Miriam"/>
                      <w:noProof/>
                      <w:sz w:val="18"/>
                      <w:szCs w:val="18"/>
                      <w:rtl/>
                    </w:rPr>
                  </w:pPr>
                  <w:r>
                    <w:rPr>
                      <w:rFonts w:cs="Miriam"/>
                      <w:sz w:val="18"/>
                      <w:szCs w:val="18"/>
                      <w:rtl/>
                    </w:rPr>
                    <w:t>טו</w:t>
                  </w:r>
                  <w:r>
                    <w:rPr>
                      <w:rFonts w:cs="Miriam" w:hint="cs"/>
                      <w:sz w:val="18"/>
                      <w:szCs w:val="18"/>
                      <w:rtl/>
                    </w:rPr>
                    <w:t>פס התלונה</w:t>
                  </w:r>
                </w:p>
              </w:txbxContent>
            </v:textbox>
            <w10:anchorlock/>
          </v:rect>
        </w:pict>
      </w:r>
      <w:r>
        <w:rPr>
          <w:rStyle w:val="big-number"/>
          <w:rFonts w:cs="Miriam"/>
          <w:rtl/>
        </w:rPr>
        <w:t>3.</w:t>
      </w:r>
      <w:r>
        <w:rPr>
          <w:rStyle w:val="big-number"/>
          <w:rFonts w:cs="Miriam"/>
          <w:rtl/>
        </w:rPr>
        <w:tab/>
      </w:r>
      <w:r>
        <w:rPr>
          <w:rStyle w:val="default"/>
          <w:rFonts w:cs="FrankRuehl"/>
          <w:rtl/>
        </w:rPr>
        <w:t>הת</w:t>
      </w:r>
      <w:r>
        <w:rPr>
          <w:rStyle w:val="default"/>
          <w:rFonts w:cs="FrankRuehl" w:hint="cs"/>
          <w:rtl/>
        </w:rPr>
        <w:t>לונה תיערך לפי הטופס שיקבע ראש הגא.</w:t>
      </w:r>
    </w:p>
    <w:p w14:paraId="0EAFBD43" w14:textId="77777777" w:rsidR="00906E9E" w:rsidRDefault="00906E9E" w:rsidP="007C484D">
      <w:pPr>
        <w:pStyle w:val="P00"/>
        <w:spacing w:before="72"/>
        <w:ind w:left="0" w:right="1134"/>
        <w:rPr>
          <w:rStyle w:val="default"/>
          <w:rFonts w:cs="FrankRuehl"/>
          <w:rtl/>
        </w:rPr>
      </w:pPr>
      <w:bookmarkStart w:id="3" w:name="Seif3"/>
      <w:bookmarkEnd w:id="3"/>
      <w:r>
        <w:rPr>
          <w:lang w:val="he-IL"/>
        </w:rPr>
        <w:pict w14:anchorId="0E4223E9">
          <v:rect id="_x0000_s1029" style="position:absolute;left:0;text-align:left;margin-left:464.5pt;margin-top:8.05pt;width:75.05pt;height:13.45pt;z-index:251649536" o:allowincell="f" filled="f" stroked="f" strokecolor="lime" strokeweight=".25pt">
            <v:textbox inset="0,0,0,0">
              <w:txbxContent>
                <w:p w14:paraId="37911FDB" w14:textId="77777777" w:rsidR="00906E9E" w:rsidRDefault="00906E9E">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לונה תוגש, תירשם ותימסר בדרך שבה </w:t>
      </w:r>
      <w:r>
        <w:rPr>
          <w:rStyle w:val="default"/>
          <w:rFonts w:cs="FrankRuehl"/>
          <w:rtl/>
        </w:rPr>
        <w:t>מ</w:t>
      </w:r>
      <w:r>
        <w:rPr>
          <w:rStyle w:val="default"/>
          <w:rFonts w:cs="FrankRuehl" w:hint="cs"/>
          <w:rtl/>
        </w:rPr>
        <w:t>גישים, רושמים ומוסרים תלו</w:t>
      </w:r>
      <w:r>
        <w:rPr>
          <w:rStyle w:val="default"/>
          <w:rFonts w:cs="FrankRuehl"/>
          <w:rtl/>
        </w:rPr>
        <w:t>נה</w:t>
      </w:r>
      <w:r>
        <w:rPr>
          <w:rStyle w:val="default"/>
          <w:rFonts w:cs="FrankRuehl" w:hint="cs"/>
          <w:rtl/>
        </w:rPr>
        <w:t xml:space="preserve"> נגד חייל על-פי חוק השיפוט הצבאי, תשט"ו</w:t>
      </w:r>
      <w:r w:rsidR="007C484D">
        <w:rPr>
          <w:rStyle w:val="default"/>
          <w:rFonts w:cs="FrankRuehl" w:hint="cs"/>
          <w:rtl/>
        </w:rPr>
        <w:t>-</w:t>
      </w:r>
      <w:r>
        <w:rPr>
          <w:rStyle w:val="default"/>
          <w:rFonts w:cs="FrankRuehl"/>
          <w:rtl/>
        </w:rPr>
        <w:t xml:space="preserve">1955, </w:t>
      </w:r>
      <w:r>
        <w:rPr>
          <w:rStyle w:val="default"/>
          <w:rFonts w:cs="FrankRuehl" w:hint="cs"/>
          <w:rtl/>
        </w:rPr>
        <w:t>ועל-פי פקודות הצבא.</w:t>
      </w:r>
    </w:p>
    <w:p w14:paraId="06FC5F2D"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תלונה תובא תוך תשעים ושש שעות ממועד הגשתה כאמור בפני קצין שיפוט המוסמך לדון בתלונה.</w:t>
      </w:r>
    </w:p>
    <w:p w14:paraId="1ADBFECB" w14:textId="77777777" w:rsidR="00906E9E" w:rsidRDefault="00906E9E">
      <w:pPr>
        <w:pStyle w:val="P00"/>
        <w:spacing w:before="72"/>
        <w:ind w:left="0" w:right="1134"/>
        <w:rPr>
          <w:rStyle w:val="default"/>
          <w:rFonts w:cs="FrankRuehl"/>
          <w:rtl/>
        </w:rPr>
      </w:pPr>
      <w:bookmarkStart w:id="4" w:name="Seif4"/>
      <w:bookmarkEnd w:id="4"/>
      <w:r>
        <w:rPr>
          <w:lang w:val="he-IL"/>
        </w:rPr>
        <w:pict w14:anchorId="1A684D1B">
          <v:rect id="_x0000_s1030" style="position:absolute;left:0;text-align:left;margin-left:464.5pt;margin-top:8.05pt;width:75.05pt;height:12.5pt;z-index:251650560" o:allowincell="f" filled="f" stroked="f" strokecolor="lime" strokeweight=".25pt">
            <v:textbox inset="0,0,0,0">
              <w:txbxContent>
                <w:p w14:paraId="26A79F37" w14:textId="77777777" w:rsidR="00906E9E" w:rsidRDefault="00906E9E">
                  <w:pPr>
                    <w:spacing w:line="160" w:lineRule="exact"/>
                    <w:jc w:val="left"/>
                    <w:rPr>
                      <w:rFonts w:cs="Miriam"/>
                      <w:noProof/>
                      <w:sz w:val="18"/>
                      <w:szCs w:val="18"/>
                      <w:rtl/>
                    </w:rPr>
                  </w:pPr>
                  <w:r>
                    <w:rPr>
                      <w:rFonts w:cs="Miriam"/>
                      <w:sz w:val="18"/>
                      <w:szCs w:val="18"/>
                      <w:rtl/>
                    </w:rPr>
                    <w:t>תל</w:t>
                  </w:r>
                  <w:r>
                    <w:rPr>
                      <w:rFonts w:cs="Miriam" w:hint="cs"/>
                      <w:sz w:val="18"/>
                      <w:szCs w:val="18"/>
                      <w:rtl/>
                    </w:rPr>
                    <w:t>ונה נפרדת</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כל עבירה ונגד כל נאשם תיערך תלונה נפרדת.</w:t>
      </w:r>
    </w:p>
    <w:p w14:paraId="04CA6321" w14:textId="77777777" w:rsidR="00906E9E" w:rsidRDefault="00906E9E">
      <w:pPr>
        <w:pStyle w:val="P00"/>
        <w:spacing w:before="72"/>
        <w:ind w:left="0" w:right="1134"/>
        <w:rPr>
          <w:rStyle w:val="default"/>
          <w:rFonts w:cs="FrankRuehl"/>
          <w:rtl/>
        </w:rPr>
      </w:pPr>
      <w:bookmarkStart w:id="5" w:name="Seif5"/>
      <w:bookmarkEnd w:id="5"/>
      <w:r>
        <w:rPr>
          <w:lang w:val="he-IL"/>
        </w:rPr>
        <w:pict w14:anchorId="2E62C5C6">
          <v:rect id="_x0000_s1031" style="position:absolute;left:0;text-align:left;margin-left:464.5pt;margin-top:8.05pt;width:75.05pt;height:24pt;z-index:251651584" o:allowincell="f" filled="f" stroked="f" strokecolor="lime" strokeweight=".25pt">
            <v:textbox inset="0,0,0,0">
              <w:txbxContent>
                <w:p w14:paraId="489B7CE2" w14:textId="77777777" w:rsidR="00906E9E" w:rsidRDefault="00906E9E" w:rsidP="007C484D">
                  <w:pPr>
                    <w:spacing w:line="160" w:lineRule="exact"/>
                    <w:jc w:val="left"/>
                    <w:rPr>
                      <w:rFonts w:cs="Miriam"/>
                      <w:noProof/>
                      <w:sz w:val="18"/>
                      <w:szCs w:val="18"/>
                      <w:rtl/>
                    </w:rPr>
                  </w:pPr>
                  <w:r>
                    <w:rPr>
                      <w:rFonts w:cs="Miriam"/>
                      <w:sz w:val="18"/>
                      <w:szCs w:val="18"/>
                      <w:rtl/>
                    </w:rPr>
                    <w:t>פר</w:t>
                  </w:r>
                  <w:r>
                    <w:rPr>
                      <w:rFonts w:cs="Miriam" w:hint="cs"/>
                      <w:sz w:val="18"/>
                      <w:szCs w:val="18"/>
                      <w:rtl/>
                    </w:rPr>
                    <w:t>טים לא</w:t>
                  </w:r>
                  <w:r w:rsidR="007C484D">
                    <w:rPr>
                      <w:rFonts w:cs="Miriam" w:hint="cs"/>
                      <w:sz w:val="18"/>
                      <w:szCs w:val="18"/>
                      <w:rtl/>
                    </w:rPr>
                    <w:t xml:space="preserve"> </w:t>
                  </w:r>
                  <w:r>
                    <w:rPr>
                      <w:rFonts w:cs="Miriam"/>
                      <w:sz w:val="18"/>
                      <w:szCs w:val="18"/>
                      <w:rtl/>
                    </w:rPr>
                    <w:t>מד</w:t>
                  </w:r>
                  <w:r>
                    <w:rPr>
                      <w:rFonts w:cs="Miriam" w:hint="cs"/>
                      <w:sz w:val="18"/>
                      <w:szCs w:val="18"/>
                      <w:rtl/>
                    </w:rPr>
                    <w:t>וייקים על</w:t>
                  </w:r>
                  <w:r w:rsidR="007C484D">
                    <w:rPr>
                      <w:rFonts w:cs="Miriam" w:hint="cs"/>
                      <w:noProof/>
                      <w:sz w:val="18"/>
                      <w:szCs w:val="18"/>
                      <w:rtl/>
                    </w:rPr>
                    <w:t xml:space="preserve"> </w:t>
                  </w:r>
                  <w:r>
                    <w:rPr>
                      <w:rFonts w:cs="Miriam"/>
                      <w:sz w:val="18"/>
                      <w:szCs w:val="18"/>
                      <w:rtl/>
                    </w:rPr>
                    <w:t>הנ</w:t>
                  </w:r>
                  <w:r>
                    <w:rPr>
                      <w:rFonts w:cs="Miriam" w:hint="cs"/>
                      <w:sz w:val="18"/>
                      <w:szCs w:val="18"/>
                      <w:rtl/>
                    </w:rPr>
                    <w:t>אשם</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ו חסרים בטופס התלונה מקצת הפרטים על הנאשם או</w:t>
      </w:r>
      <w:r>
        <w:rPr>
          <w:rStyle w:val="default"/>
          <w:rFonts w:cs="FrankRuehl"/>
          <w:rtl/>
        </w:rPr>
        <w:t xml:space="preserve"> ח</w:t>
      </w:r>
      <w:r>
        <w:rPr>
          <w:rStyle w:val="default"/>
          <w:rFonts w:cs="FrankRuehl" w:hint="cs"/>
          <w:rtl/>
        </w:rPr>
        <w:t>ל אי-דיוק בפרטים הרשומים בו, לא תיפסל בשל כך התלונה, אם על-פי הפרטים הרשומים בטופס ניתן לזהות את הנאשם.</w:t>
      </w:r>
    </w:p>
    <w:p w14:paraId="63499100" w14:textId="77777777" w:rsidR="00906E9E" w:rsidRDefault="00906E9E">
      <w:pPr>
        <w:pStyle w:val="P00"/>
        <w:spacing w:before="72"/>
        <w:ind w:left="0" w:right="1134"/>
        <w:rPr>
          <w:rStyle w:val="default"/>
          <w:rFonts w:cs="FrankRuehl"/>
          <w:rtl/>
        </w:rPr>
      </w:pPr>
      <w:bookmarkStart w:id="6" w:name="Seif6"/>
      <w:bookmarkEnd w:id="6"/>
      <w:r>
        <w:rPr>
          <w:lang w:val="he-IL"/>
        </w:rPr>
        <w:pict w14:anchorId="1E4A02EA">
          <v:rect id="_x0000_s1032" style="position:absolute;left:0;text-align:left;margin-left:464.5pt;margin-top:8.05pt;width:75.05pt;height:24pt;z-index:251652608" o:allowincell="f" filled="f" stroked="f" strokecolor="lime" strokeweight=".25pt">
            <v:textbox inset="0,0,0,0">
              <w:txbxContent>
                <w:p w14:paraId="3A754BEA" w14:textId="77777777" w:rsidR="00906E9E" w:rsidRDefault="00906E9E" w:rsidP="007C484D">
                  <w:pPr>
                    <w:spacing w:line="160" w:lineRule="exact"/>
                    <w:jc w:val="left"/>
                    <w:rPr>
                      <w:rFonts w:cs="Miriam"/>
                      <w:noProof/>
                      <w:sz w:val="18"/>
                      <w:szCs w:val="18"/>
                      <w:rtl/>
                    </w:rPr>
                  </w:pPr>
                  <w:r>
                    <w:rPr>
                      <w:rFonts w:cs="Miriam"/>
                      <w:sz w:val="18"/>
                      <w:szCs w:val="18"/>
                      <w:rtl/>
                    </w:rPr>
                    <w:t>הע</w:t>
                  </w:r>
                  <w:r>
                    <w:rPr>
                      <w:rFonts w:cs="Miriam" w:hint="cs"/>
                      <w:sz w:val="18"/>
                      <w:szCs w:val="18"/>
                      <w:rtl/>
                    </w:rPr>
                    <w:t>ברת תלונה</w:t>
                  </w:r>
                  <w:r w:rsidR="007C484D">
                    <w:rPr>
                      <w:rFonts w:cs="Miriam" w:hint="cs"/>
                      <w:sz w:val="18"/>
                      <w:szCs w:val="18"/>
                      <w:rtl/>
                    </w:rPr>
                    <w:t xml:space="preserve"> </w:t>
                  </w:r>
                  <w:r>
                    <w:rPr>
                      <w:rFonts w:cs="Miriam"/>
                      <w:sz w:val="18"/>
                      <w:szCs w:val="18"/>
                      <w:rtl/>
                    </w:rPr>
                    <w:t>שה</w:t>
                  </w:r>
                  <w:r>
                    <w:rPr>
                      <w:rFonts w:cs="Miriam" w:hint="cs"/>
                      <w:sz w:val="18"/>
                      <w:szCs w:val="18"/>
                      <w:rtl/>
                    </w:rPr>
                    <w:t>ופנתה</w:t>
                  </w:r>
                  <w:r w:rsidR="007C484D">
                    <w:rPr>
                      <w:rFonts w:cs="Miriam" w:hint="cs"/>
                      <w:sz w:val="18"/>
                      <w:szCs w:val="18"/>
                      <w:rtl/>
                    </w:rPr>
                    <w:t xml:space="preserve"> </w:t>
                  </w:r>
                  <w:r>
                    <w:rPr>
                      <w:rFonts w:cs="Miriam"/>
                      <w:sz w:val="18"/>
                      <w:szCs w:val="18"/>
                      <w:rtl/>
                    </w:rPr>
                    <w:t>בט</w:t>
                  </w:r>
                  <w:r>
                    <w:rPr>
                      <w:rFonts w:cs="Miriam" w:hint="cs"/>
                      <w:sz w:val="18"/>
                      <w:szCs w:val="18"/>
                      <w:rtl/>
                    </w:rPr>
                    <w:t>עות</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באה תלונה לפני קצין שיפוט שאינו מוסמך לדון את הנאשם, יעבירה אל קצין השיפוט המוסמך לדונו.</w:t>
      </w:r>
    </w:p>
    <w:p w14:paraId="184C86B1" w14:textId="77777777" w:rsidR="00906E9E" w:rsidRDefault="00906E9E">
      <w:pPr>
        <w:pStyle w:val="P00"/>
        <w:spacing w:before="72"/>
        <w:ind w:left="0" w:right="1134"/>
        <w:rPr>
          <w:rStyle w:val="default"/>
          <w:rFonts w:cs="FrankRuehl"/>
          <w:rtl/>
        </w:rPr>
      </w:pPr>
      <w:bookmarkStart w:id="7" w:name="Seif7"/>
      <w:bookmarkEnd w:id="7"/>
      <w:r>
        <w:rPr>
          <w:lang w:val="he-IL"/>
        </w:rPr>
        <w:pict w14:anchorId="185E9783">
          <v:rect id="_x0000_s1033" style="position:absolute;left:0;text-align:left;margin-left:464.5pt;margin-top:8.05pt;width:75.05pt;height:16pt;z-index:251653632" o:allowincell="f" filled="f" stroked="f" strokecolor="lime" strokeweight=".25pt">
            <v:textbox inset="0,0,0,0">
              <w:txbxContent>
                <w:p w14:paraId="0A248E64" w14:textId="77777777" w:rsidR="00906E9E" w:rsidRDefault="00906E9E" w:rsidP="007C484D">
                  <w:pPr>
                    <w:spacing w:line="160" w:lineRule="exact"/>
                    <w:jc w:val="left"/>
                    <w:rPr>
                      <w:rFonts w:cs="Miriam"/>
                      <w:noProof/>
                      <w:sz w:val="18"/>
                      <w:szCs w:val="18"/>
                      <w:rtl/>
                    </w:rPr>
                  </w:pPr>
                  <w:r>
                    <w:rPr>
                      <w:rFonts w:cs="Miriam"/>
                      <w:sz w:val="18"/>
                      <w:szCs w:val="18"/>
                      <w:rtl/>
                    </w:rPr>
                    <w:t>פע</w:t>
                  </w:r>
                  <w:r>
                    <w:rPr>
                      <w:rFonts w:cs="Miriam" w:hint="cs"/>
                      <w:sz w:val="18"/>
                      <w:szCs w:val="18"/>
                      <w:rtl/>
                    </w:rPr>
                    <w:t>ולות קצין</w:t>
                  </w:r>
                  <w:r w:rsidR="007C484D">
                    <w:rPr>
                      <w:rFonts w:cs="Miriam" w:hint="cs"/>
                      <w:sz w:val="18"/>
                      <w:szCs w:val="18"/>
                      <w:rtl/>
                    </w:rPr>
                    <w:t xml:space="preserve"> </w:t>
                  </w:r>
                  <w:r>
                    <w:rPr>
                      <w:rFonts w:cs="Miriam"/>
                      <w:sz w:val="18"/>
                      <w:szCs w:val="18"/>
                      <w:rtl/>
                    </w:rPr>
                    <w:t>הש</w:t>
                  </w:r>
                  <w:r>
                    <w:rPr>
                      <w:rFonts w:cs="Miriam" w:hint="cs"/>
                      <w:sz w:val="18"/>
                      <w:szCs w:val="18"/>
                      <w:rtl/>
                    </w:rPr>
                    <w:t>יפוט</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צין שיפוט שלפניו הובאה תלונה רשאי לעשות אחת מא</w:t>
      </w:r>
      <w:r>
        <w:rPr>
          <w:rStyle w:val="default"/>
          <w:rFonts w:cs="FrankRuehl"/>
          <w:rtl/>
        </w:rPr>
        <w:t>לה</w:t>
      </w:r>
      <w:r>
        <w:rPr>
          <w:rStyle w:val="default"/>
          <w:rFonts w:cs="FrankRuehl" w:hint="cs"/>
          <w:rtl/>
        </w:rPr>
        <w:t>:</w:t>
      </w:r>
    </w:p>
    <w:p w14:paraId="4AD7F809" w14:textId="77777777" w:rsidR="00906E9E" w:rsidRDefault="00906E9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בטל את התלונה כאמור בתקנה 11;</w:t>
      </w:r>
    </w:p>
    <w:p w14:paraId="5A5352E6" w14:textId="77777777" w:rsidR="00906E9E" w:rsidRDefault="00906E9E">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דון בה בעצמו;</w:t>
      </w:r>
    </w:p>
    <w:p w14:paraId="49A03565" w14:textId="77777777" w:rsidR="00906E9E" w:rsidRDefault="00906E9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העביר אותה, כל עוד לא גזר דינו של הנאשם או לא זיכהו, לדיון לפני קצין שיפוט אחר.</w:t>
      </w:r>
    </w:p>
    <w:p w14:paraId="222D367D"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w:t>
      </w:r>
      <w:r>
        <w:rPr>
          <w:rStyle w:val="default"/>
          <w:rFonts w:cs="FrankRuehl"/>
          <w:rtl/>
        </w:rPr>
        <w:t>לט</w:t>
      </w:r>
      <w:r>
        <w:rPr>
          <w:rStyle w:val="default"/>
          <w:rFonts w:cs="FrankRuehl" w:hint="cs"/>
          <w:rtl/>
        </w:rPr>
        <w:t>ה לפי תקנת משנה (א)(1) או (3) יכול שתינתן גם שלא בפני הנאשם.</w:t>
      </w:r>
    </w:p>
    <w:p w14:paraId="3B90283C" w14:textId="77777777" w:rsidR="00906E9E" w:rsidRDefault="00906E9E">
      <w:pPr>
        <w:pStyle w:val="P00"/>
        <w:spacing w:before="72"/>
        <w:ind w:left="0" w:right="1134"/>
        <w:rPr>
          <w:rStyle w:val="default"/>
          <w:rFonts w:cs="FrankRuehl"/>
          <w:rtl/>
        </w:rPr>
      </w:pPr>
      <w:bookmarkStart w:id="8" w:name="Seif8"/>
      <w:bookmarkEnd w:id="8"/>
      <w:r>
        <w:rPr>
          <w:lang w:val="he-IL"/>
        </w:rPr>
        <w:pict w14:anchorId="7FE74185">
          <v:rect id="_x0000_s1034" style="position:absolute;left:0;text-align:left;margin-left:464.5pt;margin-top:8.05pt;width:75.05pt;height:16pt;z-index:251654656" o:allowincell="f" filled="f" stroked="f" strokecolor="lime" strokeweight=".25pt">
            <v:textbox inset="0,0,0,0">
              <w:txbxContent>
                <w:p w14:paraId="73DAD73B" w14:textId="77777777" w:rsidR="00906E9E" w:rsidRDefault="00906E9E" w:rsidP="007C484D">
                  <w:pPr>
                    <w:spacing w:line="160" w:lineRule="exact"/>
                    <w:jc w:val="left"/>
                    <w:rPr>
                      <w:rFonts w:cs="Miriam"/>
                      <w:noProof/>
                      <w:sz w:val="18"/>
                      <w:szCs w:val="18"/>
                      <w:rtl/>
                    </w:rPr>
                  </w:pPr>
                  <w:r>
                    <w:rPr>
                      <w:rFonts w:cs="Miriam"/>
                      <w:sz w:val="18"/>
                      <w:szCs w:val="18"/>
                      <w:rtl/>
                    </w:rPr>
                    <w:t>מו</w:t>
                  </w:r>
                  <w:r>
                    <w:rPr>
                      <w:rFonts w:cs="Miriam" w:hint="cs"/>
                      <w:sz w:val="18"/>
                      <w:szCs w:val="18"/>
                      <w:rtl/>
                    </w:rPr>
                    <w:t>עד הדיון</w:t>
                  </w:r>
                  <w:r w:rsidR="007C484D">
                    <w:rPr>
                      <w:rFonts w:cs="Miriam" w:hint="cs"/>
                      <w:sz w:val="18"/>
                      <w:szCs w:val="18"/>
                      <w:rtl/>
                    </w:rPr>
                    <w:t xml:space="preserve"> </w:t>
                  </w:r>
                  <w:r>
                    <w:rPr>
                      <w:rFonts w:cs="Miriam"/>
                      <w:sz w:val="18"/>
                      <w:szCs w:val="18"/>
                      <w:rtl/>
                    </w:rPr>
                    <w:t>בת</w:t>
                  </w:r>
                  <w:r>
                    <w:rPr>
                      <w:rFonts w:cs="Miriam" w:hint="cs"/>
                      <w:sz w:val="18"/>
                      <w:szCs w:val="18"/>
                      <w:rtl/>
                    </w:rPr>
                    <w:t>לונה</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ועד שיקבע קצין השיפוט לדיון בתלונה לא יהיה מאוחר מארבעה עשר יום ממועד הבאת התלונה בפניו.</w:t>
      </w:r>
    </w:p>
    <w:p w14:paraId="246462EF" w14:textId="77777777" w:rsidR="00906E9E" w:rsidRDefault="00906E9E">
      <w:pPr>
        <w:pStyle w:val="P00"/>
        <w:spacing w:before="72"/>
        <w:ind w:left="0" w:right="1134"/>
        <w:rPr>
          <w:rStyle w:val="default"/>
          <w:rFonts w:cs="FrankRuehl"/>
          <w:rtl/>
        </w:rPr>
      </w:pPr>
      <w:bookmarkStart w:id="9" w:name="Seif9"/>
      <w:bookmarkEnd w:id="9"/>
      <w:r>
        <w:rPr>
          <w:lang w:val="he-IL"/>
        </w:rPr>
        <w:pict w14:anchorId="65C98FB6">
          <v:rect id="_x0000_s1035" style="position:absolute;left:0;text-align:left;margin-left:464.5pt;margin-top:8.05pt;width:75.05pt;height:24pt;z-index:251655680" o:allowincell="f" filled="f" stroked="f" strokecolor="lime" strokeweight=".25pt">
            <v:textbox inset="0,0,0,0">
              <w:txbxContent>
                <w:p w14:paraId="20BFE6A3" w14:textId="77777777" w:rsidR="00906E9E" w:rsidRDefault="00906E9E" w:rsidP="007C484D">
                  <w:pPr>
                    <w:spacing w:line="160" w:lineRule="exact"/>
                    <w:jc w:val="left"/>
                    <w:rPr>
                      <w:rFonts w:cs="Miriam"/>
                      <w:noProof/>
                      <w:sz w:val="18"/>
                      <w:szCs w:val="18"/>
                      <w:rtl/>
                    </w:rPr>
                  </w:pPr>
                  <w:r>
                    <w:rPr>
                      <w:rFonts w:cs="Miriam"/>
                      <w:sz w:val="18"/>
                      <w:szCs w:val="18"/>
                      <w:rtl/>
                    </w:rPr>
                    <w:t>הע</w:t>
                  </w:r>
                  <w:r>
                    <w:rPr>
                      <w:rFonts w:cs="Miriam" w:hint="cs"/>
                      <w:sz w:val="18"/>
                      <w:szCs w:val="18"/>
                      <w:rtl/>
                    </w:rPr>
                    <w:t>ברת תלונה</w:t>
                  </w:r>
                  <w:r w:rsidR="007C484D">
                    <w:rPr>
                      <w:rFonts w:cs="Miriam" w:hint="cs"/>
                      <w:sz w:val="18"/>
                      <w:szCs w:val="18"/>
                      <w:rtl/>
                    </w:rPr>
                    <w:t xml:space="preserve"> </w:t>
                  </w:r>
                  <w:r>
                    <w:rPr>
                      <w:rFonts w:cs="Miriam"/>
                      <w:sz w:val="18"/>
                      <w:szCs w:val="18"/>
                      <w:rtl/>
                    </w:rPr>
                    <w:t>על</w:t>
                  </w:r>
                  <w:r>
                    <w:rPr>
                      <w:rFonts w:cs="Miriam" w:hint="cs"/>
                      <w:sz w:val="18"/>
                      <w:szCs w:val="18"/>
                      <w:rtl/>
                    </w:rPr>
                    <w:t xml:space="preserve"> ידי קצין</w:t>
                  </w:r>
                  <w:r w:rsidR="007C484D">
                    <w:rPr>
                      <w:rFonts w:cs="Miriam" w:hint="cs"/>
                      <w:noProof/>
                      <w:sz w:val="18"/>
                      <w:szCs w:val="18"/>
                      <w:rtl/>
                    </w:rPr>
                    <w:t xml:space="preserve"> </w:t>
                  </w:r>
                  <w:r>
                    <w:rPr>
                      <w:rFonts w:cs="Miriam"/>
                      <w:sz w:val="18"/>
                      <w:szCs w:val="18"/>
                      <w:rtl/>
                    </w:rPr>
                    <w:t>שי</w:t>
                  </w:r>
                  <w:r>
                    <w:rPr>
                      <w:rFonts w:cs="Miriam" w:hint="cs"/>
                      <w:sz w:val="18"/>
                      <w:szCs w:val="18"/>
                      <w:rtl/>
                    </w:rPr>
                    <w:t>פוט</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יפסוק קצין שיפוט בתלונה אם נתקיים אחד מאלה:</w:t>
      </w:r>
    </w:p>
    <w:p w14:paraId="3A343C32" w14:textId="77777777" w:rsidR="00906E9E" w:rsidRDefault="00906E9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קיבל הוראה להעביר את התלונה למפקדו</w:t>
      </w:r>
      <w:r>
        <w:rPr>
          <w:rStyle w:val="default"/>
          <w:rFonts w:cs="FrankRuehl"/>
          <w:rtl/>
        </w:rPr>
        <w:t xml:space="preserve"> ש</w:t>
      </w:r>
      <w:r>
        <w:rPr>
          <w:rStyle w:val="default"/>
          <w:rFonts w:cs="FrankRuehl" w:hint="cs"/>
          <w:rtl/>
        </w:rPr>
        <w:t>אף הוא קצין שיפוט או למפקד הגא מחוזי;</w:t>
      </w:r>
    </w:p>
    <w:p w14:paraId="00F62E0C" w14:textId="77777777" w:rsidR="00906E9E" w:rsidRDefault="00906E9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נאשם ביקש להעביר את התלונה למפקדו של קצין</w:t>
      </w:r>
      <w:r>
        <w:rPr>
          <w:rStyle w:val="default"/>
          <w:rFonts w:cs="FrankRuehl"/>
          <w:rtl/>
        </w:rPr>
        <w:t xml:space="preserve"> </w:t>
      </w:r>
      <w:r>
        <w:rPr>
          <w:rStyle w:val="default"/>
          <w:rFonts w:cs="FrankRuehl" w:hint="cs"/>
          <w:rtl/>
        </w:rPr>
        <w:t>השיפוט שאף הוא קצין שיפוט או למפקד הגא מחוזי.</w:t>
      </w:r>
    </w:p>
    <w:p w14:paraId="7F513AB4"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נאשם אינו רשאי לבקש העברת התלונה כאמור בתקנת משנה (א)(2) אלא פעם אחת.</w:t>
      </w:r>
    </w:p>
    <w:p w14:paraId="6A45FC02" w14:textId="77777777" w:rsidR="00906E9E" w:rsidRDefault="00906E9E">
      <w:pPr>
        <w:pStyle w:val="P00"/>
        <w:spacing w:before="72"/>
        <w:ind w:left="0" w:right="1134"/>
        <w:rPr>
          <w:rStyle w:val="default"/>
          <w:rFonts w:cs="FrankRuehl"/>
          <w:rtl/>
        </w:rPr>
      </w:pPr>
      <w:bookmarkStart w:id="10" w:name="Seif10"/>
      <w:bookmarkEnd w:id="10"/>
      <w:r>
        <w:rPr>
          <w:lang w:val="he-IL"/>
        </w:rPr>
        <w:pict w14:anchorId="009B37D3">
          <v:rect id="_x0000_s1036" style="position:absolute;left:0;text-align:left;margin-left:464.5pt;margin-top:8.05pt;width:75.05pt;height:12.4pt;z-index:251656704" o:allowincell="f" filled="f" stroked="f" strokecolor="lime" strokeweight=".25pt">
            <v:textbox inset="0,0,0,0">
              <w:txbxContent>
                <w:p w14:paraId="79395E52" w14:textId="77777777" w:rsidR="00906E9E" w:rsidRDefault="00906E9E">
                  <w:pPr>
                    <w:spacing w:line="160" w:lineRule="exact"/>
                    <w:jc w:val="left"/>
                    <w:rPr>
                      <w:rFonts w:cs="Miriam"/>
                      <w:noProof/>
                      <w:sz w:val="18"/>
                      <w:szCs w:val="18"/>
                      <w:rtl/>
                    </w:rPr>
                  </w:pPr>
                  <w:r>
                    <w:rPr>
                      <w:rFonts w:cs="Miriam"/>
                      <w:sz w:val="18"/>
                      <w:szCs w:val="18"/>
                      <w:rtl/>
                    </w:rPr>
                    <w:t>בי</w:t>
                  </w:r>
                  <w:r>
                    <w:rPr>
                      <w:rFonts w:cs="Miriam" w:hint="cs"/>
                      <w:sz w:val="18"/>
                      <w:szCs w:val="18"/>
                      <w:rtl/>
                    </w:rPr>
                    <w:t>טול התלונה</w:t>
                  </w:r>
                </w:p>
              </w:txbxContent>
            </v:textbox>
            <w10:anchorlock/>
          </v:rect>
        </w:pict>
      </w:r>
      <w:r>
        <w:rPr>
          <w:rStyle w:val="big-number"/>
          <w:rFonts w:cs="Miriam"/>
          <w:rtl/>
        </w:rPr>
        <w:t>11.</w:t>
      </w:r>
      <w:r>
        <w:rPr>
          <w:rStyle w:val="big-number"/>
          <w:rFonts w:cs="Miriam"/>
          <w:rtl/>
        </w:rPr>
        <w:tab/>
      </w:r>
      <w:r>
        <w:rPr>
          <w:rStyle w:val="default"/>
          <w:rFonts w:cs="FrankRuehl"/>
          <w:rtl/>
        </w:rPr>
        <w:t>בט</w:t>
      </w:r>
      <w:r>
        <w:rPr>
          <w:rStyle w:val="default"/>
          <w:rFonts w:cs="FrankRuehl" w:hint="cs"/>
          <w:rtl/>
        </w:rPr>
        <w:t xml:space="preserve">רם מצא קצין שיפוט את הנאשם זכאי או אשם, </w:t>
      </w:r>
      <w:r>
        <w:rPr>
          <w:rStyle w:val="default"/>
          <w:rFonts w:cs="FrankRuehl"/>
          <w:rtl/>
        </w:rPr>
        <w:t>רש</w:t>
      </w:r>
      <w:r>
        <w:rPr>
          <w:rStyle w:val="default"/>
          <w:rFonts w:cs="FrankRuehl" w:hint="cs"/>
          <w:rtl/>
        </w:rPr>
        <w:t>אי הוא לבטל את התלונה אם נוכח שאין מקום להאשמה או שקיימות נסיבות אחרו</w:t>
      </w:r>
      <w:r>
        <w:rPr>
          <w:rStyle w:val="default"/>
          <w:rFonts w:cs="FrankRuehl"/>
          <w:rtl/>
        </w:rPr>
        <w:t>ת</w:t>
      </w:r>
      <w:r>
        <w:rPr>
          <w:rStyle w:val="default"/>
          <w:rFonts w:cs="FrankRuehl" w:hint="cs"/>
          <w:rtl/>
        </w:rPr>
        <w:t xml:space="preserve"> המצדיקות לדעתו את ביטולה.</w:t>
      </w:r>
    </w:p>
    <w:p w14:paraId="19E1BE68" w14:textId="77777777" w:rsidR="00906E9E" w:rsidRDefault="00906E9E">
      <w:pPr>
        <w:pStyle w:val="P00"/>
        <w:spacing w:before="72"/>
        <w:ind w:left="0" w:right="1134"/>
        <w:rPr>
          <w:rStyle w:val="default"/>
          <w:rFonts w:cs="FrankRuehl"/>
          <w:rtl/>
        </w:rPr>
      </w:pPr>
      <w:bookmarkStart w:id="11" w:name="Seif11"/>
      <w:bookmarkEnd w:id="11"/>
      <w:r>
        <w:rPr>
          <w:lang w:val="he-IL"/>
        </w:rPr>
        <w:pict w14:anchorId="5DB9530C">
          <v:rect id="_x0000_s1037" style="position:absolute;left:0;text-align:left;margin-left:464.5pt;margin-top:8.05pt;width:75.05pt;height:18.7pt;z-index:251657728" o:allowincell="f" filled="f" stroked="f" strokecolor="lime" strokeweight=".25pt">
            <v:textbox inset="0,0,0,0">
              <w:txbxContent>
                <w:p w14:paraId="5E9DB589" w14:textId="77777777" w:rsidR="00906E9E" w:rsidRDefault="00906E9E" w:rsidP="007C484D">
                  <w:pPr>
                    <w:spacing w:line="160" w:lineRule="exact"/>
                    <w:jc w:val="left"/>
                    <w:rPr>
                      <w:rFonts w:cs="Miriam"/>
                      <w:noProof/>
                      <w:sz w:val="18"/>
                      <w:szCs w:val="18"/>
                      <w:rtl/>
                    </w:rPr>
                  </w:pPr>
                  <w:r>
                    <w:rPr>
                      <w:rFonts w:cs="Miriam"/>
                      <w:sz w:val="18"/>
                      <w:szCs w:val="18"/>
                      <w:rtl/>
                    </w:rPr>
                    <w:t>ני</w:t>
                  </w:r>
                  <w:r>
                    <w:rPr>
                      <w:rFonts w:cs="Miriam" w:hint="cs"/>
                      <w:sz w:val="18"/>
                      <w:szCs w:val="18"/>
                      <w:rtl/>
                    </w:rPr>
                    <w:t>מוקים</w:t>
                  </w:r>
                  <w:r w:rsidR="007C484D">
                    <w:rPr>
                      <w:rFonts w:cs="Miriam" w:hint="cs"/>
                      <w:sz w:val="18"/>
                      <w:szCs w:val="18"/>
                      <w:rtl/>
                    </w:rPr>
                    <w:t xml:space="preserve"> </w:t>
                  </w:r>
                  <w:r>
                    <w:rPr>
                      <w:rFonts w:cs="Miriam"/>
                      <w:sz w:val="18"/>
                      <w:szCs w:val="18"/>
                      <w:rtl/>
                    </w:rPr>
                    <w:t>לב</w:t>
                  </w:r>
                  <w:r>
                    <w:rPr>
                      <w:rFonts w:cs="Miriam" w:hint="cs"/>
                      <w:sz w:val="18"/>
                      <w:szCs w:val="18"/>
                      <w:rtl/>
                    </w:rPr>
                    <w:t>יטול תלונ</w:t>
                  </w:r>
                  <w:r>
                    <w:rPr>
                      <w:rFonts w:cs="Miriam"/>
                      <w:sz w:val="18"/>
                      <w:szCs w:val="18"/>
                      <w:rtl/>
                    </w:rPr>
                    <w:t>ה</w:t>
                  </w:r>
                </w:p>
              </w:txbxContent>
            </v:textbox>
            <w10:anchorlock/>
          </v:rect>
        </w:pict>
      </w:r>
      <w:r>
        <w:rPr>
          <w:rStyle w:val="big-number"/>
          <w:rFonts w:cs="Miriam"/>
          <w:rtl/>
        </w:rPr>
        <w:t>12.</w:t>
      </w:r>
      <w:r>
        <w:rPr>
          <w:rStyle w:val="big-number"/>
          <w:rFonts w:cs="Miriam"/>
          <w:rtl/>
        </w:rPr>
        <w:tab/>
      </w:r>
      <w:r>
        <w:rPr>
          <w:rStyle w:val="default"/>
          <w:rFonts w:cs="FrankRuehl"/>
          <w:rtl/>
        </w:rPr>
        <w:t>בי</w:t>
      </w:r>
      <w:r>
        <w:rPr>
          <w:rStyle w:val="default"/>
          <w:rFonts w:cs="FrankRuehl" w:hint="cs"/>
          <w:rtl/>
        </w:rPr>
        <w:t>טל קצין שיפוט תלונה כאמור בתקנה 11, יפרט בטופס התלונה את נימוקיו לכך ויודיעם למפקדו.</w:t>
      </w:r>
    </w:p>
    <w:p w14:paraId="045261EB" w14:textId="77777777" w:rsidR="00906E9E" w:rsidRDefault="00906E9E">
      <w:pPr>
        <w:pStyle w:val="P00"/>
        <w:spacing w:before="72"/>
        <w:ind w:left="0" w:right="1134"/>
        <w:rPr>
          <w:rStyle w:val="default"/>
          <w:rFonts w:cs="FrankRuehl"/>
          <w:rtl/>
        </w:rPr>
      </w:pPr>
      <w:bookmarkStart w:id="12" w:name="Seif12"/>
      <w:bookmarkEnd w:id="12"/>
      <w:r>
        <w:rPr>
          <w:lang w:val="he-IL"/>
        </w:rPr>
        <w:lastRenderedPageBreak/>
        <w:pict w14:anchorId="29B3D272">
          <v:rect id="_x0000_s1038" style="position:absolute;left:0;text-align:left;margin-left:464.5pt;margin-top:8.05pt;width:75.05pt;height:13.75pt;z-index:251658752" o:allowincell="f" filled="f" stroked="f" strokecolor="lime" strokeweight=".25pt">
            <v:textbox inset="0,0,0,0">
              <w:txbxContent>
                <w:p w14:paraId="319104A4" w14:textId="77777777" w:rsidR="00906E9E" w:rsidRDefault="00906E9E">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צין שיפוט ינהל את הדיון בהתאם לסדר שנקבע לכך בטופס התלו</w:t>
      </w:r>
      <w:r>
        <w:rPr>
          <w:rStyle w:val="default"/>
          <w:rFonts w:cs="FrankRuehl"/>
          <w:rtl/>
        </w:rPr>
        <w:t>נה</w:t>
      </w:r>
      <w:r>
        <w:rPr>
          <w:rStyle w:val="default"/>
          <w:rFonts w:cs="FrankRuehl" w:hint="cs"/>
          <w:rtl/>
        </w:rPr>
        <w:t>.</w:t>
      </w:r>
    </w:p>
    <w:p w14:paraId="67832872" w14:textId="77777777" w:rsidR="00906E9E" w:rsidRDefault="00906E9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תחילת הדיון יקרא קצין השיפוט בפני הנאשם את התלונה, ישאל אותו אם הבין אותה, יודיע על זכותו לבקש העברת הדיון כאמור בתקנה 10(א)(2) וישאל אותו לאחר מכן אם </w:t>
      </w:r>
      <w:r w:rsidR="007C484D">
        <w:rPr>
          <w:rStyle w:val="default"/>
          <w:rFonts w:cs="FrankRuehl"/>
          <w:rtl/>
        </w:rPr>
        <w:t>–</w:t>
      </w:r>
    </w:p>
    <w:p w14:paraId="2DB38079" w14:textId="77777777" w:rsidR="00906E9E" w:rsidRDefault="00906E9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מודה באשמה; או</w:t>
      </w:r>
    </w:p>
    <w:p w14:paraId="5A545A60" w14:textId="77777777" w:rsidR="00906E9E" w:rsidRDefault="00906E9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ינו מודה באשמה; או</w:t>
      </w:r>
    </w:p>
    <w:p w14:paraId="711C0C75" w14:textId="77777777" w:rsidR="00906E9E" w:rsidRDefault="00906E9E" w:rsidP="007C484D">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ינו מודה באשמה, אך מודה בעובדות המפורטות</w:t>
      </w:r>
      <w:r>
        <w:rPr>
          <w:rStyle w:val="default"/>
          <w:rFonts w:cs="FrankRuehl"/>
          <w:rtl/>
        </w:rPr>
        <w:t xml:space="preserve"> ב</w:t>
      </w:r>
      <w:r>
        <w:rPr>
          <w:rStyle w:val="default"/>
          <w:rFonts w:cs="FrankRuehl" w:hint="cs"/>
          <w:rtl/>
        </w:rPr>
        <w:t>תלונה או בחלק מהן.</w:t>
      </w:r>
    </w:p>
    <w:p w14:paraId="5C16E0CF" w14:textId="77777777" w:rsidR="00906E9E" w:rsidRDefault="00906E9E">
      <w:pPr>
        <w:pStyle w:val="P00"/>
        <w:spacing w:before="72"/>
        <w:ind w:left="0" w:right="1134"/>
        <w:rPr>
          <w:rStyle w:val="default"/>
          <w:rFonts w:cs="FrankRuehl"/>
          <w:rtl/>
        </w:rPr>
      </w:pPr>
      <w:bookmarkStart w:id="13" w:name="Seif13"/>
      <w:bookmarkEnd w:id="13"/>
      <w:r>
        <w:rPr>
          <w:lang w:val="he-IL"/>
        </w:rPr>
        <w:pict w14:anchorId="729D319C">
          <v:rect id="_x0000_s1039" style="position:absolute;left:0;text-align:left;margin-left:464.5pt;margin-top:8.05pt;width:75.05pt;height:24pt;z-index:251659776" o:allowincell="f" filled="f" stroked="f" strokecolor="lime" strokeweight=".25pt">
            <v:textbox inset="0,0,0,0">
              <w:txbxContent>
                <w:p w14:paraId="7CC1F6E5" w14:textId="77777777" w:rsidR="00906E9E" w:rsidRDefault="00906E9E" w:rsidP="007C484D">
                  <w:pPr>
                    <w:spacing w:line="160" w:lineRule="exact"/>
                    <w:jc w:val="left"/>
                    <w:rPr>
                      <w:rFonts w:cs="Miriam"/>
                      <w:noProof/>
                      <w:sz w:val="18"/>
                      <w:szCs w:val="18"/>
                      <w:rtl/>
                    </w:rPr>
                  </w:pPr>
                  <w:r>
                    <w:rPr>
                      <w:rFonts w:cs="Miriam"/>
                      <w:sz w:val="18"/>
                      <w:szCs w:val="18"/>
                      <w:rtl/>
                    </w:rPr>
                    <w:t>הו</w:t>
                  </w:r>
                  <w:r>
                    <w:rPr>
                      <w:rFonts w:cs="Miriam" w:hint="cs"/>
                      <w:sz w:val="18"/>
                      <w:szCs w:val="18"/>
                      <w:rtl/>
                    </w:rPr>
                    <w:t>דאת הנאשם</w:t>
                  </w:r>
                  <w:r w:rsidR="007C484D">
                    <w:rPr>
                      <w:rFonts w:cs="Miriam" w:hint="cs"/>
                      <w:sz w:val="18"/>
                      <w:szCs w:val="18"/>
                      <w:rtl/>
                    </w:rPr>
                    <w:t xml:space="preserve"> </w:t>
                  </w:r>
                  <w:r>
                    <w:rPr>
                      <w:rFonts w:cs="Miriam"/>
                      <w:sz w:val="18"/>
                      <w:szCs w:val="18"/>
                      <w:rtl/>
                    </w:rPr>
                    <w:t>בא</w:t>
                  </w:r>
                  <w:r>
                    <w:rPr>
                      <w:rFonts w:cs="Miriam" w:hint="cs"/>
                      <w:sz w:val="18"/>
                      <w:szCs w:val="18"/>
                      <w:rtl/>
                    </w:rPr>
                    <w:t>שמה או</w:t>
                  </w:r>
                  <w:r w:rsidR="007C484D">
                    <w:rPr>
                      <w:rFonts w:cs="Miriam" w:hint="cs"/>
                      <w:sz w:val="18"/>
                      <w:szCs w:val="18"/>
                      <w:rtl/>
                    </w:rPr>
                    <w:t xml:space="preserve"> </w:t>
                  </w:r>
                  <w:r>
                    <w:rPr>
                      <w:rFonts w:cs="Miriam"/>
                      <w:sz w:val="18"/>
                      <w:szCs w:val="18"/>
                      <w:rtl/>
                    </w:rPr>
                    <w:t>בע</w:t>
                  </w:r>
                  <w:r>
                    <w:rPr>
                      <w:rFonts w:cs="Miriam" w:hint="cs"/>
                      <w:sz w:val="18"/>
                      <w:szCs w:val="18"/>
                      <w:rtl/>
                    </w:rPr>
                    <w:t>ובדות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נאשם רשאי שלא להשיב לשאלה לפי תקנה 13(ב) ואם השיב רשאי הוא בתשובתו להודות בעובדות הנטענות בתלונה, בכולן או במקצתן, או לכפור בהן, וכן לטעון עובדות נוספות, בין אם הודה כאמור ובין אם לאו.</w:t>
      </w:r>
    </w:p>
    <w:p w14:paraId="74BB4C39"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ודה הנאש</w:t>
      </w:r>
      <w:r>
        <w:rPr>
          <w:rStyle w:val="default"/>
          <w:rFonts w:cs="FrankRuehl"/>
          <w:rtl/>
        </w:rPr>
        <w:t xml:space="preserve">ם </w:t>
      </w:r>
      <w:r>
        <w:rPr>
          <w:rStyle w:val="default"/>
          <w:rFonts w:cs="FrankRuehl" w:hint="cs"/>
          <w:rtl/>
        </w:rPr>
        <w:t>בעובדות הנטענות בתלונה, בכולן או במקצתן, יחליט קצין השיפוט, לאחר ששמע את דברי הנאשם, אם למצוא את הנאשם אשם, או יחליט אם לשמוע עדים.</w:t>
      </w:r>
    </w:p>
    <w:p w14:paraId="50681D8B" w14:textId="77777777" w:rsidR="00906E9E" w:rsidRDefault="00906E9E">
      <w:pPr>
        <w:pStyle w:val="P00"/>
        <w:spacing w:before="72"/>
        <w:ind w:left="0" w:right="1134"/>
        <w:rPr>
          <w:rStyle w:val="default"/>
          <w:rFonts w:cs="FrankRuehl"/>
          <w:rtl/>
        </w:rPr>
      </w:pPr>
      <w:bookmarkStart w:id="14" w:name="Seif14"/>
      <w:bookmarkEnd w:id="14"/>
      <w:r>
        <w:rPr>
          <w:lang w:val="he-IL"/>
        </w:rPr>
        <w:pict w14:anchorId="1385117B">
          <v:rect id="_x0000_s1040" style="position:absolute;left:0;text-align:left;margin-left:464.5pt;margin-top:8.05pt;width:75.05pt;height:11.4pt;z-index:251660800" o:allowincell="f" filled="f" stroked="f" strokecolor="lime" strokeweight=".25pt">
            <v:textbox inset="0,0,0,0">
              <w:txbxContent>
                <w:p w14:paraId="2F12CBDB" w14:textId="77777777" w:rsidR="00906E9E" w:rsidRDefault="00906E9E">
                  <w:pPr>
                    <w:spacing w:line="160" w:lineRule="exact"/>
                    <w:jc w:val="left"/>
                    <w:rPr>
                      <w:rFonts w:cs="Miriam"/>
                      <w:noProof/>
                      <w:sz w:val="18"/>
                      <w:szCs w:val="18"/>
                      <w:rtl/>
                    </w:rPr>
                  </w:pPr>
                  <w:r>
                    <w:rPr>
                      <w:rFonts w:cs="Miriam"/>
                      <w:sz w:val="18"/>
                      <w:szCs w:val="18"/>
                      <w:rtl/>
                    </w:rPr>
                    <w:t>גב</w:t>
                  </w:r>
                  <w:r>
                    <w:rPr>
                      <w:rFonts w:cs="Miriam" w:hint="cs"/>
                      <w:sz w:val="18"/>
                      <w:szCs w:val="18"/>
                      <w:rtl/>
                    </w:rPr>
                    <w:t>יית עדות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צין שיפוט רשאי לשמוע עדים או להתיר הגשת עדות בכתב או לקבל ראיות אחרות, הכל כפי שימצא לנכון, וכן רשאי הוא</w:t>
      </w:r>
      <w:r>
        <w:rPr>
          <w:rStyle w:val="default"/>
          <w:rFonts w:cs="FrankRuehl"/>
          <w:rtl/>
        </w:rPr>
        <w:t xml:space="preserve"> </w:t>
      </w:r>
      <w:r>
        <w:rPr>
          <w:rStyle w:val="default"/>
          <w:rFonts w:cs="FrankRuehl" w:hint="cs"/>
          <w:rtl/>
        </w:rPr>
        <w:t>לסרב לב</w:t>
      </w:r>
      <w:r>
        <w:rPr>
          <w:rStyle w:val="default"/>
          <w:rFonts w:cs="FrankRuehl"/>
          <w:rtl/>
        </w:rPr>
        <w:t>קש</w:t>
      </w:r>
      <w:r>
        <w:rPr>
          <w:rStyle w:val="default"/>
          <w:rFonts w:cs="FrankRuehl" w:hint="cs"/>
          <w:rtl/>
        </w:rPr>
        <w:t>ת הנאשם לשמוע עד אם הוא סבור שעדותו אינה נוגעת לענין או שתוכן עדותו ניתן להוכחה בדרך אחרת.</w:t>
      </w:r>
    </w:p>
    <w:p w14:paraId="45423AA2"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שיפוט לא ישמע עד אלא בפני הנאשם ולא יסתמך בפסקו על עדות בכתב בלי שניתנה קודם לנאשם הזדמנות לעיין בה.</w:t>
      </w:r>
    </w:p>
    <w:p w14:paraId="18D02A3A" w14:textId="77777777" w:rsidR="00906E9E" w:rsidRDefault="00906E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יקרי העדויות שהושמעו בפני קצין השיפוט </w:t>
      </w:r>
      <w:r>
        <w:rPr>
          <w:rStyle w:val="default"/>
          <w:rFonts w:cs="FrankRuehl"/>
          <w:rtl/>
        </w:rPr>
        <w:t>ו</w:t>
      </w:r>
      <w:r>
        <w:rPr>
          <w:rStyle w:val="default"/>
          <w:rFonts w:cs="FrankRuehl" w:hint="cs"/>
          <w:rtl/>
        </w:rPr>
        <w:t>עיקרי ה</w:t>
      </w:r>
      <w:r>
        <w:rPr>
          <w:rStyle w:val="default"/>
          <w:rFonts w:cs="FrankRuehl"/>
          <w:rtl/>
        </w:rPr>
        <w:t>מס</w:t>
      </w:r>
      <w:r>
        <w:rPr>
          <w:rStyle w:val="default"/>
          <w:rFonts w:cs="FrankRuehl" w:hint="cs"/>
          <w:rtl/>
        </w:rPr>
        <w:t>מכים שהוגשו לו יירשמו בטופס התלונה במקום המיועד לרישום פרטי העדויות.</w:t>
      </w:r>
    </w:p>
    <w:p w14:paraId="04F0B097" w14:textId="77777777" w:rsidR="00906E9E" w:rsidRDefault="00906E9E">
      <w:pPr>
        <w:pStyle w:val="P00"/>
        <w:spacing w:before="72"/>
        <w:ind w:left="0" w:right="1134"/>
        <w:rPr>
          <w:rStyle w:val="default"/>
          <w:rFonts w:cs="FrankRuehl"/>
          <w:rtl/>
        </w:rPr>
      </w:pPr>
      <w:bookmarkStart w:id="15" w:name="Seif15"/>
      <w:bookmarkEnd w:id="15"/>
      <w:r>
        <w:rPr>
          <w:lang w:val="he-IL"/>
        </w:rPr>
        <w:pict w14:anchorId="72FC4D0F">
          <v:rect id="_x0000_s1041" style="position:absolute;left:0;text-align:left;margin-left:464.5pt;margin-top:8.05pt;width:75.05pt;height:12.7pt;z-index:251661824" o:allowincell="f" filled="f" stroked="f" strokecolor="lime" strokeweight=".25pt">
            <v:textbox inset="0,0,0,0">
              <w:txbxContent>
                <w:p w14:paraId="0A0C5B61" w14:textId="77777777" w:rsidR="00906E9E" w:rsidRDefault="00906E9E">
                  <w:pPr>
                    <w:spacing w:line="160" w:lineRule="exact"/>
                    <w:jc w:val="left"/>
                    <w:rPr>
                      <w:rFonts w:cs="Miriam"/>
                      <w:noProof/>
                      <w:sz w:val="18"/>
                      <w:szCs w:val="18"/>
                      <w:rtl/>
                    </w:rPr>
                  </w:pPr>
                  <w:r>
                    <w:rPr>
                      <w:rFonts w:cs="Miriam"/>
                      <w:sz w:val="18"/>
                      <w:szCs w:val="18"/>
                      <w:rtl/>
                    </w:rPr>
                    <w:t>דב</w:t>
                  </w:r>
                  <w:r>
                    <w:rPr>
                      <w:rFonts w:cs="Miriam" w:hint="cs"/>
                      <w:sz w:val="18"/>
                      <w:szCs w:val="18"/>
                      <w:rtl/>
                    </w:rPr>
                    <w:t>רי הנאשם</w:t>
                  </w:r>
                </w:p>
              </w:txbxContent>
            </v:textbox>
            <w10:anchorlock/>
          </v:rect>
        </w:pict>
      </w:r>
      <w:r>
        <w:rPr>
          <w:rStyle w:val="big-number"/>
          <w:rFonts w:cs="Miriam"/>
          <w:rtl/>
        </w:rPr>
        <w:t>16.</w:t>
      </w:r>
      <w:r>
        <w:rPr>
          <w:rStyle w:val="big-number"/>
          <w:rFonts w:cs="Miriam"/>
          <w:rtl/>
        </w:rPr>
        <w:tab/>
      </w:r>
      <w:r>
        <w:rPr>
          <w:rStyle w:val="default"/>
          <w:rFonts w:cs="FrankRuehl"/>
          <w:rtl/>
        </w:rPr>
        <w:t>לפ</w:t>
      </w:r>
      <w:r>
        <w:rPr>
          <w:rStyle w:val="default"/>
          <w:rFonts w:cs="FrankRuehl" w:hint="cs"/>
          <w:rtl/>
        </w:rPr>
        <w:t>ני מתן הפסק יתן קצין השיפוט הזדמנות לנאשם להשמיע דבריו.</w:t>
      </w:r>
    </w:p>
    <w:p w14:paraId="20B34934" w14:textId="77777777" w:rsidR="00906E9E" w:rsidRDefault="00906E9E">
      <w:pPr>
        <w:pStyle w:val="P00"/>
        <w:spacing w:before="72"/>
        <w:ind w:left="0" w:right="1134"/>
        <w:rPr>
          <w:rStyle w:val="default"/>
          <w:rFonts w:cs="FrankRuehl"/>
          <w:rtl/>
        </w:rPr>
      </w:pPr>
      <w:bookmarkStart w:id="16" w:name="Seif16"/>
      <w:bookmarkEnd w:id="16"/>
      <w:r>
        <w:rPr>
          <w:lang w:val="he-IL"/>
        </w:rPr>
        <w:pict w14:anchorId="54252D30">
          <v:rect id="_x0000_s1042" style="position:absolute;left:0;text-align:left;margin-left:464.5pt;margin-top:8.05pt;width:75.05pt;height:15.2pt;z-index:251662848" o:allowincell="f" filled="f" stroked="f" strokecolor="lime" strokeweight=".25pt">
            <v:textbox inset="0,0,0,0">
              <w:txbxContent>
                <w:p w14:paraId="696C9F68" w14:textId="77777777" w:rsidR="00906E9E" w:rsidRDefault="00906E9E">
                  <w:pPr>
                    <w:spacing w:line="160" w:lineRule="exact"/>
                    <w:jc w:val="left"/>
                    <w:rPr>
                      <w:rFonts w:cs="Miriam"/>
                      <w:noProof/>
                      <w:sz w:val="18"/>
                      <w:szCs w:val="18"/>
                      <w:rtl/>
                    </w:rPr>
                  </w:pPr>
                  <w:r>
                    <w:rPr>
                      <w:rFonts w:cs="Miriam"/>
                      <w:sz w:val="18"/>
                      <w:szCs w:val="18"/>
                      <w:rtl/>
                    </w:rPr>
                    <w:t>מת</w:t>
                  </w:r>
                  <w:r>
                    <w:rPr>
                      <w:rFonts w:cs="Miriam" w:hint="cs"/>
                      <w:sz w:val="18"/>
                      <w:szCs w:val="18"/>
                      <w:rtl/>
                    </w:rPr>
                    <w:t>ן הפסק</w:t>
                  </w:r>
                </w:p>
              </w:txbxContent>
            </v:textbox>
            <w10:anchorlock/>
          </v:rect>
        </w:pict>
      </w:r>
      <w:r>
        <w:rPr>
          <w:rStyle w:val="big-number"/>
          <w:rFonts w:cs="Miriam"/>
          <w:rtl/>
        </w:rPr>
        <w:t>17.</w:t>
      </w:r>
      <w:r>
        <w:rPr>
          <w:rStyle w:val="big-number"/>
          <w:rFonts w:cs="Miriam"/>
          <w:rtl/>
        </w:rPr>
        <w:tab/>
      </w:r>
      <w:r>
        <w:rPr>
          <w:rStyle w:val="default"/>
          <w:rFonts w:cs="FrankRuehl"/>
          <w:rtl/>
        </w:rPr>
        <w:t>עם</w:t>
      </w:r>
      <w:r>
        <w:rPr>
          <w:rStyle w:val="default"/>
          <w:rFonts w:cs="FrankRuehl" w:hint="cs"/>
          <w:rtl/>
        </w:rPr>
        <w:t xml:space="preserve"> תום הדיון יחליט קצין השיפוט אם למצוא את הנאשם אשם או זכאי, יודיע את החלטתו לנאשם וירשום את הפסק בטופס התלונה.</w:t>
      </w:r>
    </w:p>
    <w:p w14:paraId="190C1A26" w14:textId="77777777" w:rsidR="00906E9E" w:rsidRDefault="00906E9E" w:rsidP="007C484D">
      <w:pPr>
        <w:pStyle w:val="P00"/>
        <w:spacing w:before="72"/>
        <w:ind w:left="0" w:right="1134"/>
        <w:rPr>
          <w:rStyle w:val="default"/>
          <w:rFonts w:cs="FrankRuehl"/>
          <w:rtl/>
        </w:rPr>
      </w:pPr>
      <w:bookmarkStart w:id="17" w:name="Seif17"/>
      <w:bookmarkEnd w:id="17"/>
      <w:r>
        <w:rPr>
          <w:lang w:val="he-IL"/>
        </w:rPr>
        <w:pict w14:anchorId="31436447">
          <v:rect id="_x0000_s1043" style="position:absolute;left:0;text-align:left;margin-left:464.5pt;margin-top:8.05pt;width:75.05pt;height:15.85pt;z-index:251663872" o:allowincell="f" filled="f" stroked="f" strokecolor="lime" strokeweight=".25pt">
            <v:textbox inset="0,0,0,0">
              <w:txbxContent>
                <w:p w14:paraId="473CBCCF" w14:textId="77777777" w:rsidR="00906E9E" w:rsidRDefault="00906E9E">
                  <w:pPr>
                    <w:spacing w:line="160" w:lineRule="exact"/>
                    <w:jc w:val="left"/>
                    <w:rPr>
                      <w:rFonts w:cs="Miriam"/>
                      <w:noProof/>
                      <w:sz w:val="18"/>
                      <w:szCs w:val="18"/>
                      <w:rtl/>
                    </w:rPr>
                  </w:pPr>
                  <w:r>
                    <w:rPr>
                      <w:rFonts w:cs="Miriam"/>
                      <w:sz w:val="18"/>
                      <w:szCs w:val="18"/>
                      <w:rtl/>
                    </w:rPr>
                    <w:t>קב</w:t>
                  </w:r>
                  <w:r>
                    <w:rPr>
                      <w:rFonts w:cs="Miriam" w:hint="cs"/>
                      <w:sz w:val="18"/>
                      <w:szCs w:val="18"/>
                      <w:rtl/>
                    </w:rPr>
                    <w:t>יעת העונש</w:t>
                  </w:r>
                </w:p>
              </w:txbxContent>
            </v:textbox>
            <w10:anchorlock/>
          </v:rect>
        </w:pict>
      </w:r>
      <w:r>
        <w:rPr>
          <w:rStyle w:val="big-number"/>
          <w:rFonts w:cs="Miriam"/>
          <w:rtl/>
        </w:rPr>
        <w:t>18.</w:t>
      </w:r>
      <w:r>
        <w:rPr>
          <w:rStyle w:val="big-number"/>
          <w:rFonts w:cs="Miriam"/>
          <w:rtl/>
        </w:rPr>
        <w:tab/>
      </w:r>
      <w:r>
        <w:rPr>
          <w:rStyle w:val="default"/>
          <w:rFonts w:cs="FrankRuehl"/>
          <w:rtl/>
        </w:rPr>
        <w:t>מצ</w:t>
      </w:r>
      <w:r>
        <w:rPr>
          <w:rStyle w:val="default"/>
          <w:rFonts w:cs="FrankRuehl" w:hint="cs"/>
          <w:rtl/>
        </w:rPr>
        <w:t xml:space="preserve">א קצין השיפוט את הנאשם אשם יעיין קצין השיפוט בגליון ההתנהגות של הנאשם או ברשימת הרשעותיו הקודמות בדין משמעתי </w:t>
      </w:r>
      <w:r w:rsidR="007C484D">
        <w:rPr>
          <w:rStyle w:val="default"/>
          <w:rFonts w:cs="FrankRuehl" w:hint="cs"/>
          <w:rtl/>
        </w:rPr>
        <w:t>-</w:t>
      </w:r>
      <w:r>
        <w:rPr>
          <w:rStyle w:val="default"/>
          <w:rFonts w:cs="FrankRuehl"/>
          <w:rtl/>
        </w:rPr>
        <w:t xml:space="preserve"> </w:t>
      </w:r>
      <w:r>
        <w:rPr>
          <w:rStyle w:val="default"/>
          <w:rFonts w:cs="FrankRuehl" w:hint="cs"/>
          <w:rtl/>
        </w:rPr>
        <w:t xml:space="preserve">אם ישנן </w:t>
      </w:r>
      <w:r w:rsidR="007C484D">
        <w:rPr>
          <w:rStyle w:val="default"/>
          <w:rFonts w:cs="FrankRuehl" w:hint="cs"/>
          <w:rtl/>
        </w:rPr>
        <w:t>-</w:t>
      </w:r>
      <w:r>
        <w:rPr>
          <w:rStyle w:val="default"/>
          <w:rFonts w:cs="FrankRuehl"/>
          <w:rtl/>
        </w:rPr>
        <w:t xml:space="preserve"> </w:t>
      </w:r>
      <w:r>
        <w:rPr>
          <w:rStyle w:val="default"/>
          <w:rFonts w:cs="FrankRuehl" w:hint="cs"/>
          <w:rtl/>
        </w:rPr>
        <w:t>יתן לנאשם הזדמנות להשמיע את דבריו לגבי העונש ולאחר מכן יטיל עליו אחד הענשים המפורטים ב</w:t>
      </w:r>
      <w:r>
        <w:rPr>
          <w:rStyle w:val="default"/>
          <w:rFonts w:cs="FrankRuehl"/>
          <w:rtl/>
        </w:rPr>
        <w:t>ס</w:t>
      </w:r>
      <w:r>
        <w:rPr>
          <w:rStyle w:val="default"/>
          <w:rFonts w:cs="FrankRuehl" w:hint="cs"/>
          <w:rtl/>
        </w:rPr>
        <w:t xml:space="preserve">עיף 2 לתוספת לחוק; לפני הטלת העונש רשאי קצין </w:t>
      </w:r>
      <w:r>
        <w:rPr>
          <w:rStyle w:val="default"/>
          <w:rFonts w:cs="FrankRuehl"/>
          <w:rtl/>
        </w:rPr>
        <w:t>הש</w:t>
      </w:r>
      <w:r>
        <w:rPr>
          <w:rStyle w:val="default"/>
          <w:rFonts w:cs="FrankRuehl" w:hint="cs"/>
          <w:rtl/>
        </w:rPr>
        <w:t>יפוט לשמוע עד או לקבל כל ראיה אחרת אשר לדעתו יסייעו לשיקול נאות של מידת העונש.</w:t>
      </w:r>
    </w:p>
    <w:p w14:paraId="0053D782" w14:textId="77777777" w:rsidR="00906E9E" w:rsidRDefault="00906E9E" w:rsidP="007C484D">
      <w:pPr>
        <w:pStyle w:val="P00"/>
        <w:spacing w:before="72"/>
        <w:ind w:left="0" w:right="1134"/>
        <w:rPr>
          <w:rStyle w:val="default"/>
          <w:rFonts w:cs="FrankRuehl"/>
          <w:rtl/>
        </w:rPr>
      </w:pPr>
      <w:bookmarkStart w:id="18" w:name="Seif18"/>
      <w:bookmarkEnd w:id="18"/>
      <w:r>
        <w:rPr>
          <w:lang w:val="he-IL"/>
        </w:rPr>
        <w:pict w14:anchorId="016AC978">
          <v:rect id="_x0000_s1044" style="position:absolute;left:0;text-align:left;margin-left:464.5pt;margin-top:8.05pt;width:75.05pt;height:16pt;z-index:251664896" o:allowincell="f" filled="f" stroked="f" strokecolor="lime" strokeweight=".25pt">
            <v:textbox inset="0,0,0,0">
              <w:txbxContent>
                <w:p w14:paraId="09908DE8" w14:textId="77777777" w:rsidR="00906E9E" w:rsidRDefault="00906E9E" w:rsidP="007C484D">
                  <w:pPr>
                    <w:spacing w:line="160" w:lineRule="exact"/>
                    <w:jc w:val="left"/>
                    <w:rPr>
                      <w:rFonts w:cs="Miriam"/>
                      <w:noProof/>
                      <w:sz w:val="18"/>
                      <w:szCs w:val="18"/>
                      <w:rtl/>
                    </w:rPr>
                  </w:pPr>
                  <w:r>
                    <w:rPr>
                      <w:rFonts w:cs="Miriam"/>
                      <w:sz w:val="18"/>
                      <w:szCs w:val="18"/>
                      <w:rtl/>
                    </w:rPr>
                    <w:t>מו</w:t>
                  </w:r>
                  <w:r>
                    <w:rPr>
                      <w:rFonts w:cs="Miriam" w:hint="cs"/>
                      <w:sz w:val="18"/>
                      <w:szCs w:val="18"/>
                      <w:rtl/>
                    </w:rPr>
                    <w:t>עד לדיון</w:t>
                  </w:r>
                  <w:r w:rsidR="007C484D">
                    <w:rPr>
                      <w:rFonts w:cs="Miriam" w:hint="cs"/>
                      <w:sz w:val="18"/>
                      <w:szCs w:val="18"/>
                      <w:rtl/>
                    </w:rPr>
                    <w:t xml:space="preserve"> </w:t>
                  </w:r>
                  <w:r>
                    <w:rPr>
                      <w:rFonts w:cs="Miriam"/>
                      <w:sz w:val="18"/>
                      <w:szCs w:val="18"/>
                      <w:rtl/>
                    </w:rPr>
                    <w:t>בע</w:t>
                  </w:r>
                  <w:r>
                    <w:rPr>
                      <w:rFonts w:cs="Miriam" w:hint="cs"/>
                      <w:sz w:val="18"/>
                      <w:szCs w:val="18"/>
                      <w:rtl/>
                    </w:rPr>
                    <w:t>רר</w:t>
                  </w:r>
                </w:p>
              </w:txbxContent>
            </v:textbox>
            <w10:anchorlock/>
          </v:rect>
        </w:pict>
      </w:r>
      <w:r>
        <w:rPr>
          <w:rStyle w:val="big-number"/>
          <w:rFonts w:cs="Miriam"/>
          <w:rtl/>
        </w:rPr>
        <w:t>19.</w:t>
      </w:r>
      <w:r>
        <w:rPr>
          <w:rStyle w:val="big-number"/>
          <w:rFonts w:cs="Miriam"/>
          <w:rtl/>
        </w:rPr>
        <w:tab/>
      </w:r>
      <w:r>
        <w:rPr>
          <w:rStyle w:val="default"/>
          <w:rFonts w:cs="FrankRuehl"/>
          <w:rtl/>
        </w:rPr>
        <w:t>הג</w:t>
      </w:r>
      <w:r>
        <w:rPr>
          <w:rStyle w:val="default"/>
          <w:rFonts w:cs="FrankRuehl" w:hint="cs"/>
          <w:rtl/>
        </w:rPr>
        <w:t xml:space="preserve">יש חבר הגא ערר על פסק, יקבע מפקד הגא המחוזי או ראש הגא (להלן </w:t>
      </w:r>
      <w:r w:rsidR="007C484D">
        <w:rPr>
          <w:rStyle w:val="default"/>
          <w:rFonts w:cs="FrankRuehl" w:hint="cs"/>
          <w:rtl/>
        </w:rPr>
        <w:t>-</w:t>
      </w:r>
      <w:r>
        <w:rPr>
          <w:rStyle w:val="default"/>
          <w:rFonts w:cs="FrankRuehl"/>
          <w:rtl/>
        </w:rPr>
        <w:t xml:space="preserve"> </w:t>
      </w:r>
      <w:r>
        <w:rPr>
          <w:rStyle w:val="default"/>
          <w:rFonts w:cs="FrankRuehl" w:hint="cs"/>
          <w:rtl/>
        </w:rPr>
        <w:t>קצין השיפוט הדן בערר) את הדיון בערר ארבעה עשר יום מיום קבלת הערר; היה העורר חבוש על-פי הפסק שעליו עוררים,</w:t>
      </w:r>
      <w:r>
        <w:rPr>
          <w:rStyle w:val="default"/>
          <w:rFonts w:cs="FrankRuehl"/>
          <w:rtl/>
        </w:rPr>
        <w:t xml:space="preserve"> י</w:t>
      </w:r>
      <w:r>
        <w:rPr>
          <w:rStyle w:val="default"/>
          <w:rFonts w:cs="FrankRuehl" w:hint="cs"/>
          <w:rtl/>
        </w:rPr>
        <w:t>דון בו קצין השיפוט הדן בערר, תוך שבעים ושתים שעות מקבלת הערר.</w:t>
      </w:r>
    </w:p>
    <w:p w14:paraId="2B7F5671" w14:textId="77777777" w:rsidR="00906E9E" w:rsidRDefault="00906E9E">
      <w:pPr>
        <w:pStyle w:val="P00"/>
        <w:spacing w:before="72"/>
        <w:ind w:left="0" w:right="1134"/>
        <w:rPr>
          <w:rStyle w:val="default"/>
          <w:rFonts w:cs="FrankRuehl"/>
          <w:rtl/>
        </w:rPr>
      </w:pPr>
      <w:bookmarkStart w:id="19" w:name="Seif19"/>
      <w:bookmarkEnd w:id="19"/>
      <w:r>
        <w:rPr>
          <w:lang w:val="he-IL"/>
        </w:rPr>
        <w:pict w14:anchorId="78BFB39E">
          <v:rect id="_x0000_s1045" style="position:absolute;left:0;text-align:left;margin-left:464.5pt;margin-top:8.05pt;width:75.05pt;height:16pt;z-index:251665920" o:allowincell="f" filled="f" stroked="f" strokecolor="lime" strokeweight=".25pt">
            <v:textbox inset="0,0,0,0">
              <w:txbxContent>
                <w:p w14:paraId="770B471B" w14:textId="77777777" w:rsidR="00906E9E" w:rsidRDefault="00906E9E" w:rsidP="007C484D">
                  <w:pPr>
                    <w:spacing w:line="160" w:lineRule="exact"/>
                    <w:jc w:val="left"/>
                    <w:rPr>
                      <w:rFonts w:cs="Miriam"/>
                      <w:noProof/>
                      <w:sz w:val="18"/>
                      <w:szCs w:val="18"/>
                      <w:rtl/>
                    </w:rPr>
                  </w:pPr>
                  <w:r>
                    <w:rPr>
                      <w:rFonts w:cs="Miriam"/>
                      <w:sz w:val="18"/>
                      <w:szCs w:val="18"/>
                      <w:rtl/>
                    </w:rPr>
                    <w:t>סד</w:t>
                  </w:r>
                  <w:r>
                    <w:rPr>
                      <w:rFonts w:cs="Miriam" w:hint="cs"/>
                      <w:sz w:val="18"/>
                      <w:szCs w:val="18"/>
                      <w:rtl/>
                    </w:rPr>
                    <w:t>ר הדין</w:t>
                  </w:r>
                  <w:r w:rsidR="007C484D">
                    <w:rPr>
                      <w:rFonts w:cs="Miriam" w:hint="cs"/>
                      <w:sz w:val="18"/>
                      <w:szCs w:val="18"/>
                      <w:rtl/>
                    </w:rPr>
                    <w:t xml:space="preserve"> </w:t>
                  </w:r>
                  <w:r>
                    <w:rPr>
                      <w:rFonts w:cs="Miriam"/>
                      <w:sz w:val="18"/>
                      <w:szCs w:val="18"/>
                      <w:rtl/>
                    </w:rPr>
                    <w:t>בע</w:t>
                  </w:r>
                  <w:r>
                    <w:rPr>
                      <w:rFonts w:cs="Miriam" w:hint="cs"/>
                      <w:sz w:val="18"/>
                      <w:szCs w:val="18"/>
                      <w:rtl/>
                    </w:rPr>
                    <w:t>רר</w:t>
                  </w:r>
                </w:p>
              </w:txbxContent>
            </v:textbox>
            <w10:anchorlock/>
          </v:rect>
        </w:pict>
      </w:r>
      <w:r>
        <w:rPr>
          <w:rStyle w:val="big-number"/>
          <w:rFonts w:cs="Miriam"/>
          <w:rtl/>
        </w:rPr>
        <w:t>20.</w:t>
      </w:r>
      <w:r>
        <w:rPr>
          <w:rStyle w:val="big-number"/>
          <w:rFonts w:cs="Miriam"/>
          <w:rtl/>
        </w:rPr>
        <w:tab/>
      </w:r>
      <w:r>
        <w:rPr>
          <w:rStyle w:val="default"/>
          <w:rFonts w:cs="FrankRuehl"/>
          <w:rtl/>
        </w:rPr>
        <w:t>הת</w:t>
      </w:r>
      <w:r>
        <w:rPr>
          <w:rStyle w:val="default"/>
          <w:rFonts w:cs="FrankRuehl" w:hint="cs"/>
          <w:rtl/>
        </w:rPr>
        <w:t>ייצב העורר לערר, יקריא בפניו קצין השיפוט הדן בערר את דברי התלונה ואת הפסק שניתן</w:t>
      </w:r>
      <w:r>
        <w:rPr>
          <w:rStyle w:val="default"/>
          <w:rFonts w:cs="FrankRuehl"/>
          <w:rtl/>
        </w:rPr>
        <w:t xml:space="preserve"> </w:t>
      </w:r>
      <w:r>
        <w:rPr>
          <w:rStyle w:val="default"/>
          <w:rFonts w:cs="FrankRuehl" w:hint="cs"/>
          <w:rtl/>
        </w:rPr>
        <w:t>נגד העורר ויתן לו הזדמנות להשמיע דבריו לפני שיחליט בערר; לפני מתן החלטתו רשאי ק</w:t>
      </w:r>
      <w:r>
        <w:rPr>
          <w:rStyle w:val="default"/>
          <w:rFonts w:cs="FrankRuehl"/>
          <w:rtl/>
        </w:rPr>
        <w:t>צי</w:t>
      </w:r>
      <w:r>
        <w:rPr>
          <w:rStyle w:val="default"/>
          <w:rFonts w:cs="FrankRuehl" w:hint="cs"/>
          <w:rtl/>
        </w:rPr>
        <w:t>ן השיפוט הדן בערר לשמוע עדים או לקבל ראיות, אם מצא כי הדבר דרוש למען עשיית צדק בקשר לתלונה.</w:t>
      </w:r>
    </w:p>
    <w:p w14:paraId="4F23FA14" w14:textId="77777777" w:rsidR="00906E9E" w:rsidRDefault="00906E9E">
      <w:pPr>
        <w:pStyle w:val="P00"/>
        <w:spacing w:before="72"/>
        <w:ind w:left="0" w:right="1134"/>
        <w:rPr>
          <w:rStyle w:val="default"/>
          <w:rFonts w:cs="FrankRuehl"/>
          <w:rtl/>
        </w:rPr>
      </w:pPr>
      <w:bookmarkStart w:id="20" w:name="Seif20"/>
      <w:bookmarkEnd w:id="20"/>
      <w:r>
        <w:rPr>
          <w:lang w:val="he-IL"/>
        </w:rPr>
        <w:pict w14:anchorId="6D5AA8FC">
          <v:rect id="_x0000_s1046" style="position:absolute;left:0;text-align:left;margin-left:464.5pt;margin-top:8.05pt;width:75.05pt;height:24pt;z-index:251666944" o:allowincell="f" filled="f" stroked="f" strokecolor="lime" strokeweight=".25pt">
            <v:textbox inset="0,0,0,0">
              <w:txbxContent>
                <w:p w14:paraId="3A874828" w14:textId="77777777" w:rsidR="00906E9E" w:rsidRDefault="00906E9E" w:rsidP="007C484D">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w:t>
                  </w:r>
                  <w:r w:rsidR="007C484D">
                    <w:rPr>
                      <w:rFonts w:cs="Miriam" w:hint="cs"/>
                      <w:sz w:val="18"/>
                      <w:szCs w:val="18"/>
                      <w:rtl/>
                    </w:rPr>
                    <w:t xml:space="preserve"> </w:t>
                  </w:r>
                  <w:r>
                    <w:rPr>
                      <w:rFonts w:cs="Miriam"/>
                      <w:sz w:val="18"/>
                      <w:szCs w:val="18"/>
                      <w:rtl/>
                    </w:rPr>
                    <w:t>על</w:t>
                  </w:r>
                  <w:r>
                    <w:rPr>
                      <w:rFonts w:cs="Miriam" w:hint="cs"/>
                      <w:sz w:val="18"/>
                      <w:szCs w:val="18"/>
                      <w:rtl/>
                    </w:rPr>
                    <w:t xml:space="preserve"> החלטה</w:t>
                  </w:r>
                  <w:r w:rsidR="007C484D">
                    <w:rPr>
                      <w:rFonts w:cs="Miriam" w:hint="cs"/>
                      <w:noProof/>
                      <w:sz w:val="18"/>
                      <w:szCs w:val="18"/>
                      <w:rtl/>
                    </w:rPr>
                    <w:t xml:space="preserve"> </w:t>
                  </w:r>
                  <w:r>
                    <w:rPr>
                      <w:rFonts w:cs="Miriam"/>
                      <w:sz w:val="18"/>
                      <w:szCs w:val="18"/>
                      <w:rtl/>
                    </w:rPr>
                    <w:t>בע</w:t>
                  </w:r>
                  <w:r>
                    <w:rPr>
                      <w:rFonts w:cs="Miriam" w:hint="cs"/>
                      <w:sz w:val="18"/>
                      <w:szCs w:val="18"/>
                      <w:rtl/>
                    </w:rPr>
                    <w:t>רר</w:t>
                  </w:r>
                </w:p>
              </w:txbxContent>
            </v:textbox>
            <w10:anchorlock/>
          </v:rect>
        </w:pict>
      </w:r>
      <w:r>
        <w:rPr>
          <w:rStyle w:val="big-number"/>
          <w:rFonts w:cs="Miriam"/>
          <w:rtl/>
        </w:rPr>
        <w:t>21.</w:t>
      </w:r>
      <w:r>
        <w:rPr>
          <w:rStyle w:val="big-number"/>
          <w:rFonts w:cs="Miriam"/>
          <w:rtl/>
        </w:rPr>
        <w:tab/>
      </w:r>
      <w:r>
        <w:rPr>
          <w:rStyle w:val="default"/>
          <w:rFonts w:cs="FrankRuehl"/>
          <w:rtl/>
        </w:rPr>
        <w:t>הח</w:t>
      </w:r>
      <w:r>
        <w:rPr>
          <w:rStyle w:val="default"/>
          <w:rFonts w:cs="FrankRuehl" w:hint="cs"/>
          <w:rtl/>
        </w:rPr>
        <w:t>לטת קצין השיפוט שדן בערר תובא לידיעת העורר במקו</w:t>
      </w:r>
      <w:r>
        <w:rPr>
          <w:rStyle w:val="default"/>
          <w:rFonts w:cs="FrankRuehl"/>
          <w:rtl/>
        </w:rPr>
        <w:t>ם</w:t>
      </w:r>
      <w:r>
        <w:rPr>
          <w:rStyle w:val="default"/>
          <w:rFonts w:cs="FrankRuehl" w:hint="cs"/>
          <w:rtl/>
        </w:rPr>
        <w:t>, אם ניתנה בפניו, ותובא לידיעתו תוך שבעה ימים, אם ניתנה שלא בפניו.</w:t>
      </w:r>
    </w:p>
    <w:p w14:paraId="323DAF01" w14:textId="77777777" w:rsidR="00906E9E" w:rsidRDefault="00906E9E">
      <w:pPr>
        <w:pStyle w:val="P00"/>
        <w:spacing w:before="72"/>
        <w:ind w:left="0" w:right="1134"/>
        <w:rPr>
          <w:rStyle w:val="default"/>
          <w:rFonts w:cs="FrankRuehl"/>
          <w:rtl/>
        </w:rPr>
      </w:pPr>
      <w:bookmarkStart w:id="21" w:name="Seif21"/>
      <w:bookmarkEnd w:id="21"/>
      <w:r>
        <w:rPr>
          <w:lang w:val="he-IL"/>
        </w:rPr>
        <w:pict w14:anchorId="4A11C934">
          <v:rect id="_x0000_s1047" style="position:absolute;left:0;text-align:left;margin-left:464.5pt;margin-top:8.05pt;width:75.05pt;height:11.45pt;z-index:251667968" o:allowincell="f" filled="f" stroked="f" strokecolor="lime" strokeweight=".25pt">
            <v:textbox inset="0,0,0,0">
              <w:txbxContent>
                <w:p w14:paraId="490FB1EF" w14:textId="77777777" w:rsidR="00906E9E" w:rsidRDefault="00906E9E">
                  <w:pPr>
                    <w:spacing w:line="160" w:lineRule="exact"/>
                    <w:jc w:val="left"/>
                    <w:rPr>
                      <w:rFonts w:cs="Miriam"/>
                      <w:noProof/>
                      <w:sz w:val="18"/>
                      <w:szCs w:val="18"/>
                      <w:rtl/>
                    </w:rPr>
                  </w:pPr>
                  <w:r>
                    <w:rPr>
                      <w:rFonts w:cs="Miriam"/>
                      <w:sz w:val="18"/>
                      <w:szCs w:val="18"/>
                      <w:rtl/>
                    </w:rPr>
                    <w:t>אי</w:t>
                  </w:r>
                  <w:r>
                    <w:rPr>
                      <w:rFonts w:cs="Miriam" w:hint="cs"/>
                      <w:sz w:val="18"/>
                      <w:szCs w:val="18"/>
                      <w:rtl/>
                    </w:rPr>
                    <w:t>-קיום מועדים</w:t>
                  </w:r>
                </w:p>
              </w:txbxContent>
            </v:textbox>
            <w10:anchorlock/>
          </v:rect>
        </w:pict>
      </w:r>
      <w:r>
        <w:rPr>
          <w:rStyle w:val="big-number"/>
          <w:rFonts w:cs="Miriam"/>
          <w:rtl/>
        </w:rPr>
        <w:t>22.</w:t>
      </w:r>
      <w:r>
        <w:rPr>
          <w:rStyle w:val="big-number"/>
          <w:rFonts w:cs="Miriam"/>
          <w:rtl/>
        </w:rPr>
        <w:tab/>
      </w:r>
      <w:r>
        <w:rPr>
          <w:rStyle w:val="default"/>
          <w:rFonts w:cs="FrankRuehl"/>
          <w:rtl/>
        </w:rPr>
        <w:t>אי</w:t>
      </w:r>
      <w:r>
        <w:rPr>
          <w:rStyle w:val="default"/>
          <w:rFonts w:cs="FrankRuehl" w:hint="cs"/>
          <w:rtl/>
        </w:rPr>
        <w:t xml:space="preserve">-קיום המועדים הקבועים בתקנות אלה </w:t>
      </w:r>
      <w:r>
        <w:rPr>
          <w:rStyle w:val="default"/>
          <w:rFonts w:cs="FrankRuehl"/>
          <w:rtl/>
        </w:rPr>
        <w:t>לא</w:t>
      </w:r>
      <w:r>
        <w:rPr>
          <w:rStyle w:val="default"/>
          <w:rFonts w:cs="FrankRuehl" w:hint="cs"/>
          <w:rtl/>
        </w:rPr>
        <w:t xml:space="preserve"> יפגע בתוקף ההליכים לפיהן.</w:t>
      </w:r>
    </w:p>
    <w:p w14:paraId="036F75C2" w14:textId="77777777" w:rsidR="00906E9E" w:rsidRDefault="00906E9E" w:rsidP="007C484D">
      <w:pPr>
        <w:pStyle w:val="P00"/>
        <w:spacing w:before="72"/>
        <w:ind w:left="0" w:right="1134"/>
        <w:rPr>
          <w:rStyle w:val="default"/>
          <w:rFonts w:cs="FrankRuehl"/>
          <w:rtl/>
        </w:rPr>
      </w:pPr>
      <w:bookmarkStart w:id="22" w:name="Seif22"/>
      <w:bookmarkEnd w:id="22"/>
      <w:r>
        <w:rPr>
          <w:lang w:val="he-IL"/>
        </w:rPr>
        <w:pict w14:anchorId="27609AE5">
          <v:rect id="_x0000_s1048" style="position:absolute;left:0;text-align:left;margin-left:464.5pt;margin-top:8.05pt;width:75.05pt;height:19.5pt;z-index:251668992" o:allowincell="f" filled="f" stroked="f" strokecolor="lime" strokeweight=".25pt">
            <v:textbox inset="0,0,0,0">
              <w:txbxContent>
                <w:p w14:paraId="37AA3F72" w14:textId="77777777" w:rsidR="00906E9E" w:rsidRDefault="00906E9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23.</w:t>
      </w:r>
      <w:r>
        <w:rPr>
          <w:rStyle w:val="big-number"/>
          <w:rFonts w:cs="Miriam"/>
          <w:rtl/>
        </w:rPr>
        <w:tab/>
      </w:r>
      <w:r>
        <w:rPr>
          <w:rStyle w:val="default"/>
          <w:rFonts w:cs="FrankRuehl"/>
          <w:rtl/>
        </w:rPr>
        <w:t>לת</w:t>
      </w:r>
      <w:r>
        <w:rPr>
          <w:rStyle w:val="default"/>
          <w:rFonts w:cs="FrankRuehl" w:hint="cs"/>
          <w:rtl/>
        </w:rPr>
        <w:t>קנות אלה ייקרא "תקנות ההתגוננות האזרחית (הגשת תלונה וסדרי הדין בדין משמעתי), תשל"א</w:t>
      </w:r>
      <w:r w:rsidR="007C484D">
        <w:rPr>
          <w:rStyle w:val="default"/>
          <w:rFonts w:cs="FrankRuehl" w:hint="cs"/>
          <w:rtl/>
        </w:rPr>
        <w:t>-</w:t>
      </w:r>
      <w:r>
        <w:rPr>
          <w:rStyle w:val="default"/>
          <w:rFonts w:cs="FrankRuehl"/>
          <w:rtl/>
        </w:rPr>
        <w:t>1971".</w:t>
      </w:r>
    </w:p>
    <w:p w14:paraId="66055663" w14:textId="77777777" w:rsidR="007C484D" w:rsidRDefault="007C484D">
      <w:pPr>
        <w:pStyle w:val="P00"/>
        <w:spacing w:before="72"/>
        <w:ind w:left="0" w:right="1134"/>
        <w:rPr>
          <w:rStyle w:val="default"/>
          <w:rFonts w:cs="FrankRuehl" w:hint="cs"/>
          <w:rtl/>
        </w:rPr>
      </w:pPr>
    </w:p>
    <w:p w14:paraId="75CFF5AB" w14:textId="77777777" w:rsidR="00906E9E" w:rsidRDefault="00906E9E">
      <w:pPr>
        <w:pStyle w:val="sig-0"/>
        <w:ind w:left="0" w:right="1134"/>
        <w:rPr>
          <w:rFonts w:cs="FrankRuehl"/>
          <w:sz w:val="26"/>
          <w:rtl/>
        </w:rPr>
      </w:pPr>
      <w:r>
        <w:rPr>
          <w:rFonts w:cs="FrankRuehl"/>
          <w:sz w:val="26"/>
          <w:rtl/>
        </w:rPr>
        <w:t>ט</w:t>
      </w:r>
      <w:r>
        <w:rPr>
          <w:rFonts w:cs="FrankRuehl" w:hint="cs"/>
          <w:sz w:val="26"/>
          <w:rtl/>
        </w:rPr>
        <w:t>' באייר תשל"א (4 במאי 1971)</w:t>
      </w:r>
      <w:r>
        <w:rPr>
          <w:rFonts w:cs="FrankRuehl"/>
          <w:sz w:val="26"/>
          <w:rtl/>
        </w:rPr>
        <w:tab/>
        <w:t>מ</w:t>
      </w:r>
      <w:r>
        <w:rPr>
          <w:rFonts w:cs="FrankRuehl" w:hint="cs"/>
          <w:sz w:val="26"/>
          <w:rtl/>
        </w:rPr>
        <w:t>שה דיין</w:t>
      </w:r>
    </w:p>
    <w:p w14:paraId="46109BEE" w14:textId="77777777" w:rsidR="00906E9E" w:rsidRDefault="00906E9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063AC837" w14:textId="77777777" w:rsidR="007C484D" w:rsidRPr="007C484D" w:rsidRDefault="007C484D" w:rsidP="007C484D">
      <w:pPr>
        <w:pStyle w:val="P00"/>
        <w:spacing w:before="72"/>
        <w:ind w:left="0" w:right="1134"/>
        <w:rPr>
          <w:rStyle w:val="default"/>
          <w:rFonts w:cs="FrankRuehl"/>
          <w:rtl/>
        </w:rPr>
      </w:pPr>
    </w:p>
    <w:p w14:paraId="181F95CA" w14:textId="77777777" w:rsidR="00906E9E" w:rsidRPr="007C484D" w:rsidRDefault="00906E9E" w:rsidP="007C484D">
      <w:pPr>
        <w:pStyle w:val="P00"/>
        <w:spacing w:before="72"/>
        <w:ind w:left="0" w:right="1134"/>
        <w:rPr>
          <w:rStyle w:val="default"/>
          <w:rFonts w:cs="FrankRuehl"/>
          <w:rtl/>
        </w:rPr>
      </w:pPr>
      <w:bookmarkStart w:id="23" w:name="LawPartEnd"/>
    </w:p>
    <w:bookmarkEnd w:id="23"/>
    <w:p w14:paraId="0EC21584" w14:textId="77777777" w:rsidR="00906E9E" w:rsidRPr="007C484D" w:rsidRDefault="00906E9E" w:rsidP="007C484D">
      <w:pPr>
        <w:pStyle w:val="P00"/>
        <w:spacing w:before="72"/>
        <w:ind w:left="0" w:right="1134"/>
        <w:rPr>
          <w:rStyle w:val="default"/>
          <w:rFonts w:cs="FrankRuehl"/>
          <w:rtl/>
        </w:rPr>
      </w:pPr>
    </w:p>
    <w:sectPr w:rsidR="00906E9E" w:rsidRPr="007C484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ABA7" w14:textId="77777777" w:rsidR="00DF7375" w:rsidRDefault="00DF7375">
      <w:r>
        <w:separator/>
      </w:r>
    </w:p>
  </w:endnote>
  <w:endnote w:type="continuationSeparator" w:id="0">
    <w:p w14:paraId="2B9F0FF9" w14:textId="77777777" w:rsidR="00DF7375" w:rsidRDefault="00DF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CA38" w14:textId="77777777" w:rsidR="00906E9E" w:rsidRDefault="00906E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1D9DF0" w14:textId="77777777" w:rsidR="00906E9E" w:rsidRDefault="00906E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40C0A0" w14:textId="77777777" w:rsidR="00906E9E" w:rsidRDefault="00906E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84D">
      <w:rPr>
        <w:rFonts w:cs="TopType Jerushalmi"/>
        <w:noProof/>
        <w:color w:val="000000"/>
        <w:sz w:val="14"/>
        <w:szCs w:val="14"/>
      </w:rPr>
      <w:t>D:\Yael\hakika\Revadim\125_026.doc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AE6F" w14:textId="77777777" w:rsidR="00906E9E" w:rsidRDefault="00906E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0DAD">
      <w:rPr>
        <w:rFonts w:hAnsi="FrankRuehl" w:cs="FrankRuehl"/>
        <w:noProof/>
        <w:sz w:val="24"/>
        <w:szCs w:val="24"/>
        <w:rtl/>
      </w:rPr>
      <w:t>2</w:t>
    </w:r>
    <w:r>
      <w:rPr>
        <w:rFonts w:hAnsi="FrankRuehl" w:cs="FrankRuehl"/>
        <w:sz w:val="24"/>
        <w:szCs w:val="24"/>
        <w:rtl/>
      </w:rPr>
      <w:fldChar w:fldCharType="end"/>
    </w:r>
  </w:p>
  <w:p w14:paraId="487DC100" w14:textId="77777777" w:rsidR="00906E9E" w:rsidRDefault="00906E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61ED67" w14:textId="77777777" w:rsidR="00906E9E" w:rsidRDefault="00906E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84D">
      <w:rPr>
        <w:rFonts w:cs="TopType Jerushalmi"/>
        <w:noProof/>
        <w:color w:val="000000"/>
        <w:sz w:val="14"/>
        <w:szCs w:val="14"/>
      </w:rPr>
      <w:t>D:\Yael\hakika\Revadim\125_026.doc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1636" w14:textId="77777777" w:rsidR="00DF7375" w:rsidRDefault="00DF7375" w:rsidP="007C484D">
      <w:pPr>
        <w:spacing w:before="60" w:line="240" w:lineRule="auto"/>
        <w:ind w:right="1134"/>
      </w:pPr>
      <w:r>
        <w:separator/>
      </w:r>
    </w:p>
  </w:footnote>
  <w:footnote w:type="continuationSeparator" w:id="0">
    <w:p w14:paraId="3BC59C1B" w14:textId="77777777" w:rsidR="00DF7375" w:rsidRDefault="00DF7375">
      <w:r>
        <w:continuationSeparator/>
      </w:r>
    </w:p>
  </w:footnote>
  <w:footnote w:id="1">
    <w:p w14:paraId="4F948C40" w14:textId="77777777" w:rsidR="007C484D" w:rsidRPr="007C484D" w:rsidRDefault="007C484D" w:rsidP="007C48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C484D">
        <w:rPr>
          <w:rFonts w:cs="FrankRuehl"/>
          <w:rtl/>
        </w:rPr>
        <w:t xml:space="preserve">* </w:t>
      </w:r>
      <w:r>
        <w:rPr>
          <w:rFonts w:cs="FrankRuehl"/>
          <w:rtl/>
        </w:rPr>
        <w:t>פו</w:t>
      </w:r>
      <w:r>
        <w:rPr>
          <w:rFonts w:cs="FrankRuehl" w:hint="cs"/>
          <w:rtl/>
        </w:rPr>
        <w:t xml:space="preserve">רסמו </w:t>
      </w:r>
      <w:hyperlink r:id="rId1" w:history="1">
        <w:r w:rsidRPr="002B3E7D">
          <w:rPr>
            <w:rStyle w:val="Hyperlink"/>
            <w:rFonts w:cs="FrankRuehl" w:hint="cs"/>
            <w:rtl/>
          </w:rPr>
          <w:t>ק"ת תשל"א מס' 2698</w:t>
        </w:r>
      </w:hyperlink>
      <w:r>
        <w:rPr>
          <w:rFonts w:cs="FrankRuehl" w:hint="cs"/>
          <w:rtl/>
        </w:rPr>
        <w:t xml:space="preserve"> מיום 27.5.1971 עמ' 1109.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6DA" w14:textId="77777777" w:rsidR="00906E9E" w:rsidRDefault="00906E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(הגשת תלונה וסדרי הדין בדין משמעתי), תשל"א–1971</w:t>
    </w:r>
  </w:p>
  <w:p w14:paraId="66B69251" w14:textId="77777777" w:rsidR="00906E9E" w:rsidRDefault="00906E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182790" w14:textId="77777777" w:rsidR="00906E9E" w:rsidRDefault="00906E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BC23" w14:textId="77777777" w:rsidR="00906E9E" w:rsidRDefault="00906E9E" w:rsidP="007C484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(הגשת תלונה וסדרי הדין בדין משמעתי), תשל"א</w:t>
    </w:r>
    <w:r w:rsidR="007C484D">
      <w:rPr>
        <w:rFonts w:hAnsi="FrankRuehl" w:cs="FrankRuehl" w:hint="cs"/>
        <w:color w:val="000000"/>
        <w:sz w:val="28"/>
        <w:szCs w:val="28"/>
        <w:rtl/>
      </w:rPr>
      <w:t>-</w:t>
    </w:r>
    <w:r>
      <w:rPr>
        <w:rFonts w:hAnsi="FrankRuehl" w:cs="FrankRuehl"/>
        <w:color w:val="000000"/>
        <w:sz w:val="28"/>
        <w:szCs w:val="28"/>
        <w:rtl/>
      </w:rPr>
      <w:t>1971</w:t>
    </w:r>
  </w:p>
  <w:p w14:paraId="6FD98751" w14:textId="77777777" w:rsidR="00906E9E" w:rsidRDefault="00906E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293154" w14:textId="77777777" w:rsidR="00906E9E" w:rsidRDefault="00906E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133"/>
    <w:rsid w:val="002B3E7D"/>
    <w:rsid w:val="00406133"/>
    <w:rsid w:val="00536595"/>
    <w:rsid w:val="007C484D"/>
    <w:rsid w:val="00906E9E"/>
    <w:rsid w:val="00994138"/>
    <w:rsid w:val="00A0438B"/>
    <w:rsid w:val="00C50DAD"/>
    <w:rsid w:val="00DF7375"/>
    <w:rsid w:val="00E757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353257"/>
  <w15:chartTrackingRefBased/>
  <w15:docId w15:val="{AA14857E-D258-4E2F-908B-A221A0F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7C484D"/>
    <w:rPr>
      <w:sz w:val="20"/>
      <w:szCs w:val="20"/>
    </w:rPr>
  </w:style>
  <w:style w:type="character" w:styleId="a6">
    <w:name w:val="footnote reference"/>
    <w:basedOn w:val="a0"/>
    <w:semiHidden/>
    <w:rsid w:val="007C48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6764</CharactersWithSpaces>
  <SharedDoc>false</SharedDoc>
  <HLinks>
    <vt:vector size="144" baseType="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7471110</vt:i4>
      </vt:variant>
      <vt:variant>
        <vt:i4>0</vt:i4>
      </vt:variant>
      <vt:variant>
        <vt:i4>0</vt:i4>
      </vt:variant>
      <vt:variant>
        <vt:i4>5</vt:i4>
      </vt:variant>
      <vt:variant>
        <vt:lpwstr>http://www.nevo.co.il/Law_word/law06/TAK-2698.pdf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(הגשת תלונה וסדרי הדין בדין משמעתי), תשל"א-1971</vt:lpwstr>
  </property>
  <property fmtid="{D5CDD505-2E9C-101B-9397-08002B2CF9AE}" pid="5" name="LAWNUMBER">
    <vt:lpwstr>0026</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משמעתיים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24X</vt:lpwstr>
  </property>
</Properties>
</file>