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7F9C" w14:textId="77777777" w:rsidR="00777FB2" w:rsidRDefault="00777FB2" w:rsidP="00DA5C99">
      <w:pPr>
        <w:pStyle w:val="big-header"/>
        <w:ind w:left="0" w:right="1134"/>
        <w:rPr>
          <w:rFonts w:cs="FrankRuehl" w:hint="cs"/>
          <w:sz w:val="32"/>
          <w:rtl/>
        </w:rPr>
      </w:pPr>
      <w:r>
        <w:rPr>
          <w:rFonts w:cs="FrankRuehl"/>
          <w:sz w:val="32"/>
          <w:rtl/>
        </w:rPr>
        <w:t>תקנות ההתגוננות האזרחית (התנהגות במקומות ציבוריים), תשי"ז</w:t>
      </w:r>
      <w:r w:rsidR="00DA5C99">
        <w:rPr>
          <w:rFonts w:cs="FrankRuehl" w:hint="cs"/>
          <w:sz w:val="32"/>
          <w:rtl/>
        </w:rPr>
        <w:t>-</w:t>
      </w:r>
      <w:r>
        <w:rPr>
          <w:rFonts w:cs="FrankRuehl"/>
          <w:sz w:val="32"/>
          <w:rtl/>
        </w:rPr>
        <w:t>1956</w:t>
      </w:r>
    </w:p>
    <w:p w14:paraId="6EBC5532" w14:textId="77777777" w:rsidR="00E5062A" w:rsidRDefault="00E5062A" w:rsidP="00E5062A">
      <w:pPr>
        <w:spacing w:line="320" w:lineRule="auto"/>
        <w:jc w:val="left"/>
        <w:rPr>
          <w:rFonts w:cs="FrankRuehl" w:hint="cs"/>
          <w:szCs w:val="26"/>
          <w:rtl/>
        </w:rPr>
      </w:pPr>
    </w:p>
    <w:p w14:paraId="4A1D419F" w14:textId="77777777" w:rsidR="008F3C37" w:rsidRPr="00E5062A" w:rsidRDefault="008F3C37" w:rsidP="00E5062A">
      <w:pPr>
        <w:spacing w:line="320" w:lineRule="auto"/>
        <w:jc w:val="left"/>
        <w:rPr>
          <w:rFonts w:cs="FrankRuehl" w:hint="cs"/>
          <w:szCs w:val="26"/>
          <w:rtl/>
        </w:rPr>
      </w:pPr>
    </w:p>
    <w:p w14:paraId="5F6B3E50" w14:textId="77777777" w:rsidR="00E5062A" w:rsidRPr="00E5062A" w:rsidRDefault="00E5062A" w:rsidP="00E5062A">
      <w:pPr>
        <w:spacing w:line="320" w:lineRule="auto"/>
        <w:jc w:val="left"/>
        <w:rPr>
          <w:rFonts w:cs="Miriam" w:hint="cs"/>
          <w:szCs w:val="22"/>
          <w:rtl/>
        </w:rPr>
      </w:pPr>
      <w:r w:rsidRPr="00E5062A">
        <w:rPr>
          <w:rFonts w:cs="Miriam"/>
          <w:szCs w:val="22"/>
          <w:rtl/>
        </w:rPr>
        <w:t>בטחון</w:t>
      </w:r>
      <w:r w:rsidRPr="00E5062A">
        <w:rPr>
          <w:rFonts w:cs="FrankRuehl"/>
          <w:szCs w:val="26"/>
          <w:rtl/>
        </w:rPr>
        <w:t xml:space="preserve"> – התגוננות אזרחית</w:t>
      </w:r>
    </w:p>
    <w:p w14:paraId="30425CD4" w14:textId="77777777" w:rsidR="00777FB2" w:rsidRDefault="00777FB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77FB2" w14:paraId="4AA157F5" w14:textId="77777777">
        <w:tblPrEx>
          <w:tblCellMar>
            <w:top w:w="0" w:type="dxa"/>
            <w:bottom w:w="0" w:type="dxa"/>
          </w:tblCellMar>
        </w:tblPrEx>
        <w:tc>
          <w:tcPr>
            <w:tcW w:w="850" w:type="dxa"/>
          </w:tcPr>
          <w:p w14:paraId="7CEFFBB7" w14:textId="77777777" w:rsidR="00777FB2" w:rsidRDefault="00777FB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A5C99">
              <w:rPr>
                <w:noProof/>
                <w:sz w:val="24"/>
                <w:rtl/>
              </w:rPr>
              <w:t>2</w:t>
            </w:r>
            <w:r>
              <w:rPr>
                <w:sz w:val="24"/>
                <w:rtl/>
              </w:rPr>
              <w:fldChar w:fldCharType="end"/>
            </w:r>
          </w:p>
        </w:tc>
        <w:tc>
          <w:tcPr>
            <w:tcW w:w="567" w:type="dxa"/>
          </w:tcPr>
          <w:p w14:paraId="1D989F5B" w14:textId="77777777" w:rsidR="00777FB2" w:rsidRDefault="00777FB2">
            <w:pPr>
              <w:spacing w:line="240" w:lineRule="auto"/>
              <w:rPr>
                <w:sz w:val="24"/>
              </w:rPr>
            </w:pPr>
            <w:hyperlink w:anchor="Seif0" w:tooltip="הגדרות" w:history="1">
              <w:r>
                <w:rPr>
                  <w:rStyle w:val="Hyperlink"/>
                </w:rPr>
                <w:t>Go</w:t>
              </w:r>
            </w:hyperlink>
          </w:p>
        </w:tc>
        <w:tc>
          <w:tcPr>
            <w:tcW w:w="5669" w:type="dxa"/>
          </w:tcPr>
          <w:p w14:paraId="032633EA" w14:textId="77777777" w:rsidR="00777FB2" w:rsidRDefault="00777FB2">
            <w:pPr>
              <w:spacing w:line="240" w:lineRule="auto"/>
              <w:rPr>
                <w:sz w:val="24"/>
                <w:rtl/>
              </w:rPr>
            </w:pPr>
            <w:r>
              <w:rPr>
                <w:sz w:val="24"/>
                <w:rtl/>
              </w:rPr>
              <w:t>הגדרות</w:t>
            </w:r>
          </w:p>
        </w:tc>
        <w:tc>
          <w:tcPr>
            <w:tcW w:w="1247" w:type="dxa"/>
          </w:tcPr>
          <w:p w14:paraId="6BA240EB" w14:textId="77777777" w:rsidR="00777FB2" w:rsidRDefault="00777FB2">
            <w:pPr>
              <w:spacing w:line="240" w:lineRule="auto"/>
              <w:rPr>
                <w:sz w:val="24"/>
              </w:rPr>
            </w:pPr>
            <w:r>
              <w:rPr>
                <w:sz w:val="24"/>
                <w:rtl/>
              </w:rPr>
              <w:t xml:space="preserve">סעיף 1 </w:t>
            </w:r>
          </w:p>
        </w:tc>
      </w:tr>
      <w:tr w:rsidR="00777FB2" w14:paraId="3BE477BB" w14:textId="77777777">
        <w:tblPrEx>
          <w:tblCellMar>
            <w:top w:w="0" w:type="dxa"/>
            <w:bottom w:w="0" w:type="dxa"/>
          </w:tblCellMar>
        </w:tblPrEx>
        <w:tc>
          <w:tcPr>
            <w:tcW w:w="850" w:type="dxa"/>
          </w:tcPr>
          <w:p w14:paraId="2AB821A8" w14:textId="77777777" w:rsidR="00777FB2" w:rsidRDefault="00777FB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A5C99">
              <w:rPr>
                <w:noProof/>
                <w:sz w:val="24"/>
                <w:rtl/>
              </w:rPr>
              <w:t>2</w:t>
            </w:r>
            <w:r>
              <w:rPr>
                <w:sz w:val="24"/>
                <w:rtl/>
              </w:rPr>
              <w:fldChar w:fldCharType="end"/>
            </w:r>
          </w:p>
        </w:tc>
        <w:tc>
          <w:tcPr>
            <w:tcW w:w="567" w:type="dxa"/>
          </w:tcPr>
          <w:p w14:paraId="74EFE0BA" w14:textId="77777777" w:rsidR="00777FB2" w:rsidRDefault="00777FB2">
            <w:pPr>
              <w:spacing w:line="240" w:lineRule="auto"/>
              <w:rPr>
                <w:sz w:val="24"/>
              </w:rPr>
            </w:pPr>
            <w:hyperlink w:anchor="Seif1" w:tooltip="התנהגות במקום ציבורי" w:history="1">
              <w:r>
                <w:rPr>
                  <w:rStyle w:val="Hyperlink"/>
                </w:rPr>
                <w:t>Go</w:t>
              </w:r>
            </w:hyperlink>
          </w:p>
        </w:tc>
        <w:tc>
          <w:tcPr>
            <w:tcW w:w="5669" w:type="dxa"/>
          </w:tcPr>
          <w:p w14:paraId="318D3057" w14:textId="77777777" w:rsidR="00777FB2" w:rsidRDefault="00777FB2">
            <w:pPr>
              <w:spacing w:line="240" w:lineRule="auto"/>
              <w:rPr>
                <w:sz w:val="24"/>
                <w:rtl/>
              </w:rPr>
            </w:pPr>
            <w:r>
              <w:rPr>
                <w:sz w:val="24"/>
                <w:rtl/>
              </w:rPr>
              <w:t>התנהגות במקום ציבורי</w:t>
            </w:r>
          </w:p>
        </w:tc>
        <w:tc>
          <w:tcPr>
            <w:tcW w:w="1247" w:type="dxa"/>
          </w:tcPr>
          <w:p w14:paraId="10843B52" w14:textId="77777777" w:rsidR="00777FB2" w:rsidRDefault="00777FB2">
            <w:pPr>
              <w:spacing w:line="240" w:lineRule="auto"/>
              <w:rPr>
                <w:sz w:val="24"/>
              </w:rPr>
            </w:pPr>
            <w:r>
              <w:rPr>
                <w:sz w:val="24"/>
                <w:rtl/>
              </w:rPr>
              <w:t xml:space="preserve">סעיף 2 </w:t>
            </w:r>
          </w:p>
        </w:tc>
      </w:tr>
      <w:tr w:rsidR="00777FB2" w14:paraId="2EAC33A6" w14:textId="77777777">
        <w:tblPrEx>
          <w:tblCellMar>
            <w:top w:w="0" w:type="dxa"/>
            <w:bottom w:w="0" w:type="dxa"/>
          </w:tblCellMar>
        </w:tblPrEx>
        <w:tc>
          <w:tcPr>
            <w:tcW w:w="850" w:type="dxa"/>
          </w:tcPr>
          <w:p w14:paraId="46D20A97" w14:textId="77777777" w:rsidR="00777FB2" w:rsidRDefault="00777FB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A5C99">
              <w:rPr>
                <w:noProof/>
                <w:sz w:val="24"/>
                <w:rtl/>
              </w:rPr>
              <w:t>2</w:t>
            </w:r>
            <w:r>
              <w:rPr>
                <w:sz w:val="24"/>
                <w:rtl/>
              </w:rPr>
              <w:fldChar w:fldCharType="end"/>
            </w:r>
          </w:p>
        </w:tc>
        <w:tc>
          <w:tcPr>
            <w:tcW w:w="567" w:type="dxa"/>
          </w:tcPr>
          <w:p w14:paraId="02ED0B8A" w14:textId="77777777" w:rsidR="00777FB2" w:rsidRDefault="00777FB2">
            <w:pPr>
              <w:spacing w:line="240" w:lineRule="auto"/>
              <w:rPr>
                <w:sz w:val="24"/>
              </w:rPr>
            </w:pPr>
            <w:hyperlink w:anchor="Seif2" w:tooltip="איסור התקהלות" w:history="1">
              <w:r>
                <w:rPr>
                  <w:rStyle w:val="Hyperlink"/>
                </w:rPr>
                <w:t>Go</w:t>
              </w:r>
            </w:hyperlink>
          </w:p>
        </w:tc>
        <w:tc>
          <w:tcPr>
            <w:tcW w:w="5669" w:type="dxa"/>
          </w:tcPr>
          <w:p w14:paraId="5AE067F3" w14:textId="77777777" w:rsidR="00777FB2" w:rsidRDefault="00777FB2">
            <w:pPr>
              <w:spacing w:line="240" w:lineRule="auto"/>
              <w:rPr>
                <w:sz w:val="24"/>
                <w:rtl/>
              </w:rPr>
            </w:pPr>
            <w:r>
              <w:rPr>
                <w:sz w:val="24"/>
                <w:rtl/>
              </w:rPr>
              <w:t>איסור התקהלות</w:t>
            </w:r>
          </w:p>
        </w:tc>
        <w:tc>
          <w:tcPr>
            <w:tcW w:w="1247" w:type="dxa"/>
          </w:tcPr>
          <w:p w14:paraId="6E00C5AB" w14:textId="77777777" w:rsidR="00777FB2" w:rsidRDefault="00777FB2">
            <w:pPr>
              <w:spacing w:line="240" w:lineRule="auto"/>
              <w:rPr>
                <w:sz w:val="24"/>
              </w:rPr>
            </w:pPr>
            <w:r>
              <w:rPr>
                <w:sz w:val="24"/>
                <w:rtl/>
              </w:rPr>
              <w:t xml:space="preserve">סעיף 3 </w:t>
            </w:r>
          </w:p>
        </w:tc>
      </w:tr>
      <w:tr w:rsidR="00777FB2" w14:paraId="720C5BAE" w14:textId="77777777">
        <w:tblPrEx>
          <w:tblCellMar>
            <w:top w:w="0" w:type="dxa"/>
            <w:bottom w:w="0" w:type="dxa"/>
          </w:tblCellMar>
        </w:tblPrEx>
        <w:tc>
          <w:tcPr>
            <w:tcW w:w="850" w:type="dxa"/>
          </w:tcPr>
          <w:p w14:paraId="1F462AF8" w14:textId="77777777" w:rsidR="00777FB2" w:rsidRDefault="00777FB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A5C99">
              <w:rPr>
                <w:noProof/>
                <w:sz w:val="24"/>
                <w:rtl/>
              </w:rPr>
              <w:t>2</w:t>
            </w:r>
            <w:r>
              <w:rPr>
                <w:sz w:val="24"/>
                <w:rtl/>
              </w:rPr>
              <w:fldChar w:fldCharType="end"/>
            </w:r>
          </w:p>
        </w:tc>
        <w:tc>
          <w:tcPr>
            <w:tcW w:w="567" w:type="dxa"/>
          </w:tcPr>
          <w:p w14:paraId="61EB2064" w14:textId="77777777" w:rsidR="00777FB2" w:rsidRDefault="00777FB2">
            <w:pPr>
              <w:spacing w:line="240" w:lineRule="auto"/>
              <w:rPr>
                <w:sz w:val="24"/>
              </w:rPr>
            </w:pPr>
            <w:hyperlink w:anchor="Seif3" w:tooltip="הפעלת צופר" w:history="1">
              <w:r>
                <w:rPr>
                  <w:rStyle w:val="Hyperlink"/>
                </w:rPr>
                <w:t>Go</w:t>
              </w:r>
            </w:hyperlink>
          </w:p>
        </w:tc>
        <w:tc>
          <w:tcPr>
            <w:tcW w:w="5669" w:type="dxa"/>
          </w:tcPr>
          <w:p w14:paraId="1446944B" w14:textId="77777777" w:rsidR="00777FB2" w:rsidRDefault="00777FB2">
            <w:pPr>
              <w:spacing w:line="240" w:lineRule="auto"/>
              <w:rPr>
                <w:sz w:val="24"/>
                <w:rtl/>
              </w:rPr>
            </w:pPr>
            <w:r>
              <w:rPr>
                <w:sz w:val="24"/>
                <w:rtl/>
              </w:rPr>
              <w:t>הפעלת צופר</w:t>
            </w:r>
          </w:p>
        </w:tc>
        <w:tc>
          <w:tcPr>
            <w:tcW w:w="1247" w:type="dxa"/>
          </w:tcPr>
          <w:p w14:paraId="72B3AD4D" w14:textId="77777777" w:rsidR="00777FB2" w:rsidRDefault="00777FB2">
            <w:pPr>
              <w:spacing w:line="240" w:lineRule="auto"/>
              <w:rPr>
                <w:sz w:val="24"/>
              </w:rPr>
            </w:pPr>
            <w:r>
              <w:rPr>
                <w:sz w:val="24"/>
                <w:rtl/>
              </w:rPr>
              <w:t xml:space="preserve">סעיף 4 </w:t>
            </w:r>
          </w:p>
        </w:tc>
      </w:tr>
      <w:tr w:rsidR="00777FB2" w14:paraId="2339D698" w14:textId="77777777">
        <w:tblPrEx>
          <w:tblCellMar>
            <w:top w:w="0" w:type="dxa"/>
            <w:bottom w:w="0" w:type="dxa"/>
          </w:tblCellMar>
        </w:tblPrEx>
        <w:tc>
          <w:tcPr>
            <w:tcW w:w="850" w:type="dxa"/>
          </w:tcPr>
          <w:p w14:paraId="5F261407" w14:textId="77777777" w:rsidR="00777FB2" w:rsidRDefault="00777FB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A5C99">
              <w:rPr>
                <w:noProof/>
                <w:sz w:val="24"/>
                <w:rtl/>
              </w:rPr>
              <w:t>2</w:t>
            </w:r>
            <w:r>
              <w:rPr>
                <w:sz w:val="24"/>
                <w:rtl/>
              </w:rPr>
              <w:fldChar w:fldCharType="end"/>
            </w:r>
          </w:p>
        </w:tc>
        <w:tc>
          <w:tcPr>
            <w:tcW w:w="567" w:type="dxa"/>
          </w:tcPr>
          <w:p w14:paraId="52DB2716" w14:textId="77777777" w:rsidR="00777FB2" w:rsidRDefault="00777FB2">
            <w:pPr>
              <w:spacing w:line="240" w:lineRule="auto"/>
              <w:rPr>
                <w:sz w:val="24"/>
              </w:rPr>
            </w:pPr>
            <w:hyperlink w:anchor="Seif4" w:tooltip="השם" w:history="1">
              <w:r>
                <w:rPr>
                  <w:rStyle w:val="Hyperlink"/>
                </w:rPr>
                <w:t>Go</w:t>
              </w:r>
            </w:hyperlink>
          </w:p>
        </w:tc>
        <w:tc>
          <w:tcPr>
            <w:tcW w:w="5669" w:type="dxa"/>
          </w:tcPr>
          <w:p w14:paraId="3C7748F7" w14:textId="77777777" w:rsidR="00777FB2" w:rsidRDefault="00777FB2">
            <w:pPr>
              <w:spacing w:line="240" w:lineRule="auto"/>
              <w:rPr>
                <w:sz w:val="24"/>
                <w:rtl/>
              </w:rPr>
            </w:pPr>
            <w:r>
              <w:rPr>
                <w:sz w:val="24"/>
                <w:rtl/>
              </w:rPr>
              <w:t>השם</w:t>
            </w:r>
          </w:p>
        </w:tc>
        <w:tc>
          <w:tcPr>
            <w:tcW w:w="1247" w:type="dxa"/>
          </w:tcPr>
          <w:p w14:paraId="4736FAA1" w14:textId="77777777" w:rsidR="00777FB2" w:rsidRDefault="00777FB2">
            <w:pPr>
              <w:spacing w:line="240" w:lineRule="auto"/>
              <w:rPr>
                <w:sz w:val="24"/>
              </w:rPr>
            </w:pPr>
            <w:r>
              <w:rPr>
                <w:sz w:val="24"/>
                <w:rtl/>
              </w:rPr>
              <w:t xml:space="preserve">סעיף 5 </w:t>
            </w:r>
          </w:p>
        </w:tc>
      </w:tr>
    </w:tbl>
    <w:p w14:paraId="7CEA5277" w14:textId="77777777" w:rsidR="00777FB2" w:rsidRDefault="00777FB2">
      <w:pPr>
        <w:pStyle w:val="big-header"/>
        <w:ind w:left="0" w:right="1134"/>
        <w:rPr>
          <w:rFonts w:cs="FrankRuehl"/>
          <w:sz w:val="32"/>
          <w:rtl/>
        </w:rPr>
      </w:pPr>
    </w:p>
    <w:p w14:paraId="446AA9D9" w14:textId="77777777" w:rsidR="00777FB2" w:rsidRDefault="00777FB2" w:rsidP="00DA5C9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ההתגוננות האזרחית (התנהגות במקומות ציבוריים), תשי"ז</w:t>
      </w:r>
      <w:r w:rsidR="00DA5C99">
        <w:rPr>
          <w:rFonts w:cs="FrankRuehl" w:hint="cs"/>
          <w:sz w:val="32"/>
          <w:rtl/>
        </w:rPr>
        <w:t>-</w:t>
      </w:r>
      <w:r>
        <w:rPr>
          <w:rFonts w:cs="FrankRuehl"/>
          <w:sz w:val="32"/>
          <w:rtl/>
        </w:rPr>
        <w:t>1956</w:t>
      </w:r>
      <w:r w:rsidR="00DA5C99">
        <w:rPr>
          <w:rStyle w:val="a6"/>
          <w:rFonts w:cs="FrankRuehl"/>
          <w:sz w:val="32"/>
          <w:rtl/>
        </w:rPr>
        <w:footnoteReference w:customMarkFollows="1" w:id="1"/>
        <w:t>*</w:t>
      </w:r>
    </w:p>
    <w:p w14:paraId="4B02C52B" w14:textId="77777777" w:rsidR="00777FB2" w:rsidRDefault="00777FB2" w:rsidP="00DA5C9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27(ג) לחוק ההתגוננות האזרחית, תשי"א</w:t>
      </w:r>
      <w:r w:rsidR="00DA5C99">
        <w:rPr>
          <w:rStyle w:val="default"/>
          <w:rFonts w:cs="FrankRuehl" w:hint="cs"/>
          <w:rtl/>
        </w:rPr>
        <w:t>-</w:t>
      </w:r>
      <w:r>
        <w:rPr>
          <w:rStyle w:val="default"/>
          <w:rFonts w:cs="FrankRuehl"/>
          <w:rtl/>
        </w:rPr>
        <w:t xml:space="preserve">1951, </w:t>
      </w:r>
      <w:r>
        <w:rPr>
          <w:rStyle w:val="default"/>
          <w:rFonts w:cs="FrankRuehl" w:hint="cs"/>
          <w:rtl/>
        </w:rPr>
        <w:t>אני מתקין תקנות אלה:</w:t>
      </w:r>
    </w:p>
    <w:p w14:paraId="4452EC92" w14:textId="77777777" w:rsidR="00777FB2" w:rsidRDefault="00777FB2">
      <w:pPr>
        <w:pStyle w:val="P00"/>
        <w:spacing w:before="72"/>
        <w:ind w:left="0" w:right="1134"/>
        <w:rPr>
          <w:rStyle w:val="default"/>
          <w:rFonts w:cs="FrankRuehl" w:hint="cs"/>
          <w:rtl/>
        </w:rPr>
      </w:pPr>
      <w:bookmarkStart w:id="0" w:name="Seif0"/>
      <w:bookmarkEnd w:id="0"/>
      <w:r>
        <w:rPr>
          <w:lang w:val="he-IL"/>
        </w:rPr>
        <w:pict w14:anchorId="03FE3A9A">
          <v:rect id="_x0000_s1026" style="position:absolute;left:0;text-align:left;margin-left:464.5pt;margin-top:8.05pt;width:75.05pt;height:15.8pt;z-index:251655680" o:allowincell="f" filled="f" stroked="f" strokecolor="lime" strokeweight=".25pt">
            <v:textbox inset="0,0,0,0">
              <w:txbxContent>
                <w:p w14:paraId="5715C3D1" w14:textId="77777777" w:rsidR="00777FB2" w:rsidRDefault="00777FB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DA5C99">
        <w:rPr>
          <w:rStyle w:val="default"/>
          <w:rFonts w:cs="FrankRuehl"/>
          <w:rtl/>
        </w:rPr>
        <w:t>–</w:t>
      </w:r>
    </w:p>
    <w:p w14:paraId="3C4A70BC" w14:textId="77777777" w:rsidR="00777FB2" w:rsidRDefault="00777FB2" w:rsidP="00DA5C9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קום ציבורי" </w:t>
      </w:r>
      <w:r w:rsidR="008F3C37">
        <w:rPr>
          <w:rStyle w:val="default"/>
          <w:rFonts w:cs="FrankRuehl"/>
          <w:rtl/>
        </w:rPr>
        <w:t>–</w:t>
      </w:r>
      <w:r>
        <w:rPr>
          <w:rStyle w:val="default"/>
          <w:rFonts w:cs="FrankRuehl"/>
          <w:rtl/>
        </w:rPr>
        <w:t xml:space="preserve"> </w:t>
      </w:r>
      <w:r>
        <w:rPr>
          <w:rStyle w:val="default"/>
          <w:rFonts w:cs="FrankRuehl" w:hint="cs"/>
          <w:rtl/>
        </w:rPr>
        <w:t>רחוב, לרבות כלי רכב הנמצא ברחוב, בית קפה, ת</w:t>
      </w:r>
      <w:r>
        <w:rPr>
          <w:rStyle w:val="default"/>
          <w:rFonts w:cs="FrankRuehl"/>
          <w:rtl/>
        </w:rPr>
        <w:t>יא</w:t>
      </w:r>
      <w:r>
        <w:rPr>
          <w:rStyle w:val="default"/>
          <w:rFonts w:cs="FrankRuehl" w:hint="cs"/>
          <w:rtl/>
        </w:rPr>
        <w:t>טרון, בית קולנוע, או מקום אחר המשמש או המיועד לשמש כמקום התקהלות לאנשים, וכן מקום שהותקן בו צופר;</w:t>
      </w:r>
    </w:p>
    <w:p w14:paraId="0ED3B205" w14:textId="77777777" w:rsidR="00777FB2" w:rsidRDefault="00777FB2" w:rsidP="00DA5C9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ות אזעקה" </w:t>
      </w:r>
      <w:r w:rsidR="008F3C37">
        <w:rPr>
          <w:rStyle w:val="default"/>
          <w:rFonts w:cs="FrankRuehl"/>
          <w:rtl/>
        </w:rPr>
        <w:t>–</w:t>
      </w:r>
      <w:r>
        <w:rPr>
          <w:rStyle w:val="default"/>
          <w:rFonts w:cs="FrankRuehl"/>
          <w:rtl/>
        </w:rPr>
        <w:t xml:space="preserve"> </w:t>
      </w:r>
      <w:r>
        <w:rPr>
          <w:rStyle w:val="default"/>
          <w:rFonts w:cs="FrankRuehl" w:hint="cs"/>
          <w:rtl/>
        </w:rPr>
        <w:t>אות שנקבע על ידי הגא כאות אזעקה;</w:t>
      </w:r>
    </w:p>
    <w:p w14:paraId="6A61157F" w14:textId="77777777" w:rsidR="00777FB2" w:rsidRDefault="00777FB2" w:rsidP="00DA5C9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ות ארגעה" </w:t>
      </w:r>
      <w:r w:rsidR="008F3C37">
        <w:rPr>
          <w:rStyle w:val="default"/>
          <w:rFonts w:cs="FrankRuehl"/>
          <w:rtl/>
        </w:rPr>
        <w:t>–</w:t>
      </w:r>
      <w:r>
        <w:rPr>
          <w:rStyle w:val="default"/>
          <w:rFonts w:cs="FrankRuehl"/>
          <w:rtl/>
        </w:rPr>
        <w:t xml:space="preserve"> </w:t>
      </w:r>
      <w:r>
        <w:rPr>
          <w:rStyle w:val="default"/>
          <w:rFonts w:cs="FrankRuehl" w:hint="cs"/>
          <w:rtl/>
        </w:rPr>
        <w:t>אות שנקבע על ידי הגא כאות ארגעה;</w:t>
      </w:r>
    </w:p>
    <w:p w14:paraId="2982A55F" w14:textId="77777777" w:rsidR="00777FB2" w:rsidRDefault="00777FB2" w:rsidP="00DA5C9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w:t>
      </w:r>
      <w:r w:rsidR="008F3C37">
        <w:rPr>
          <w:rStyle w:val="default"/>
          <w:rFonts w:cs="FrankRuehl"/>
          <w:rtl/>
        </w:rPr>
        <w:t>–</w:t>
      </w:r>
      <w:r>
        <w:rPr>
          <w:rStyle w:val="default"/>
          <w:rFonts w:cs="FrankRuehl"/>
          <w:rtl/>
        </w:rPr>
        <w:t xml:space="preserve"> </w:t>
      </w:r>
      <w:r>
        <w:rPr>
          <w:rStyle w:val="default"/>
          <w:rFonts w:cs="FrankRuehl" w:hint="cs"/>
          <w:rtl/>
        </w:rPr>
        <w:t>לרבות מקלט ציבורי או מחסה ציבורי;</w:t>
      </w:r>
    </w:p>
    <w:p w14:paraId="140EE722" w14:textId="77777777" w:rsidR="00777FB2" w:rsidRDefault="00777FB2">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ופר" </w:t>
      </w:r>
      <w:r w:rsidR="008F3C37">
        <w:rPr>
          <w:rStyle w:val="default"/>
          <w:rFonts w:cs="FrankRuehl"/>
          <w:rtl/>
        </w:rPr>
        <w:t>–</w:t>
      </w:r>
      <w:r w:rsidR="00DA5C99">
        <w:rPr>
          <w:rStyle w:val="default"/>
          <w:rFonts w:cs="FrankRuehl" w:hint="cs"/>
          <w:rtl/>
        </w:rPr>
        <w:t xml:space="preserve"> </w:t>
      </w:r>
      <w:r>
        <w:rPr>
          <w:rStyle w:val="default"/>
          <w:rFonts w:cs="FrankRuehl" w:hint="cs"/>
          <w:rtl/>
        </w:rPr>
        <w:t>לרבות כל</w:t>
      </w:r>
      <w:r>
        <w:rPr>
          <w:rStyle w:val="default"/>
          <w:rFonts w:cs="FrankRuehl"/>
          <w:rtl/>
        </w:rPr>
        <w:t xml:space="preserve"> כ</w:t>
      </w:r>
      <w:r>
        <w:rPr>
          <w:rStyle w:val="default"/>
          <w:rFonts w:cs="FrankRuehl" w:hint="cs"/>
          <w:rtl/>
        </w:rPr>
        <w:t>לי</w:t>
      </w:r>
      <w:r>
        <w:rPr>
          <w:rStyle w:val="default"/>
          <w:rFonts w:cs="FrankRuehl"/>
          <w:rtl/>
        </w:rPr>
        <w:t xml:space="preserve"> </w:t>
      </w:r>
      <w:r>
        <w:rPr>
          <w:rStyle w:val="default"/>
          <w:rFonts w:cs="FrankRuehl" w:hint="cs"/>
          <w:rtl/>
        </w:rPr>
        <w:t>שבו אפשר להשמיע קול.</w:t>
      </w:r>
    </w:p>
    <w:p w14:paraId="1AC5D0FB" w14:textId="77777777" w:rsidR="00777FB2" w:rsidRDefault="00777FB2" w:rsidP="00DA5C99">
      <w:pPr>
        <w:pStyle w:val="P00"/>
        <w:spacing w:before="72"/>
        <w:ind w:left="0" w:right="1134"/>
        <w:rPr>
          <w:rStyle w:val="default"/>
          <w:rFonts w:cs="FrankRuehl" w:hint="cs"/>
          <w:rtl/>
        </w:rPr>
      </w:pPr>
      <w:bookmarkStart w:id="1" w:name="Seif1"/>
      <w:bookmarkEnd w:id="1"/>
      <w:r>
        <w:rPr>
          <w:lang w:val="he-IL"/>
        </w:rPr>
        <w:pict w14:anchorId="4B1AD394">
          <v:rect id="_x0000_s1027" style="position:absolute;left:0;text-align:left;margin-left:464.5pt;margin-top:8.05pt;width:75.05pt;height:26.55pt;z-index:251656704" o:allowincell="f" filled="f" stroked="f" strokecolor="lime" strokeweight=".25pt">
            <v:textbox inset="0,0,0,0">
              <w:txbxContent>
                <w:p w14:paraId="799608FD" w14:textId="77777777" w:rsidR="00777FB2" w:rsidRDefault="00777FB2" w:rsidP="00DA5C99">
                  <w:pPr>
                    <w:spacing w:line="160" w:lineRule="exact"/>
                    <w:jc w:val="left"/>
                    <w:rPr>
                      <w:rFonts w:cs="Miriam"/>
                      <w:noProof/>
                      <w:sz w:val="18"/>
                      <w:szCs w:val="18"/>
                      <w:rtl/>
                    </w:rPr>
                  </w:pPr>
                  <w:r>
                    <w:rPr>
                      <w:rFonts w:cs="Miriam"/>
                      <w:sz w:val="18"/>
                      <w:szCs w:val="18"/>
                      <w:rtl/>
                    </w:rPr>
                    <w:t>הת</w:t>
                  </w:r>
                  <w:r>
                    <w:rPr>
                      <w:rFonts w:cs="Miriam" w:hint="cs"/>
                      <w:sz w:val="18"/>
                      <w:szCs w:val="18"/>
                      <w:rtl/>
                    </w:rPr>
                    <w:t>נהגות</w:t>
                  </w:r>
                  <w:r w:rsidR="00DA5C99">
                    <w:rPr>
                      <w:rFonts w:cs="Miriam" w:hint="cs"/>
                      <w:sz w:val="18"/>
                      <w:szCs w:val="18"/>
                      <w:rtl/>
                    </w:rPr>
                    <w:t xml:space="preserve"> </w:t>
                  </w:r>
                  <w:r>
                    <w:rPr>
                      <w:rFonts w:cs="Miriam"/>
                      <w:sz w:val="18"/>
                      <w:szCs w:val="18"/>
                      <w:rtl/>
                    </w:rPr>
                    <w:t>במ</w:t>
                  </w:r>
                  <w:r>
                    <w:rPr>
                      <w:rFonts w:cs="Miriam" w:hint="cs"/>
                      <w:sz w:val="18"/>
                      <w:szCs w:val="18"/>
                      <w:rtl/>
                    </w:rPr>
                    <w:t>קום ציבורי</w:t>
                  </w:r>
                </w:p>
                <w:p w14:paraId="0BE3CC1F" w14:textId="77777777" w:rsidR="00777FB2" w:rsidRDefault="00777FB2" w:rsidP="00DA5C99">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DA5C99">
                    <w:rPr>
                      <w:rFonts w:cs="Miriam" w:hint="cs"/>
                      <w:sz w:val="18"/>
                      <w:szCs w:val="18"/>
                      <w:rtl/>
                    </w:rPr>
                    <w:t>-</w:t>
                  </w:r>
                  <w:r>
                    <w:rPr>
                      <w:rFonts w:cs="Miriam"/>
                      <w:sz w:val="18"/>
                      <w:szCs w:val="18"/>
                      <w:rtl/>
                    </w:rPr>
                    <w:t>1986</w:t>
                  </w:r>
                </w:p>
              </w:txbxContent>
            </v:textbox>
            <w10:anchorlock/>
          </v:rect>
        </w:pict>
      </w:r>
      <w:r>
        <w:rPr>
          <w:rStyle w:val="big-number"/>
          <w:rFonts w:cs="Miriam"/>
          <w:rtl/>
        </w:rPr>
        <w:t>2.</w:t>
      </w:r>
      <w:r>
        <w:rPr>
          <w:rStyle w:val="big-number"/>
          <w:rFonts w:cs="Miriam"/>
          <w:rtl/>
        </w:rPr>
        <w:tab/>
      </w:r>
      <w:r>
        <w:rPr>
          <w:rStyle w:val="default"/>
          <w:rFonts w:cs="FrankRuehl"/>
          <w:rtl/>
        </w:rPr>
        <w:t>מש</w:t>
      </w:r>
      <w:r>
        <w:rPr>
          <w:rStyle w:val="default"/>
          <w:rFonts w:cs="FrankRuehl" w:hint="cs"/>
          <w:rtl/>
        </w:rPr>
        <w:t xml:space="preserve">נשמע אות אזעקה, או בשעת התקפה, או אם ניתנה הוראה מטעם חבר הג"א בתפקיד, חייב כל אדם שאינו בתפקיד הגא הנמצא במקום ציבורי, להיכנס מיד למקלט הקרוב ביותר למקום הימצאו, ובאין מקלט בקרבתו </w:t>
      </w:r>
      <w:r w:rsidR="008F3C37">
        <w:rPr>
          <w:rStyle w:val="default"/>
          <w:rFonts w:cs="FrankRuehl"/>
          <w:rtl/>
        </w:rPr>
        <w:t>–</w:t>
      </w:r>
      <w:r>
        <w:rPr>
          <w:rStyle w:val="default"/>
          <w:rFonts w:cs="FrankRuehl"/>
          <w:rtl/>
        </w:rPr>
        <w:t xml:space="preserve"> </w:t>
      </w:r>
      <w:r>
        <w:rPr>
          <w:rStyle w:val="default"/>
          <w:rFonts w:cs="FrankRuehl" w:hint="cs"/>
          <w:rtl/>
        </w:rPr>
        <w:t>לכל בנין המצוי בקרבתו, ולא לצאת מהמקלט או</w:t>
      </w:r>
      <w:r>
        <w:rPr>
          <w:rStyle w:val="default"/>
          <w:rFonts w:cs="FrankRuehl"/>
          <w:rtl/>
        </w:rPr>
        <w:t xml:space="preserve"> מ</w:t>
      </w:r>
      <w:r>
        <w:rPr>
          <w:rStyle w:val="default"/>
          <w:rFonts w:cs="FrankRuehl" w:hint="cs"/>
          <w:rtl/>
        </w:rPr>
        <w:t>הבנין כל עוד לא ניתן אות ארגעה או הוראה מטעם חבר הגא בתפקיד.</w:t>
      </w:r>
    </w:p>
    <w:p w14:paraId="31EEE78E" w14:textId="77777777" w:rsidR="002636D9" w:rsidRPr="00DA5C99" w:rsidRDefault="002636D9" w:rsidP="002636D9">
      <w:pPr>
        <w:pStyle w:val="P00"/>
        <w:tabs>
          <w:tab w:val="clear" w:pos="6259"/>
        </w:tabs>
        <w:spacing w:before="0"/>
        <w:ind w:left="0" w:right="1134"/>
        <w:rPr>
          <w:rFonts w:cs="FrankRuehl" w:hint="cs"/>
          <w:vanish/>
          <w:szCs w:val="20"/>
          <w:shd w:val="clear" w:color="auto" w:fill="FFFF99"/>
          <w:rtl/>
        </w:rPr>
      </w:pPr>
      <w:bookmarkStart w:id="2" w:name="Rov7"/>
      <w:r w:rsidRPr="00DA5C99">
        <w:rPr>
          <w:rFonts w:cs="FrankRuehl" w:hint="cs"/>
          <w:vanish/>
          <w:color w:val="FF0000"/>
          <w:szCs w:val="20"/>
          <w:shd w:val="clear" w:color="auto" w:fill="FFFF99"/>
          <w:rtl/>
        </w:rPr>
        <w:t>מיום 16.2.1986</w:t>
      </w:r>
    </w:p>
    <w:p w14:paraId="3535F92B" w14:textId="77777777" w:rsidR="002636D9" w:rsidRPr="00DA5C99" w:rsidRDefault="002636D9" w:rsidP="002636D9">
      <w:pPr>
        <w:pStyle w:val="P00"/>
        <w:spacing w:before="0"/>
        <w:ind w:left="0" w:right="1134"/>
        <w:rPr>
          <w:rFonts w:cs="FrankRuehl" w:hint="cs"/>
          <w:b/>
          <w:bCs/>
          <w:vanish/>
          <w:szCs w:val="20"/>
          <w:shd w:val="clear" w:color="auto" w:fill="FFFF99"/>
          <w:rtl/>
        </w:rPr>
      </w:pPr>
      <w:r w:rsidRPr="00DA5C99">
        <w:rPr>
          <w:rFonts w:cs="FrankRuehl" w:hint="cs"/>
          <w:b/>
          <w:bCs/>
          <w:vanish/>
          <w:szCs w:val="20"/>
          <w:shd w:val="clear" w:color="auto" w:fill="FFFF99"/>
          <w:rtl/>
        </w:rPr>
        <w:t>תק' תשמ"ו-1986</w:t>
      </w:r>
    </w:p>
    <w:p w14:paraId="72A4C481" w14:textId="77777777" w:rsidR="002636D9" w:rsidRPr="00DA5C99" w:rsidRDefault="002636D9" w:rsidP="002636D9">
      <w:pPr>
        <w:pStyle w:val="P00"/>
        <w:spacing w:before="0"/>
        <w:ind w:left="0" w:right="1134"/>
        <w:rPr>
          <w:rFonts w:cs="FrankRuehl" w:hint="cs"/>
          <w:vanish/>
          <w:szCs w:val="20"/>
          <w:shd w:val="clear" w:color="auto" w:fill="FFFF99"/>
          <w:rtl/>
        </w:rPr>
      </w:pPr>
      <w:hyperlink r:id="rId6" w:history="1">
        <w:r w:rsidRPr="00DA5C99">
          <w:rPr>
            <w:rStyle w:val="Hyperlink"/>
            <w:rFonts w:cs="FrankRuehl" w:hint="cs"/>
            <w:vanish/>
            <w:szCs w:val="20"/>
            <w:shd w:val="clear" w:color="auto" w:fill="FFFF99"/>
            <w:rtl/>
          </w:rPr>
          <w:t>ק"ת תשמ"ו מס' 4903</w:t>
        </w:r>
      </w:hyperlink>
      <w:r w:rsidRPr="00DA5C99">
        <w:rPr>
          <w:rFonts w:cs="FrankRuehl" w:hint="cs"/>
          <w:vanish/>
          <w:szCs w:val="20"/>
          <w:shd w:val="clear" w:color="auto" w:fill="FFFF99"/>
          <w:rtl/>
        </w:rPr>
        <w:t xml:space="preserve"> מיום 16.2.1986 עמ' 518</w:t>
      </w:r>
    </w:p>
    <w:p w14:paraId="3613798E" w14:textId="77777777" w:rsidR="002636D9" w:rsidRPr="002636D9" w:rsidRDefault="002636D9" w:rsidP="00DA5C99">
      <w:pPr>
        <w:pStyle w:val="P00"/>
        <w:ind w:left="0" w:right="1134"/>
        <w:rPr>
          <w:rStyle w:val="default"/>
          <w:rFonts w:cs="FrankRuehl" w:hint="cs"/>
          <w:sz w:val="2"/>
          <w:szCs w:val="2"/>
          <w:rtl/>
        </w:rPr>
      </w:pPr>
      <w:r w:rsidRPr="00DA5C99">
        <w:rPr>
          <w:rStyle w:val="big-number"/>
          <w:rFonts w:cs="FrankRuehl"/>
          <w:vanish/>
          <w:sz w:val="22"/>
          <w:szCs w:val="22"/>
          <w:shd w:val="clear" w:color="auto" w:fill="FFFF99"/>
          <w:rtl/>
        </w:rPr>
        <w:t>2.</w:t>
      </w:r>
      <w:r w:rsidRPr="00DA5C99">
        <w:rPr>
          <w:rStyle w:val="big-number"/>
          <w:rFonts w:cs="FrankRuehl"/>
          <w:vanish/>
          <w:sz w:val="22"/>
          <w:szCs w:val="22"/>
          <w:shd w:val="clear" w:color="auto" w:fill="FFFF99"/>
          <w:rtl/>
        </w:rPr>
        <w:tab/>
      </w:r>
      <w:r w:rsidRPr="00DA5C99">
        <w:rPr>
          <w:rStyle w:val="default"/>
          <w:rFonts w:cs="FrankRuehl"/>
          <w:vanish/>
          <w:sz w:val="22"/>
          <w:szCs w:val="22"/>
          <w:shd w:val="clear" w:color="auto" w:fill="FFFF99"/>
          <w:rtl/>
        </w:rPr>
        <w:t>מש</w:t>
      </w:r>
      <w:r w:rsidRPr="00DA5C99">
        <w:rPr>
          <w:rStyle w:val="default"/>
          <w:rFonts w:cs="FrankRuehl" w:hint="cs"/>
          <w:vanish/>
          <w:sz w:val="22"/>
          <w:szCs w:val="22"/>
          <w:shd w:val="clear" w:color="auto" w:fill="FFFF99"/>
          <w:rtl/>
        </w:rPr>
        <w:t xml:space="preserve">נשמע אות אזעקה, או בשעת התקפה, </w:t>
      </w:r>
      <w:r w:rsidRPr="00DA5C99">
        <w:rPr>
          <w:rStyle w:val="default"/>
          <w:rFonts w:cs="FrankRuehl" w:hint="cs"/>
          <w:vanish/>
          <w:sz w:val="22"/>
          <w:szCs w:val="22"/>
          <w:u w:val="single"/>
          <w:shd w:val="clear" w:color="auto" w:fill="FFFF99"/>
          <w:rtl/>
        </w:rPr>
        <w:t>או אם ניתנה הוראה מטעם חבר הג"א בתפקיד,</w:t>
      </w:r>
      <w:r w:rsidRPr="00DA5C99">
        <w:rPr>
          <w:rStyle w:val="default"/>
          <w:rFonts w:cs="FrankRuehl" w:hint="cs"/>
          <w:vanish/>
          <w:sz w:val="22"/>
          <w:szCs w:val="22"/>
          <w:shd w:val="clear" w:color="auto" w:fill="FFFF99"/>
          <w:rtl/>
        </w:rPr>
        <w:t xml:space="preserve"> חייב כל אדם שאינו בתפקיד הגא הנמצא במקום ציבורי, להיכנס מיד למקלט הקרוב ביותר למקום הימצאו, ובאין מקלט בקרבתו </w:t>
      </w:r>
      <w:r w:rsidR="00DA5C99" w:rsidRPr="00DA5C99">
        <w:rPr>
          <w:rStyle w:val="default"/>
          <w:rFonts w:cs="FrankRuehl" w:hint="cs"/>
          <w:vanish/>
          <w:sz w:val="22"/>
          <w:szCs w:val="22"/>
          <w:shd w:val="clear" w:color="auto" w:fill="FFFF99"/>
          <w:rtl/>
        </w:rPr>
        <w:t>-</w:t>
      </w:r>
      <w:r w:rsidRPr="00DA5C99">
        <w:rPr>
          <w:rStyle w:val="default"/>
          <w:rFonts w:cs="FrankRuehl"/>
          <w:vanish/>
          <w:sz w:val="22"/>
          <w:szCs w:val="22"/>
          <w:shd w:val="clear" w:color="auto" w:fill="FFFF99"/>
          <w:rtl/>
        </w:rPr>
        <w:t xml:space="preserve"> </w:t>
      </w:r>
      <w:r w:rsidRPr="00DA5C99">
        <w:rPr>
          <w:rStyle w:val="default"/>
          <w:rFonts w:cs="FrankRuehl" w:hint="cs"/>
          <w:vanish/>
          <w:sz w:val="22"/>
          <w:szCs w:val="22"/>
          <w:shd w:val="clear" w:color="auto" w:fill="FFFF99"/>
          <w:rtl/>
        </w:rPr>
        <w:t>לכל בנין המצוי בקרבתו, ולא לצאת מהמקלט או</w:t>
      </w:r>
      <w:r w:rsidRPr="00DA5C99">
        <w:rPr>
          <w:rStyle w:val="default"/>
          <w:rFonts w:cs="FrankRuehl"/>
          <w:vanish/>
          <w:sz w:val="22"/>
          <w:szCs w:val="22"/>
          <w:shd w:val="clear" w:color="auto" w:fill="FFFF99"/>
          <w:rtl/>
        </w:rPr>
        <w:t xml:space="preserve"> מ</w:t>
      </w:r>
      <w:r w:rsidRPr="00DA5C99">
        <w:rPr>
          <w:rStyle w:val="default"/>
          <w:rFonts w:cs="FrankRuehl" w:hint="cs"/>
          <w:vanish/>
          <w:sz w:val="22"/>
          <w:szCs w:val="22"/>
          <w:shd w:val="clear" w:color="auto" w:fill="FFFF99"/>
          <w:rtl/>
        </w:rPr>
        <w:t>הבנין כל עוד לא ניתן אות ארגעה או הוראה מטעם חבר הגא בתפקיד.</w:t>
      </w:r>
      <w:bookmarkEnd w:id="2"/>
    </w:p>
    <w:p w14:paraId="242B1D9F" w14:textId="77777777" w:rsidR="00777FB2" w:rsidRDefault="00777FB2">
      <w:pPr>
        <w:pStyle w:val="P00"/>
        <w:spacing w:before="72"/>
        <w:ind w:left="0" w:right="1134"/>
        <w:rPr>
          <w:rStyle w:val="default"/>
          <w:rFonts w:cs="FrankRuehl"/>
          <w:rtl/>
        </w:rPr>
      </w:pPr>
      <w:bookmarkStart w:id="3" w:name="Seif2"/>
      <w:bookmarkEnd w:id="3"/>
      <w:r>
        <w:rPr>
          <w:lang w:val="he-IL"/>
        </w:rPr>
        <w:pict w14:anchorId="5F33B6FC">
          <v:rect id="_x0000_s1028" style="position:absolute;left:0;text-align:left;margin-left:464.5pt;margin-top:8.05pt;width:75.05pt;height:10.25pt;z-index:251657728" o:allowincell="f" filled="f" stroked="f" strokecolor="lime" strokeweight=".25pt">
            <v:textbox style="mso-next-textbox:#_x0000_s1028" inset="0,0,0,0">
              <w:txbxContent>
                <w:p w14:paraId="3C78B743" w14:textId="77777777" w:rsidR="00777FB2" w:rsidRDefault="00777FB2">
                  <w:pPr>
                    <w:spacing w:line="160" w:lineRule="exact"/>
                    <w:jc w:val="left"/>
                    <w:rPr>
                      <w:rFonts w:cs="Miriam"/>
                      <w:noProof/>
                      <w:sz w:val="18"/>
                      <w:szCs w:val="18"/>
                      <w:rtl/>
                    </w:rPr>
                  </w:pPr>
                  <w:r>
                    <w:rPr>
                      <w:rFonts w:cs="Miriam"/>
                      <w:sz w:val="18"/>
                      <w:szCs w:val="18"/>
                      <w:rtl/>
                    </w:rPr>
                    <w:t>אי</w:t>
                  </w:r>
                  <w:r>
                    <w:rPr>
                      <w:rFonts w:cs="Miriam" w:hint="cs"/>
                      <w:sz w:val="18"/>
                      <w:szCs w:val="18"/>
                      <w:rtl/>
                    </w:rPr>
                    <w:t>סור התקהלות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סור להתקהל במקום ציבורי שנפגע בשעת התקפה.</w:t>
      </w:r>
    </w:p>
    <w:p w14:paraId="251C18DB" w14:textId="77777777" w:rsidR="00777FB2" w:rsidRDefault="00777FB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שננקטו פעולות הגא במקום שנפגע כאמור, לא ישתתף אדם בפעולות הצלה או בכל פעולה אחרת באותו מקום אלא אם הורה על כך חבר הגא בתפקיד.</w:t>
      </w:r>
    </w:p>
    <w:p w14:paraId="41F256F6" w14:textId="77777777" w:rsidR="00777FB2" w:rsidRDefault="00777FB2">
      <w:pPr>
        <w:pStyle w:val="P00"/>
        <w:spacing w:before="72"/>
        <w:ind w:left="0" w:right="1134"/>
        <w:rPr>
          <w:rStyle w:val="default"/>
          <w:rFonts w:cs="FrankRuehl"/>
          <w:rtl/>
        </w:rPr>
      </w:pPr>
      <w:bookmarkStart w:id="4" w:name="Seif3"/>
      <w:bookmarkEnd w:id="4"/>
      <w:r>
        <w:rPr>
          <w:lang w:val="he-IL"/>
        </w:rPr>
        <w:pict w14:anchorId="5DFFD77C">
          <v:rect id="_x0000_s1029" style="position:absolute;left:0;text-align:left;margin-left:464.5pt;margin-top:8.05pt;width:75.05pt;height:11.1pt;z-index:251658752" o:allowincell="f" filled="f" stroked="f" strokecolor="lime" strokeweight=".25pt">
            <v:textbox inset="0,0,0,0">
              <w:txbxContent>
                <w:p w14:paraId="7A05860E" w14:textId="77777777" w:rsidR="00777FB2" w:rsidRDefault="00777FB2">
                  <w:pPr>
                    <w:spacing w:line="160" w:lineRule="exact"/>
                    <w:jc w:val="left"/>
                    <w:rPr>
                      <w:rFonts w:cs="Miriam"/>
                      <w:noProof/>
                      <w:sz w:val="18"/>
                      <w:szCs w:val="18"/>
                      <w:rtl/>
                    </w:rPr>
                  </w:pPr>
                  <w:r>
                    <w:rPr>
                      <w:rFonts w:cs="Miriam"/>
                      <w:sz w:val="18"/>
                      <w:szCs w:val="18"/>
                      <w:rtl/>
                    </w:rPr>
                    <w:t>הפ</w:t>
                  </w:r>
                  <w:r>
                    <w:rPr>
                      <w:rFonts w:cs="Miriam" w:hint="cs"/>
                      <w:sz w:val="18"/>
                      <w:szCs w:val="18"/>
                      <w:rtl/>
                    </w:rPr>
                    <w:t>עלת צופר</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יפע</w:t>
      </w:r>
      <w:r>
        <w:rPr>
          <w:rStyle w:val="default"/>
          <w:rFonts w:cs="FrankRuehl"/>
          <w:rtl/>
        </w:rPr>
        <w:t>יל</w:t>
      </w:r>
      <w:r>
        <w:rPr>
          <w:rStyle w:val="default"/>
          <w:rFonts w:cs="FrankRuehl" w:hint="cs"/>
          <w:rtl/>
        </w:rPr>
        <w:t xml:space="preserve"> אדם צופר במקום ציבורי בתקופת קרבות או תמרוני הגא, אלא אם נקבעה הוראה על כך בכל דין ובהתאם לאותה הוראה או לשם מתן אות אזעקה או אות ארגעה בהתאם לסידורים שקבעו ראש הגא או מפקד הגא מחוזי הנוגע ב</w:t>
      </w:r>
      <w:r>
        <w:rPr>
          <w:rStyle w:val="default"/>
          <w:rFonts w:cs="FrankRuehl"/>
          <w:rtl/>
        </w:rPr>
        <w:t>ד</w:t>
      </w:r>
      <w:r>
        <w:rPr>
          <w:rStyle w:val="default"/>
          <w:rFonts w:cs="FrankRuehl" w:hint="cs"/>
          <w:rtl/>
        </w:rPr>
        <w:t>בר.</w:t>
      </w:r>
    </w:p>
    <w:p w14:paraId="08FEE733" w14:textId="77777777" w:rsidR="00777FB2" w:rsidRDefault="00777FB2" w:rsidP="008F3C37">
      <w:pPr>
        <w:pStyle w:val="P00"/>
        <w:spacing w:before="72"/>
        <w:ind w:left="0" w:right="1134"/>
        <w:rPr>
          <w:rStyle w:val="default"/>
          <w:rFonts w:cs="FrankRuehl"/>
          <w:rtl/>
        </w:rPr>
      </w:pPr>
      <w:bookmarkStart w:id="5" w:name="Seif4"/>
      <w:bookmarkEnd w:id="5"/>
      <w:r>
        <w:rPr>
          <w:lang w:val="he-IL"/>
        </w:rPr>
        <w:pict w14:anchorId="3AFA8624">
          <v:rect id="_x0000_s1030" style="position:absolute;left:0;text-align:left;margin-left:464.5pt;margin-top:8.05pt;width:75.05pt;height:10pt;z-index:251659776" o:allowincell="f" filled="f" stroked="f" strokecolor="lime" strokeweight=".25pt">
            <v:textbox inset="0,0,0,0">
              <w:txbxContent>
                <w:p w14:paraId="06C553B5" w14:textId="77777777" w:rsidR="00777FB2" w:rsidRDefault="00777FB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w:t>
      </w:r>
      <w:r>
        <w:rPr>
          <w:rStyle w:val="big-number"/>
          <w:rFonts w:cs="Miriam"/>
          <w:rtl/>
        </w:rPr>
        <w:tab/>
      </w:r>
      <w:r>
        <w:rPr>
          <w:rStyle w:val="default"/>
          <w:rFonts w:cs="FrankRuehl"/>
          <w:rtl/>
        </w:rPr>
        <w:t>לת</w:t>
      </w:r>
      <w:r>
        <w:rPr>
          <w:rStyle w:val="default"/>
          <w:rFonts w:cs="FrankRuehl" w:hint="cs"/>
          <w:rtl/>
        </w:rPr>
        <w:t>קנות אלה ייקרא "תקנות ההתגוננות האזרחית (התנהגות</w:t>
      </w:r>
      <w:r>
        <w:rPr>
          <w:rStyle w:val="default"/>
          <w:rFonts w:cs="FrankRuehl"/>
          <w:rtl/>
        </w:rPr>
        <w:t xml:space="preserve"> ב</w:t>
      </w:r>
      <w:r>
        <w:rPr>
          <w:rStyle w:val="default"/>
          <w:rFonts w:cs="FrankRuehl" w:hint="cs"/>
          <w:rtl/>
        </w:rPr>
        <w:t>מקומות ציבוריים), תשי"ז</w:t>
      </w:r>
      <w:r w:rsidR="00DA5C99">
        <w:rPr>
          <w:rStyle w:val="default"/>
          <w:rFonts w:cs="FrankRuehl" w:hint="cs"/>
          <w:rtl/>
        </w:rPr>
        <w:t>-</w:t>
      </w:r>
      <w:r>
        <w:rPr>
          <w:rStyle w:val="default"/>
          <w:rFonts w:cs="FrankRuehl"/>
          <w:rtl/>
        </w:rPr>
        <w:t>1956".</w:t>
      </w:r>
    </w:p>
    <w:p w14:paraId="35F83C1C" w14:textId="77777777" w:rsidR="00777FB2" w:rsidRDefault="00777FB2">
      <w:pPr>
        <w:pStyle w:val="P00"/>
        <w:spacing w:before="72"/>
        <w:ind w:left="0" w:right="1134"/>
        <w:rPr>
          <w:rStyle w:val="default"/>
          <w:rFonts w:cs="FrankRuehl" w:hint="cs"/>
          <w:rtl/>
        </w:rPr>
      </w:pPr>
    </w:p>
    <w:p w14:paraId="0F26DAF0" w14:textId="77777777" w:rsidR="00DA5C99" w:rsidRDefault="00DA5C99">
      <w:pPr>
        <w:pStyle w:val="P00"/>
        <w:spacing w:before="72"/>
        <w:ind w:left="0" w:right="1134"/>
        <w:rPr>
          <w:rStyle w:val="default"/>
          <w:rFonts w:cs="FrankRuehl" w:hint="cs"/>
          <w:rtl/>
        </w:rPr>
      </w:pPr>
    </w:p>
    <w:p w14:paraId="60A9D7B7" w14:textId="77777777" w:rsidR="00777FB2" w:rsidRDefault="00777FB2" w:rsidP="008F3C37">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בחשון תשי"ז (29 באוקטובר 1956)</w:t>
      </w:r>
      <w:r>
        <w:rPr>
          <w:rFonts w:cs="FrankRuehl"/>
          <w:sz w:val="26"/>
          <w:rtl/>
        </w:rPr>
        <w:tab/>
        <w:t>ד</w:t>
      </w:r>
      <w:r>
        <w:rPr>
          <w:rFonts w:cs="FrankRuehl" w:hint="cs"/>
          <w:sz w:val="26"/>
          <w:rtl/>
        </w:rPr>
        <w:t>וד בן-גוריון</w:t>
      </w:r>
    </w:p>
    <w:p w14:paraId="6EC57FF6" w14:textId="77777777" w:rsidR="00777FB2" w:rsidRDefault="00777FB2" w:rsidP="008F3C3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הבטחון</w:t>
      </w:r>
    </w:p>
    <w:p w14:paraId="29CB0391" w14:textId="77777777" w:rsidR="00DA5C99" w:rsidRPr="00DA5C99" w:rsidRDefault="00DA5C99" w:rsidP="00DA5C99">
      <w:pPr>
        <w:pStyle w:val="P00"/>
        <w:spacing w:before="72"/>
        <w:ind w:left="0" w:right="1134"/>
        <w:rPr>
          <w:rStyle w:val="default"/>
          <w:rFonts w:cs="FrankRuehl" w:hint="cs"/>
          <w:rtl/>
        </w:rPr>
      </w:pPr>
    </w:p>
    <w:p w14:paraId="6C54AD9C" w14:textId="77777777" w:rsidR="00DA5C99" w:rsidRPr="00DA5C99" w:rsidRDefault="00DA5C99" w:rsidP="00DA5C99">
      <w:pPr>
        <w:pStyle w:val="P00"/>
        <w:spacing w:before="72"/>
        <w:ind w:left="0" w:right="1134"/>
        <w:rPr>
          <w:rStyle w:val="default"/>
          <w:rFonts w:cs="FrankRuehl"/>
          <w:rtl/>
        </w:rPr>
      </w:pPr>
    </w:p>
    <w:p w14:paraId="07953502" w14:textId="77777777" w:rsidR="00777FB2" w:rsidRPr="00DA5C99" w:rsidRDefault="00777FB2" w:rsidP="00DA5C99">
      <w:pPr>
        <w:pStyle w:val="P00"/>
        <w:spacing w:before="72"/>
        <w:ind w:left="0" w:right="1134"/>
        <w:rPr>
          <w:rStyle w:val="default"/>
          <w:rFonts w:cs="FrankRuehl"/>
          <w:rtl/>
        </w:rPr>
      </w:pPr>
      <w:bookmarkStart w:id="6" w:name="LawPartEnd"/>
    </w:p>
    <w:bookmarkEnd w:id="6"/>
    <w:p w14:paraId="021F409B" w14:textId="77777777" w:rsidR="00777FB2" w:rsidRPr="00DA5C99" w:rsidRDefault="00777FB2" w:rsidP="00DA5C99">
      <w:pPr>
        <w:pStyle w:val="P00"/>
        <w:spacing w:before="72"/>
        <w:ind w:left="0" w:right="1134"/>
        <w:rPr>
          <w:rStyle w:val="default"/>
          <w:rFonts w:cs="FrankRuehl"/>
          <w:rtl/>
        </w:rPr>
      </w:pPr>
    </w:p>
    <w:sectPr w:rsidR="00777FB2" w:rsidRPr="00DA5C9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13ED6" w14:textId="77777777" w:rsidR="00DF1359" w:rsidRDefault="00DF1359">
      <w:r>
        <w:separator/>
      </w:r>
    </w:p>
  </w:endnote>
  <w:endnote w:type="continuationSeparator" w:id="0">
    <w:p w14:paraId="247AC3E0" w14:textId="77777777" w:rsidR="00DF1359" w:rsidRDefault="00DF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A7F6" w14:textId="77777777" w:rsidR="00777FB2" w:rsidRDefault="00777F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B163DCA" w14:textId="77777777" w:rsidR="00777FB2" w:rsidRDefault="00777F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4D5BC7" w14:textId="77777777" w:rsidR="00777FB2" w:rsidRDefault="00777F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5C99">
      <w:rPr>
        <w:rFonts w:cs="TopType Jerushalmi"/>
        <w:noProof/>
        <w:color w:val="000000"/>
        <w:sz w:val="14"/>
        <w:szCs w:val="14"/>
      </w:rPr>
      <w:t>D:\Yael\hakika\Revadim\125_011.doc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4C18" w14:textId="77777777" w:rsidR="00777FB2" w:rsidRDefault="00777F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3C37">
      <w:rPr>
        <w:rFonts w:hAnsi="FrankRuehl" w:cs="FrankRuehl"/>
        <w:noProof/>
        <w:sz w:val="24"/>
        <w:szCs w:val="24"/>
        <w:rtl/>
      </w:rPr>
      <w:t>2</w:t>
    </w:r>
    <w:r>
      <w:rPr>
        <w:rFonts w:hAnsi="FrankRuehl" w:cs="FrankRuehl"/>
        <w:sz w:val="24"/>
        <w:szCs w:val="24"/>
        <w:rtl/>
      </w:rPr>
      <w:fldChar w:fldCharType="end"/>
    </w:r>
  </w:p>
  <w:p w14:paraId="52E4F1A2" w14:textId="77777777" w:rsidR="00777FB2" w:rsidRDefault="00777F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16C78B" w14:textId="77777777" w:rsidR="00777FB2" w:rsidRDefault="00777F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5C99">
      <w:rPr>
        <w:rFonts w:cs="TopType Jerushalmi"/>
        <w:noProof/>
        <w:color w:val="000000"/>
        <w:sz w:val="14"/>
        <w:szCs w:val="14"/>
      </w:rPr>
      <w:t>D:\Yael\hakika\Revadim\125_011.doc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E19B" w14:textId="77777777" w:rsidR="00DF1359" w:rsidRDefault="00DF1359" w:rsidP="00DA5C99">
      <w:pPr>
        <w:spacing w:before="60" w:line="240" w:lineRule="auto"/>
        <w:ind w:right="1134"/>
      </w:pPr>
      <w:r>
        <w:separator/>
      </w:r>
    </w:p>
  </w:footnote>
  <w:footnote w:type="continuationSeparator" w:id="0">
    <w:p w14:paraId="5DFC9AE5" w14:textId="77777777" w:rsidR="00DF1359" w:rsidRDefault="00DF1359">
      <w:r>
        <w:continuationSeparator/>
      </w:r>
    </w:p>
  </w:footnote>
  <w:footnote w:id="1">
    <w:p w14:paraId="790BFE02" w14:textId="77777777" w:rsidR="00DA5C99" w:rsidRDefault="00DA5C99" w:rsidP="00DA5C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A5C99">
        <w:rPr>
          <w:rFonts w:cs="FrankRuehl"/>
          <w:rtl/>
        </w:rPr>
        <w:t xml:space="preserve">* </w:t>
      </w:r>
      <w:r>
        <w:rPr>
          <w:rFonts w:cs="FrankRuehl"/>
          <w:rtl/>
        </w:rPr>
        <w:t>פו</w:t>
      </w:r>
      <w:r>
        <w:rPr>
          <w:rFonts w:cs="FrankRuehl" w:hint="cs"/>
          <w:rtl/>
        </w:rPr>
        <w:t xml:space="preserve">רסמו </w:t>
      </w:r>
      <w:hyperlink r:id="rId1" w:history="1">
        <w:r w:rsidRPr="00257BED">
          <w:rPr>
            <w:rStyle w:val="Hyperlink"/>
            <w:rFonts w:cs="FrankRuehl" w:hint="cs"/>
            <w:rtl/>
          </w:rPr>
          <w:t>ק"ת תשי"ז מס' 649</w:t>
        </w:r>
      </w:hyperlink>
      <w:r>
        <w:rPr>
          <w:rFonts w:cs="FrankRuehl" w:hint="cs"/>
          <w:rtl/>
        </w:rPr>
        <w:t xml:space="preserve"> מיום </w:t>
      </w:r>
      <w:r>
        <w:rPr>
          <w:rFonts w:cs="FrankRuehl"/>
          <w:rtl/>
        </w:rPr>
        <w:t>31.10.1956 ע</w:t>
      </w:r>
      <w:r>
        <w:rPr>
          <w:rFonts w:cs="FrankRuehl" w:hint="cs"/>
          <w:rtl/>
        </w:rPr>
        <w:t>מ' 346.</w:t>
      </w:r>
    </w:p>
    <w:p w14:paraId="5C1C9181" w14:textId="77777777" w:rsidR="00DA5C99" w:rsidRPr="00DA5C99" w:rsidRDefault="00DA5C99" w:rsidP="00DA5C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2636D9">
          <w:rPr>
            <w:rStyle w:val="Hyperlink"/>
            <w:rFonts w:cs="FrankRuehl" w:hint="cs"/>
            <w:rtl/>
          </w:rPr>
          <w:t>ק"ת תש</w:t>
        </w:r>
        <w:r w:rsidRPr="002636D9">
          <w:rPr>
            <w:rStyle w:val="Hyperlink"/>
            <w:rFonts w:cs="FrankRuehl" w:hint="cs"/>
            <w:rtl/>
          </w:rPr>
          <w:t>מ"ו מס' 4903</w:t>
        </w:r>
      </w:hyperlink>
      <w:r>
        <w:rPr>
          <w:rFonts w:cs="FrankRuehl" w:hint="cs"/>
          <w:rtl/>
        </w:rPr>
        <w:t xml:space="preserve"> מיום 16.2.1986 עמ' 518 </w:t>
      </w:r>
      <w:r>
        <w:rPr>
          <w:rFonts w:cs="FrankRuehl"/>
          <w:rtl/>
        </w:rPr>
        <w:t>–</w:t>
      </w:r>
      <w:r>
        <w:rPr>
          <w:rFonts w:cs="FrankRuehl" w:hint="cs"/>
          <w:rtl/>
        </w:rPr>
        <w:t xml:space="preserve"> תק' תשמ"ו-1986.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407D" w14:textId="77777777" w:rsidR="00777FB2" w:rsidRDefault="00777F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(התנהגות במקומות ציבוריים), תשי"ז–1956</w:t>
    </w:r>
  </w:p>
  <w:p w14:paraId="3695C36B" w14:textId="77777777" w:rsidR="00777FB2" w:rsidRDefault="00777F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76A8B4" w14:textId="77777777" w:rsidR="00777FB2" w:rsidRDefault="00777FB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D598" w14:textId="77777777" w:rsidR="00777FB2" w:rsidRDefault="00777FB2" w:rsidP="00DA5C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(התנהגות במקומות ציבוריים), תשי"ז</w:t>
    </w:r>
    <w:r w:rsidR="00DA5C99">
      <w:rPr>
        <w:rFonts w:hAnsi="FrankRuehl" w:cs="FrankRuehl" w:hint="cs"/>
        <w:color w:val="000000"/>
        <w:sz w:val="28"/>
        <w:szCs w:val="28"/>
        <w:rtl/>
      </w:rPr>
      <w:t>-</w:t>
    </w:r>
    <w:r>
      <w:rPr>
        <w:rFonts w:hAnsi="FrankRuehl" w:cs="FrankRuehl"/>
        <w:color w:val="000000"/>
        <w:sz w:val="28"/>
        <w:szCs w:val="28"/>
        <w:rtl/>
      </w:rPr>
      <w:t>1956</w:t>
    </w:r>
  </w:p>
  <w:p w14:paraId="17EBEE21" w14:textId="77777777" w:rsidR="00777FB2" w:rsidRDefault="00777F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1B2D85" w14:textId="77777777" w:rsidR="00777FB2" w:rsidRDefault="00777FB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062A"/>
    <w:rsid w:val="000E0229"/>
    <w:rsid w:val="00182791"/>
    <w:rsid w:val="00257BED"/>
    <w:rsid w:val="002636D9"/>
    <w:rsid w:val="003A04CD"/>
    <w:rsid w:val="003C722B"/>
    <w:rsid w:val="00777FB2"/>
    <w:rsid w:val="008F3C37"/>
    <w:rsid w:val="00C64B72"/>
    <w:rsid w:val="00DA5C99"/>
    <w:rsid w:val="00DF1359"/>
    <w:rsid w:val="00E5062A"/>
    <w:rsid w:val="00ED0B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64BB12"/>
  <w15:chartTrackingRefBased/>
  <w15:docId w15:val="{F541916A-2F0E-4861-87AC-4B8AF43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636D9"/>
    <w:rPr>
      <w:color w:val="800080"/>
      <w:u w:val="single"/>
    </w:rPr>
  </w:style>
  <w:style w:type="paragraph" w:styleId="a5">
    <w:name w:val="footnote text"/>
    <w:basedOn w:val="a"/>
    <w:semiHidden/>
    <w:rsid w:val="00DA5C99"/>
    <w:rPr>
      <w:sz w:val="20"/>
      <w:szCs w:val="20"/>
    </w:rPr>
  </w:style>
  <w:style w:type="character" w:styleId="a6">
    <w:name w:val="footnote reference"/>
    <w:basedOn w:val="a0"/>
    <w:semiHidden/>
    <w:rsid w:val="00DA5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90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903.pdf" TargetMode="External"/><Relationship Id="rId1" Type="http://schemas.openxmlformats.org/officeDocument/2006/relationships/hyperlink" Target="http://www.nevo.co.il/Law_word/law06/TAK-06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2312</CharactersWithSpaces>
  <SharedDoc>false</SharedDoc>
  <HLinks>
    <vt:vector size="48" baseType="variant">
      <vt:variant>
        <vt:i4>8192002</vt:i4>
      </vt:variant>
      <vt:variant>
        <vt:i4>30</vt:i4>
      </vt:variant>
      <vt:variant>
        <vt:i4>0</vt:i4>
      </vt:variant>
      <vt:variant>
        <vt:i4>5</vt:i4>
      </vt:variant>
      <vt:variant>
        <vt:lpwstr>http://www.nevo.co.il/Law_word/law06/TAK-4903.pdf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8192002</vt:i4>
      </vt:variant>
      <vt:variant>
        <vt:i4>3</vt:i4>
      </vt:variant>
      <vt:variant>
        <vt:i4>0</vt:i4>
      </vt:variant>
      <vt:variant>
        <vt:i4>5</vt:i4>
      </vt:variant>
      <vt:variant>
        <vt:lpwstr>http://www.nevo.co.il/Law_word/law06/TAK-4903.pdf</vt:lpwstr>
      </vt:variant>
      <vt:variant>
        <vt:lpwstr/>
      </vt:variant>
      <vt:variant>
        <vt:i4>8192007</vt:i4>
      </vt:variant>
      <vt:variant>
        <vt:i4>0</vt:i4>
      </vt:variant>
      <vt:variant>
        <vt:i4>0</vt:i4>
      </vt:variant>
      <vt:variant>
        <vt:i4>5</vt:i4>
      </vt:variant>
      <vt:variant>
        <vt:lpwstr>http://www.nevo.co.il/Law_word/law06/TAK-0649.pdf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(התנהגות במקומות ציבוריים), תשי"ז-1956</vt:lpwstr>
  </property>
  <property fmtid="{D5CDD505-2E9C-101B-9397-08002B2CF9AE}" pid="5" name="LAWNUMBER">
    <vt:lpwstr>0011</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27XגX</vt:lpwstr>
  </property>
</Properties>
</file>