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0ADA" w14:textId="77777777" w:rsidR="00261D70" w:rsidRDefault="00261D70">
      <w:pPr>
        <w:pStyle w:val="big-header"/>
        <w:ind w:left="0" w:right="1134"/>
        <w:rPr>
          <w:rFonts w:cs="FrankRuehl" w:hint="cs"/>
          <w:sz w:val="32"/>
          <w:rtl/>
        </w:rPr>
      </w:pPr>
      <w:r>
        <w:rPr>
          <w:rFonts w:cs="FrankRuehl"/>
          <w:sz w:val="32"/>
          <w:rtl/>
        </w:rPr>
        <w:t>תקנות ההתגוננות האזרחית (תנאים להתקנת מיתקנים ולשימוש בהם), תשכ"ה–1965</w:t>
      </w:r>
    </w:p>
    <w:p w14:paraId="34723C77" w14:textId="77777777" w:rsidR="00B57827" w:rsidRPr="00B57827" w:rsidRDefault="00B57827" w:rsidP="00B57827">
      <w:pPr>
        <w:spacing w:line="320" w:lineRule="auto"/>
        <w:jc w:val="left"/>
        <w:rPr>
          <w:rFonts w:cs="FrankRuehl"/>
          <w:szCs w:val="26"/>
          <w:rtl/>
        </w:rPr>
      </w:pPr>
    </w:p>
    <w:p w14:paraId="1D8670F5" w14:textId="77777777" w:rsidR="00B57827" w:rsidRPr="00B57827" w:rsidRDefault="00B57827" w:rsidP="00B57827">
      <w:pPr>
        <w:spacing w:line="320" w:lineRule="auto"/>
        <w:jc w:val="left"/>
        <w:rPr>
          <w:rFonts w:cs="Miriam" w:hint="cs"/>
          <w:szCs w:val="22"/>
          <w:rtl/>
        </w:rPr>
      </w:pPr>
      <w:r w:rsidRPr="00B57827">
        <w:rPr>
          <w:rFonts w:cs="Miriam"/>
          <w:szCs w:val="22"/>
          <w:rtl/>
        </w:rPr>
        <w:t>בטחון</w:t>
      </w:r>
      <w:r w:rsidRPr="00B57827">
        <w:rPr>
          <w:rFonts w:cs="FrankRuehl"/>
          <w:szCs w:val="26"/>
          <w:rtl/>
        </w:rPr>
        <w:t xml:space="preserve"> – התגוננות אזרחית</w:t>
      </w:r>
    </w:p>
    <w:p w14:paraId="49A824AB" w14:textId="77777777" w:rsidR="00261D70" w:rsidRDefault="00261D7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61D70" w14:paraId="325C583A" w14:textId="77777777">
        <w:tblPrEx>
          <w:tblCellMar>
            <w:top w:w="0" w:type="dxa"/>
            <w:bottom w:w="0" w:type="dxa"/>
          </w:tblCellMar>
        </w:tblPrEx>
        <w:tc>
          <w:tcPr>
            <w:tcW w:w="850" w:type="dxa"/>
          </w:tcPr>
          <w:p w14:paraId="5293A0C4" w14:textId="77777777" w:rsidR="00261D70" w:rsidRDefault="00261D7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48B6795" w14:textId="77777777" w:rsidR="00261D70" w:rsidRDefault="00261D70">
            <w:pPr>
              <w:spacing w:line="240" w:lineRule="auto"/>
              <w:rPr>
                <w:sz w:val="24"/>
              </w:rPr>
            </w:pPr>
            <w:hyperlink w:anchor="Seif0" w:tooltip="הגדרות" w:history="1">
              <w:r>
                <w:rPr>
                  <w:rStyle w:val="Hyperlink"/>
                </w:rPr>
                <w:t>Go</w:t>
              </w:r>
            </w:hyperlink>
          </w:p>
        </w:tc>
        <w:tc>
          <w:tcPr>
            <w:tcW w:w="5669" w:type="dxa"/>
          </w:tcPr>
          <w:p w14:paraId="73117393" w14:textId="77777777" w:rsidR="00261D70" w:rsidRDefault="00261D70">
            <w:pPr>
              <w:spacing w:line="240" w:lineRule="auto"/>
              <w:rPr>
                <w:sz w:val="24"/>
                <w:rtl/>
              </w:rPr>
            </w:pPr>
            <w:r>
              <w:rPr>
                <w:sz w:val="24"/>
                <w:rtl/>
              </w:rPr>
              <w:t>הגדרות</w:t>
            </w:r>
          </w:p>
        </w:tc>
        <w:tc>
          <w:tcPr>
            <w:tcW w:w="1247" w:type="dxa"/>
          </w:tcPr>
          <w:p w14:paraId="7F8BD44C" w14:textId="77777777" w:rsidR="00261D70" w:rsidRDefault="00261D70">
            <w:pPr>
              <w:spacing w:line="240" w:lineRule="auto"/>
              <w:rPr>
                <w:sz w:val="24"/>
              </w:rPr>
            </w:pPr>
            <w:r>
              <w:rPr>
                <w:sz w:val="24"/>
                <w:rtl/>
              </w:rPr>
              <w:t xml:space="preserve">סעיף 1 </w:t>
            </w:r>
          </w:p>
        </w:tc>
      </w:tr>
      <w:tr w:rsidR="00261D70" w14:paraId="6C0F4B65" w14:textId="77777777">
        <w:tblPrEx>
          <w:tblCellMar>
            <w:top w:w="0" w:type="dxa"/>
            <w:bottom w:w="0" w:type="dxa"/>
          </w:tblCellMar>
        </w:tblPrEx>
        <w:tc>
          <w:tcPr>
            <w:tcW w:w="850" w:type="dxa"/>
          </w:tcPr>
          <w:p w14:paraId="1BB18336" w14:textId="77777777" w:rsidR="00261D70" w:rsidRDefault="00261D7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40375CE" w14:textId="77777777" w:rsidR="00261D70" w:rsidRDefault="00261D70">
            <w:pPr>
              <w:spacing w:line="240" w:lineRule="auto"/>
              <w:rPr>
                <w:sz w:val="24"/>
              </w:rPr>
            </w:pPr>
            <w:hyperlink w:anchor="Seif1" w:tooltip="תנאים להתקנת מיתקנים נוספים" w:history="1">
              <w:r>
                <w:rPr>
                  <w:rStyle w:val="Hyperlink"/>
                </w:rPr>
                <w:t>Go</w:t>
              </w:r>
            </w:hyperlink>
          </w:p>
        </w:tc>
        <w:tc>
          <w:tcPr>
            <w:tcW w:w="5669" w:type="dxa"/>
          </w:tcPr>
          <w:p w14:paraId="13CB0262" w14:textId="77777777" w:rsidR="00261D70" w:rsidRDefault="00261D70">
            <w:pPr>
              <w:spacing w:line="240" w:lineRule="auto"/>
              <w:rPr>
                <w:sz w:val="24"/>
                <w:rtl/>
              </w:rPr>
            </w:pPr>
            <w:r>
              <w:rPr>
                <w:sz w:val="24"/>
                <w:rtl/>
              </w:rPr>
              <w:t>תנאים להתקנת מיתקנים נוספים</w:t>
            </w:r>
          </w:p>
        </w:tc>
        <w:tc>
          <w:tcPr>
            <w:tcW w:w="1247" w:type="dxa"/>
          </w:tcPr>
          <w:p w14:paraId="6E2712F6" w14:textId="77777777" w:rsidR="00261D70" w:rsidRDefault="00261D70">
            <w:pPr>
              <w:spacing w:line="240" w:lineRule="auto"/>
              <w:rPr>
                <w:sz w:val="24"/>
              </w:rPr>
            </w:pPr>
            <w:r>
              <w:rPr>
                <w:sz w:val="24"/>
                <w:rtl/>
              </w:rPr>
              <w:t xml:space="preserve">סעיף 2 </w:t>
            </w:r>
          </w:p>
        </w:tc>
      </w:tr>
      <w:tr w:rsidR="00261D70" w14:paraId="62A4F1EB" w14:textId="77777777">
        <w:tblPrEx>
          <w:tblCellMar>
            <w:top w:w="0" w:type="dxa"/>
            <w:bottom w:w="0" w:type="dxa"/>
          </w:tblCellMar>
        </w:tblPrEx>
        <w:tc>
          <w:tcPr>
            <w:tcW w:w="850" w:type="dxa"/>
          </w:tcPr>
          <w:p w14:paraId="21CC4E6A" w14:textId="77777777" w:rsidR="00261D70" w:rsidRDefault="00261D7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5E90190" w14:textId="77777777" w:rsidR="00261D70" w:rsidRDefault="00261D70">
            <w:pPr>
              <w:spacing w:line="240" w:lineRule="auto"/>
              <w:rPr>
                <w:sz w:val="24"/>
              </w:rPr>
            </w:pPr>
            <w:hyperlink w:anchor="Seif2" w:tooltip="תנאים לשימוש במיתקנים קיימים" w:history="1">
              <w:r>
                <w:rPr>
                  <w:rStyle w:val="Hyperlink"/>
                </w:rPr>
                <w:t>Go</w:t>
              </w:r>
            </w:hyperlink>
          </w:p>
        </w:tc>
        <w:tc>
          <w:tcPr>
            <w:tcW w:w="5669" w:type="dxa"/>
          </w:tcPr>
          <w:p w14:paraId="46EDCEF9" w14:textId="77777777" w:rsidR="00261D70" w:rsidRDefault="00261D70">
            <w:pPr>
              <w:spacing w:line="240" w:lineRule="auto"/>
              <w:rPr>
                <w:sz w:val="24"/>
                <w:rtl/>
              </w:rPr>
            </w:pPr>
            <w:r>
              <w:rPr>
                <w:sz w:val="24"/>
                <w:rtl/>
              </w:rPr>
              <w:t>תנאים לשימוש במיתקנים קיימים</w:t>
            </w:r>
          </w:p>
        </w:tc>
        <w:tc>
          <w:tcPr>
            <w:tcW w:w="1247" w:type="dxa"/>
          </w:tcPr>
          <w:p w14:paraId="2C2A023F" w14:textId="77777777" w:rsidR="00261D70" w:rsidRDefault="00261D70">
            <w:pPr>
              <w:spacing w:line="240" w:lineRule="auto"/>
              <w:rPr>
                <w:sz w:val="24"/>
              </w:rPr>
            </w:pPr>
            <w:r>
              <w:rPr>
                <w:sz w:val="24"/>
                <w:rtl/>
              </w:rPr>
              <w:t xml:space="preserve">סעיף 3 </w:t>
            </w:r>
          </w:p>
        </w:tc>
      </w:tr>
      <w:tr w:rsidR="00261D70" w14:paraId="304F2777" w14:textId="77777777">
        <w:tblPrEx>
          <w:tblCellMar>
            <w:top w:w="0" w:type="dxa"/>
            <w:bottom w:w="0" w:type="dxa"/>
          </w:tblCellMar>
        </w:tblPrEx>
        <w:tc>
          <w:tcPr>
            <w:tcW w:w="850" w:type="dxa"/>
          </w:tcPr>
          <w:p w14:paraId="6CE1A5B3" w14:textId="77777777" w:rsidR="00261D70" w:rsidRDefault="00261D7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79EC25C" w14:textId="77777777" w:rsidR="00261D70" w:rsidRDefault="00261D70">
            <w:pPr>
              <w:spacing w:line="240" w:lineRule="auto"/>
              <w:rPr>
                <w:sz w:val="24"/>
              </w:rPr>
            </w:pPr>
            <w:hyperlink w:anchor="Seif3" w:tooltip="ביטול הודעה מוקדמת" w:history="1">
              <w:r>
                <w:rPr>
                  <w:rStyle w:val="Hyperlink"/>
                </w:rPr>
                <w:t>Go</w:t>
              </w:r>
            </w:hyperlink>
          </w:p>
        </w:tc>
        <w:tc>
          <w:tcPr>
            <w:tcW w:w="5669" w:type="dxa"/>
          </w:tcPr>
          <w:p w14:paraId="1093007E" w14:textId="77777777" w:rsidR="00261D70" w:rsidRDefault="00261D70">
            <w:pPr>
              <w:spacing w:line="240" w:lineRule="auto"/>
              <w:rPr>
                <w:sz w:val="24"/>
                <w:rtl/>
              </w:rPr>
            </w:pPr>
            <w:r>
              <w:rPr>
                <w:sz w:val="24"/>
                <w:rtl/>
              </w:rPr>
              <w:t>ביטול הודעה מוקדמת</w:t>
            </w:r>
          </w:p>
        </w:tc>
        <w:tc>
          <w:tcPr>
            <w:tcW w:w="1247" w:type="dxa"/>
          </w:tcPr>
          <w:p w14:paraId="728696AC" w14:textId="77777777" w:rsidR="00261D70" w:rsidRDefault="00261D70">
            <w:pPr>
              <w:spacing w:line="240" w:lineRule="auto"/>
              <w:rPr>
                <w:sz w:val="24"/>
              </w:rPr>
            </w:pPr>
            <w:r>
              <w:rPr>
                <w:sz w:val="24"/>
                <w:rtl/>
              </w:rPr>
              <w:t xml:space="preserve">סעיף 4 </w:t>
            </w:r>
          </w:p>
        </w:tc>
      </w:tr>
      <w:tr w:rsidR="00261D70" w14:paraId="67A995BE" w14:textId="77777777">
        <w:tblPrEx>
          <w:tblCellMar>
            <w:top w:w="0" w:type="dxa"/>
            <w:bottom w:w="0" w:type="dxa"/>
          </w:tblCellMar>
        </w:tblPrEx>
        <w:tc>
          <w:tcPr>
            <w:tcW w:w="850" w:type="dxa"/>
          </w:tcPr>
          <w:p w14:paraId="67A9D81F" w14:textId="77777777" w:rsidR="00261D70" w:rsidRDefault="00261D7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9D4F992" w14:textId="77777777" w:rsidR="00261D70" w:rsidRDefault="00261D70">
            <w:pPr>
              <w:spacing w:line="240" w:lineRule="auto"/>
              <w:rPr>
                <w:sz w:val="24"/>
              </w:rPr>
            </w:pPr>
            <w:hyperlink w:anchor="Seif4" w:tooltip="תא מסביב למיתקן נוסף" w:history="1">
              <w:r>
                <w:rPr>
                  <w:rStyle w:val="Hyperlink"/>
                </w:rPr>
                <w:t>Go</w:t>
              </w:r>
            </w:hyperlink>
          </w:p>
        </w:tc>
        <w:tc>
          <w:tcPr>
            <w:tcW w:w="5669" w:type="dxa"/>
          </w:tcPr>
          <w:p w14:paraId="7A774DD9" w14:textId="77777777" w:rsidR="00261D70" w:rsidRDefault="00261D70">
            <w:pPr>
              <w:spacing w:line="240" w:lineRule="auto"/>
              <w:rPr>
                <w:sz w:val="24"/>
                <w:rtl/>
              </w:rPr>
            </w:pPr>
            <w:r>
              <w:rPr>
                <w:sz w:val="24"/>
                <w:rtl/>
              </w:rPr>
              <w:t>תא מסביב למיתקן נוסף</w:t>
            </w:r>
          </w:p>
        </w:tc>
        <w:tc>
          <w:tcPr>
            <w:tcW w:w="1247" w:type="dxa"/>
          </w:tcPr>
          <w:p w14:paraId="4DF268C1" w14:textId="77777777" w:rsidR="00261D70" w:rsidRDefault="00261D70">
            <w:pPr>
              <w:spacing w:line="240" w:lineRule="auto"/>
              <w:rPr>
                <w:sz w:val="24"/>
              </w:rPr>
            </w:pPr>
            <w:r>
              <w:rPr>
                <w:sz w:val="24"/>
                <w:rtl/>
              </w:rPr>
              <w:t xml:space="preserve">סעיף 5 </w:t>
            </w:r>
          </w:p>
        </w:tc>
      </w:tr>
      <w:tr w:rsidR="00261D70" w14:paraId="213D280F" w14:textId="77777777">
        <w:tblPrEx>
          <w:tblCellMar>
            <w:top w:w="0" w:type="dxa"/>
            <w:bottom w:w="0" w:type="dxa"/>
          </w:tblCellMar>
        </w:tblPrEx>
        <w:tc>
          <w:tcPr>
            <w:tcW w:w="850" w:type="dxa"/>
          </w:tcPr>
          <w:p w14:paraId="6FE28DDC" w14:textId="77777777" w:rsidR="00261D70" w:rsidRDefault="00261D7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1692A14" w14:textId="77777777" w:rsidR="00261D70" w:rsidRDefault="00261D70">
            <w:pPr>
              <w:spacing w:line="240" w:lineRule="auto"/>
              <w:rPr>
                <w:sz w:val="24"/>
              </w:rPr>
            </w:pPr>
            <w:hyperlink w:anchor="Seif5" w:tooltip="מסירת פרטים" w:history="1">
              <w:r>
                <w:rPr>
                  <w:rStyle w:val="Hyperlink"/>
                </w:rPr>
                <w:t>Go</w:t>
              </w:r>
            </w:hyperlink>
          </w:p>
        </w:tc>
        <w:tc>
          <w:tcPr>
            <w:tcW w:w="5669" w:type="dxa"/>
          </w:tcPr>
          <w:p w14:paraId="1A803688" w14:textId="77777777" w:rsidR="00261D70" w:rsidRDefault="00261D70">
            <w:pPr>
              <w:spacing w:line="240" w:lineRule="auto"/>
              <w:rPr>
                <w:sz w:val="24"/>
                <w:rtl/>
              </w:rPr>
            </w:pPr>
            <w:r>
              <w:rPr>
                <w:sz w:val="24"/>
                <w:rtl/>
              </w:rPr>
              <w:t>מסירת פרטים</w:t>
            </w:r>
          </w:p>
        </w:tc>
        <w:tc>
          <w:tcPr>
            <w:tcW w:w="1247" w:type="dxa"/>
          </w:tcPr>
          <w:p w14:paraId="43B8BD26" w14:textId="77777777" w:rsidR="00261D70" w:rsidRDefault="00261D70">
            <w:pPr>
              <w:spacing w:line="240" w:lineRule="auto"/>
              <w:rPr>
                <w:sz w:val="24"/>
              </w:rPr>
            </w:pPr>
            <w:r>
              <w:rPr>
                <w:sz w:val="24"/>
                <w:rtl/>
              </w:rPr>
              <w:t xml:space="preserve">סעיף 6 </w:t>
            </w:r>
          </w:p>
        </w:tc>
      </w:tr>
      <w:tr w:rsidR="00261D70" w14:paraId="3FB8F57A" w14:textId="77777777">
        <w:tblPrEx>
          <w:tblCellMar>
            <w:top w:w="0" w:type="dxa"/>
            <w:bottom w:w="0" w:type="dxa"/>
          </w:tblCellMar>
        </w:tblPrEx>
        <w:tc>
          <w:tcPr>
            <w:tcW w:w="850" w:type="dxa"/>
          </w:tcPr>
          <w:p w14:paraId="42368557" w14:textId="77777777" w:rsidR="00261D70" w:rsidRDefault="00261D7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0A635CB" w14:textId="77777777" w:rsidR="00261D70" w:rsidRDefault="00261D70">
            <w:pPr>
              <w:spacing w:line="240" w:lineRule="auto"/>
              <w:rPr>
                <w:sz w:val="24"/>
              </w:rPr>
            </w:pPr>
            <w:hyperlink w:anchor="Seif6" w:tooltip="איסור הפרעה" w:history="1">
              <w:r>
                <w:rPr>
                  <w:rStyle w:val="Hyperlink"/>
                </w:rPr>
                <w:t>Go</w:t>
              </w:r>
            </w:hyperlink>
          </w:p>
        </w:tc>
        <w:tc>
          <w:tcPr>
            <w:tcW w:w="5669" w:type="dxa"/>
          </w:tcPr>
          <w:p w14:paraId="436A88C2" w14:textId="77777777" w:rsidR="00261D70" w:rsidRDefault="00261D70">
            <w:pPr>
              <w:spacing w:line="240" w:lineRule="auto"/>
              <w:rPr>
                <w:sz w:val="24"/>
                <w:rtl/>
              </w:rPr>
            </w:pPr>
            <w:r>
              <w:rPr>
                <w:sz w:val="24"/>
                <w:rtl/>
              </w:rPr>
              <w:t>איסור הפרעה</w:t>
            </w:r>
          </w:p>
        </w:tc>
        <w:tc>
          <w:tcPr>
            <w:tcW w:w="1247" w:type="dxa"/>
          </w:tcPr>
          <w:p w14:paraId="690D5669" w14:textId="77777777" w:rsidR="00261D70" w:rsidRDefault="00261D70">
            <w:pPr>
              <w:spacing w:line="240" w:lineRule="auto"/>
              <w:rPr>
                <w:sz w:val="24"/>
              </w:rPr>
            </w:pPr>
            <w:r>
              <w:rPr>
                <w:sz w:val="24"/>
                <w:rtl/>
              </w:rPr>
              <w:t xml:space="preserve">סעיף 7 </w:t>
            </w:r>
          </w:p>
        </w:tc>
      </w:tr>
      <w:tr w:rsidR="00261D70" w14:paraId="12FEF85B" w14:textId="77777777">
        <w:tblPrEx>
          <w:tblCellMar>
            <w:top w:w="0" w:type="dxa"/>
            <w:bottom w:w="0" w:type="dxa"/>
          </w:tblCellMar>
        </w:tblPrEx>
        <w:tc>
          <w:tcPr>
            <w:tcW w:w="850" w:type="dxa"/>
          </w:tcPr>
          <w:p w14:paraId="35AE2269" w14:textId="77777777" w:rsidR="00261D70" w:rsidRDefault="00261D7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46AEEDB" w14:textId="77777777" w:rsidR="00261D70" w:rsidRDefault="00261D70">
            <w:pPr>
              <w:spacing w:line="240" w:lineRule="auto"/>
              <w:rPr>
                <w:sz w:val="24"/>
              </w:rPr>
            </w:pPr>
            <w:hyperlink w:anchor="Seif7" w:tooltip="הסרת המיתקנים הנוספים או הפסקת השימוש במיתקנים קיימים" w:history="1">
              <w:r>
                <w:rPr>
                  <w:rStyle w:val="Hyperlink"/>
                </w:rPr>
                <w:t>Go</w:t>
              </w:r>
            </w:hyperlink>
          </w:p>
        </w:tc>
        <w:tc>
          <w:tcPr>
            <w:tcW w:w="5669" w:type="dxa"/>
          </w:tcPr>
          <w:p w14:paraId="455A4A29" w14:textId="77777777" w:rsidR="00261D70" w:rsidRDefault="00261D70">
            <w:pPr>
              <w:spacing w:line="240" w:lineRule="auto"/>
              <w:rPr>
                <w:sz w:val="24"/>
                <w:rtl/>
              </w:rPr>
            </w:pPr>
            <w:r>
              <w:rPr>
                <w:sz w:val="24"/>
                <w:rtl/>
              </w:rPr>
              <w:t>הסרת המיתקנים הנוספים או הפסקת השימוש במיתקנים קיימים</w:t>
            </w:r>
          </w:p>
        </w:tc>
        <w:tc>
          <w:tcPr>
            <w:tcW w:w="1247" w:type="dxa"/>
          </w:tcPr>
          <w:p w14:paraId="33DBD173" w14:textId="77777777" w:rsidR="00261D70" w:rsidRDefault="00261D70">
            <w:pPr>
              <w:spacing w:line="240" w:lineRule="auto"/>
              <w:rPr>
                <w:sz w:val="24"/>
              </w:rPr>
            </w:pPr>
            <w:r>
              <w:rPr>
                <w:sz w:val="24"/>
                <w:rtl/>
              </w:rPr>
              <w:t xml:space="preserve">סעיף 8 </w:t>
            </w:r>
          </w:p>
        </w:tc>
      </w:tr>
      <w:tr w:rsidR="00261D70" w14:paraId="60079B18" w14:textId="77777777">
        <w:tblPrEx>
          <w:tblCellMar>
            <w:top w:w="0" w:type="dxa"/>
            <w:bottom w:w="0" w:type="dxa"/>
          </w:tblCellMar>
        </w:tblPrEx>
        <w:tc>
          <w:tcPr>
            <w:tcW w:w="850" w:type="dxa"/>
          </w:tcPr>
          <w:p w14:paraId="5A8A6AC9" w14:textId="77777777" w:rsidR="00261D70" w:rsidRDefault="00261D7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B2F95E9" w14:textId="77777777" w:rsidR="00261D70" w:rsidRDefault="00261D70">
            <w:pPr>
              <w:spacing w:line="240" w:lineRule="auto"/>
              <w:rPr>
                <w:sz w:val="24"/>
              </w:rPr>
            </w:pPr>
            <w:hyperlink w:anchor="Seif8" w:tooltip="השם" w:history="1">
              <w:r>
                <w:rPr>
                  <w:rStyle w:val="Hyperlink"/>
                </w:rPr>
                <w:t>Go</w:t>
              </w:r>
            </w:hyperlink>
          </w:p>
        </w:tc>
        <w:tc>
          <w:tcPr>
            <w:tcW w:w="5669" w:type="dxa"/>
          </w:tcPr>
          <w:p w14:paraId="3B96CCE8" w14:textId="77777777" w:rsidR="00261D70" w:rsidRDefault="00261D70">
            <w:pPr>
              <w:spacing w:line="240" w:lineRule="auto"/>
              <w:rPr>
                <w:sz w:val="24"/>
                <w:rtl/>
              </w:rPr>
            </w:pPr>
            <w:r>
              <w:rPr>
                <w:sz w:val="24"/>
                <w:rtl/>
              </w:rPr>
              <w:t>השם</w:t>
            </w:r>
          </w:p>
        </w:tc>
        <w:tc>
          <w:tcPr>
            <w:tcW w:w="1247" w:type="dxa"/>
          </w:tcPr>
          <w:p w14:paraId="233FC224" w14:textId="77777777" w:rsidR="00261D70" w:rsidRDefault="00261D70">
            <w:pPr>
              <w:spacing w:line="240" w:lineRule="auto"/>
              <w:rPr>
                <w:sz w:val="24"/>
              </w:rPr>
            </w:pPr>
            <w:r>
              <w:rPr>
                <w:sz w:val="24"/>
                <w:rtl/>
              </w:rPr>
              <w:t xml:space="preserve">סעיף 9 </w:t>
            </w:r>
          </w:p>
        </w:tc>
      </w:tr>
    </w:tbl>
    <w:p w14:paraId="1ED5D484" w14:textId="77777777" w:rsidR="00261D70" w:rsidRDefault="00261D70">
      <w:pPr>
        <w:pStyle w:val="big-header"/>
        <w:ind w:left="0" w:right="1134"/>
        <w:rPr>
          <w:rFonts w:cs="FrankRuehl"/>
          <w:sz w:val="32"/>
          <w:rtl/>
        </w:rPr>
      </w:pPr>
    </w:p>
    <w:p w14:paraId="0C469BE8" w14:textId="77777777" w:rsidR="00261D70" w:rsidRDefault="00261D70">
      <w:pPr>
        <w:pStyle w:val="big-header"/>
        <w:ind w:left="0" w:right="1134"/>
        <w:rPr>
          <w:rStyle w:val="default"/>
          <w:rFonts w:cs="FrankRuehl"/>
          <w:rtl/>
        </w:rPr>
      </w:pPr>
      <w:r>
        <w:rPr>
          <w:rFonts w:cs="FrankRuehl"/>
          <w:sz w:val="32"/>
          <w:rtl/>
        </w:rPr>
        <w:br w:type="page"/>
      </w:r>
      <w:r w:rsidR="00B57827">
        <w:rPr>
          <w:rFonts w:cs="FrankRuehl"/>
          <w:sz w:val="32"/>
          <w:rtl/>
        </w:rPr>
        <w:lastRenderedPageBreak/>
        <w:t xml:space="preserve"> </w:t>
      </w:r>
      <w:r>
        <w:rPr>
          <w:rFonts w:cs="FrankRuehl"/>
          <w:sz w:val="32"/>
          <w:rtl/>
        </w:rPr>
        <w:t>תק</w:t>
      </w:r>
      <w:r>
        <w:rPr>
          <w:rFonts w:cs="FrankRuehl" w:hint="cs"/>
          <w:sz w:val="32"/>
          <w:rtl/>
        </w:rPr>
        <w:t>נות ההתגוננות האזרחית (תנאים להתקנת מיתקנים ולשימוש בהם), תשכ"ה</w:t>
      </w:r>
      <w:r>
        <w:rPr>
          <w:rFonts w:cs="FrankRuehl"/>
          <w:sz w:val="32"/>
          <w:rtl/>
        </w:rPr>
        <w:t>–1965</w:t>
      </w:r>
      <w:r>
        <w:rPr>
          <w:rStyle w:val="super"/>
          <w:rFonts w:cs="Miriam"/>
          <w:noProof w:val="0"/>
          <w:rtl/>
          <w:lang w:eastAsia="he-IL"/>
        </w:rPr>
        <w:t>(15)</w:t>
      </w:r>
    </w:p>
    <w:p w14:paraId="0BD7BF7E" w14:textId="77777777" w:rsidR="00261D70" w:rsidRDefault="00261D7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9א ו-27(ג) לחוק ההתגוננות האזרחית</w:t>
      </w:r>
      <w:r>
        <w:rPr>
          <w:rStyle w:val="default"/>
          <w:rFonts w:cs="FrankRuehl"/>
          <w:rtl/>
        </w:rPr>
        <w:t xml:space="preserve">, </w:t>
      </w:r>
      <w:r>
        <w:rPr>
          <w:rStyle w:val="default"/>
          <w:rFonts w:cs="FrankRuehl" w:hint="cs"/>
          <w:rtl/>
        </w:rPr>
        <w:t>תשי"א</w:t>
      </w:r>
      <w:r>
        <w:rPr>
          <w:rStyle w:val="default"/>
          <w:rFonts w:cs="FrankRuehl"/>
          <w:rtl/>
        </w:rPr>
        <w:t xml:space="preserve">–1951, </w:t>
      </w:r>
      <w:r>
        <w:rPr>
          <w:rStyle w:val="default"/>
          <w:rFonts w:cs="FrankRuehl" w:hint="cs"/>
          <w:rtl/>
        </w:rPr>
        <w:t>הנני מתקין תקנות אלה:</w:t>
      </w:r>
    </w:p>
    <w:p w14:paraId="6ED9FEB1" w14:textId="77777777" w:rsidR="00261D70" w:rsidRDefault="00261D70">
      <w:pPr>
        <w:pStyle w:val="P00"/>
        <w:spacing w:before="72"/>
        <w:ind w:left="0" w:right="1134"/>
        <w:rPr>
          <w:rStyle w:val="default"/>
          <w:rFonts w:cs="FrankRuehl"/>
          <w:rtl/>
        </w:rPr>
      </w:pPr>
      <w:bookmarkStart w:id="0" w:name="Seif0"/>
      <w:bookmarkEnd w:id="0"/>
      <w:r>
        <w:rPr>
          <w:lang w:val="he-IL"/>
        </w:rPr>
        <w:pict w14:anchorId="5D1D786F">
          <v:rect id="_x0000_s1026" style="position:absolute;left:0;text-align:left;margin-left:464.5pt;margin-top:8.05pt;width:75.05pt;height:8pt;z-index:251653632" o:allowincell="f" filled="f" stroked="f" strokecolor="lime" strokeweight=".25pt">
            <v:textbox inset="0,0,0,0">
              <w:txbxContent>
                <w:p w14:paraId="75E8C040" w14:textId="77777777" w:rsidR="00261D70" w:rsidRDefault="00261D7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3C0CB5CD" w14:textId="77777777" w:rsidR="00261D70" w:rsidRDefault="00261D7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יתקנים נוספים" </w:t>
      </w:r>
      <w:r>
        <w:rPr>
          <w:rStyle w:val="default"/>
          <w:rFonts w:cs="FrankRuehl"/>
          <w:rtl/>
        </w:rPr>
        <w:t xml:space="preserve">— </w:t>
      </w:r>
      <w:r>
        <w:rPr>
          <w:rStyle w:val="default"/>
          <w:rFonts w:cs="FrankRuehl" w:hint="cs"/>
          <w:rtl/>
        </w:rPr>
        <w:t>צופרים, מיתקני קשר ומיתק</w:t>
      </w:r>
      <w:r>
        <w:rPr>
          <w:rStyle w:val="default"/>
          <w:rFonts w:cs="FrankRuehl"/>
          <w:rtl/>
        </w:rPr>
        <w:t>ני</w:t>
      </w:r>
      <w:r>
        <w:rPr>
          <w:rStyle w:val="default"/>
          <w:rFonts w:cs="FrankRuehl" w:hint="cs"/>
          <w:rtl/>
        </w:rPr>
        <w:t xml:space="preserve"> כוח שראש הגא מוסמך להתקינם במקרקעין ולהפעילם לצרכי ההתגוננות האזרחית;</w:t>
      </w:r>
    </w:p>
    <w:p w14:paraId="4EA749B8" w14:textId="77777777" w:rsidR="00261D70" w:rsidRDefault="00261D7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יתקנים קיימים" </w:t>
      </w:r>
      <w:r>
        <w:rPr>
          <w:rStyle w:val="default"/>
          <w:rFonts w:cs="FrankRuehl"/>
          <w:rtl/>
        </w:rPr>
        <w:t xml:space="preserve">— </w:t>
      </w:r>
      <w:r>
        <w:rPr>
          <w:rStyle w:val="default"/>
          <w:rFonts w:cs="FrankRuehl" w:hint="cs"/>
          <w:rtl/>
        </w:rPr>
        <w:t>מיתקני קשר או מיתקני כוח הקיימים</w:t>
      </w:r>
      <w:r>
        <w:rPr>
          <w:rFonts w:cs="FrankRuehl"/>
          <w:sz w:val="26"/>
          <w:rtl/>
        </w:rPr>
        <w:t> </w:t>
      </w:r>
      <w:r>
        <w:rPr>
          <w:rStyle w:val="default"/>
          <w:rFonts w:cs="FrankRuehl"/>
          <w:rtl/>
        </w:rPr>
        <w:t xml:space="preserve"> ב</w:t>
      </w:r>
      <w:r>
        <w:rPr>
          <w:rStyle w:val="default"/>
          <w:rFonts w:cs="FrankRuehl" w:hint="cs"/>
          <w:rtl/>
        </w:rPr>
        <w:t>מקרקעין, שראש הגא מוסמך להשתמש בהם לצרכי ההתגוננות האזרחית;</w:t>
      </w:r>
    </w:p>
    <w:p w14:paraId="02C4064B" w14:textId="77777777" w:rsidR="00261D70" w:rsidRDefault="00261D70">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אש הגא" </w:t>
      </w:r>
      <w:r>
        <w:rPr>
          <w:rStyle w:val="default"/>
          <w:rFonts w:cs="FrankRuehl"/>
          <w:rtl/>
        </w:rPr>
        <w:t xml:space="preserve">— </w:t>
      </w:r>
      <w:r>
        <w:rPr>
          <w:rStyle w:val="default"/>
          <w:rFonts w:cs="FrankRuehl" w:hint="cs"/>
          <w:rtl/>
        </w:rPr>
        <w:t>לרבות מי שהוסמך לכך על ידיו בכתב.</w:t>
      </w:r>
    </w:p>
    <w:p w14:paraId="353214AF" w14:textId="77777777" w:rsidR="00261D70" w:rsidRDefault="00261D70">
      <w:pPr>
        <w:pStyle w:val="P00"/>
        <w:spacing w:before="72"/>
        <w:ind w:left="0" w:right="1134"/>
        <w:rPr>
          <w:rStyle w:val="default"/>
          <w:rFonts w:cs="FrankRuehl"/>
          <w:rtl/>
        </w:rPr>
      </w:pPr>
      <w:bookmarkStart w:id="1" w:name="Seif1"/>
      <w:bookmarkEnd w:id="1"/>
      <w:r>
        <w:rPr>
          <w:lang w:val="he-IL"/>
        </w:rPr>
        <w:pict w14:anchorId="4EA21C08">
          <v:rect id="_x0000_s1027" style="position:absolute;left:0;text-align:left;margin-left:464.5pt;margin-top:8.05pt;width:75.05pt;height:16pt;z-index:251654656" o:allowincell="f" filled="f" stroked="f" strokecolor="lime" strokeweight=".25pt">
            <v:textbox inset="0,0,0,0">
              <w:txbxContent>
                <w:p w14:paraId="73283252" w14:textId="77777777" w:rsidR="00261D70" w:rsidRDefault="00261D70">
                  <w:pPr>
                    <w:spacing w:line="160" w:lineRule="exact"/>
                    <w:jc w:val="left"/>
                    <w:rPr>
                      <w:rFonts w:cs="Miriam"/>
                      <w:noProof/>
                      <w:sz w:val="18"/>
                      <w:szCs w:val="18"/>
                      <w:rtl/>
                    </w:rPr>
                  </w:pPr>
                  <w:r>
                    <w:rPr>
                      <w:rFonts w:cs="Miriam"/>
                      <w:sz w:val="18"/>
                      <w:szCs w:val="18"/>
                      <w:rtl/>
                    </w:rPr>
                    <w:t>תנ</w:t>
                  </w:r>
                  <w:r>
                    <w:rPr>
                      <w:rFonts w:cs="Miriam" w:hint="cs"/>
                      <w:sz w:val="18"/>
                      <w:szCs w:val="18"/>
                      <w:rtl/>
                    </w:rPr>
                    <w:t>אים להתקנת מיתקנים נוספים</w:t>
                  </w:r>
                </w:p>
              </w:txbxContent>
            </v:textbox>
            <w10:anchorlock/>
          </v:rect>
        </w:pict>
      </w:r>
      <w:r>
        <w:rPr>
          <w:rStyle w:val="big-number"/>
          <w:rFonts w:cs="Miriam"/>
          <w:rtl/>
        </w:rPr>
        <w:t>2.</w:t>
      </w:r>
      <w:r>
        <w:rPr>
          <w:rStyle w:val="big-number"/>
          <w:rFonts w:cs="Miriam"/>
          <w:rtl/>
        </w:rPr>
        <w:tab/>
      </w:r>
      <w:r>
        <w:rPr>
          <w:rStyle w:val="default"/>
          <w:rFonts w:cs="FrankRuehl"/>
          <w:rtl/>
        </w:rPr>
        <w:t>רא</w:t>
      </w:r>
      <w:r>
        <w:rPr>
          <w:rStyle w:val="default"/>
          <w:rFonts w:cs="FrankRuehl" w:hint="cs"/>
          <w:rtl/>
        </w:rPr>
        <w:t xml:space="preserve">ש הגא לא יתקין </w:t>
      </w:r>
      <w:r>
        <w:rPr>
          <w:rStyle w:val="default"/>
          <w:rFonts w:cs="FrankRuehl"/>
          <w:rtl/>
        </w:rPr>
        <w:t>ול</w:t>
      </w:r>
      <w:r>
        <w:rPr>
          <w:rStyle w:val="default"/>
          <w:rFonts w:cs="FrankRuehl" w:hint="cs"/>
          <w:rtl/>
        </w:rPr>
        <w:t>א יפעיל מיתקנים נוספים במקרקעין אלא אם נתקיימו אלה:</w:t>
      </w:r>
    </w:p>
    <w:p w14:paraId="5D504236" w14:textId="77777777" w:rsidR="00261D70" w:rsidRDefault="00261D70">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יתנה למחזיק במקרקעין הודעה מוקדמת של שבועיים ימים לפחות;</w:t>
      </w:r>
    </w:p>
    <w:p w14:paraId="6B08EAC8" w14:textId="77777777" w:rsidR="00261D70" w:rsidRDefault="00261D7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ם הותקנו באותו חלק במקרקעין שאינו משמש</w:t>
      </w:r>
      <w:r>
        <w:rPr>
          <w:rFonts w:cs="FrankRuehl"/>
          <w:sz w:val="26"/>
          <w:rtl/>
        </w:rPr>
        <w:t> </w:t>
      </w:r>
      <w:r>
        <w:rPr>
          <w:rStyle w:val="default"/>
          <w:rFonts w:cs="FrankRuehl"/>
          <w:rtl/>
        </w:rPr>
        <w:t xml:space="preserve"> ל</w:t>
      </w:r>
      <w:r>
        <w:rPr>
          <w:rStyle w:val="default"/>
          <w:rFonts w:cs="FrankRuehl" w:hint="cs"/>
          <w:rtl/>
        </w:rPr>
        <w:t>מגורים.</w:t>
      </w:r>
    </w:p>
    <w:p w14:paraId="5023DA57" w14:textId="77777777" w:rsidR="00261D70" w:rsidRDefault="00261D70">
      <w:pPr>
        <w:pStyle w:val="P00"/>
        <w:spacing w:before="72"/>
        <w:ind w:left="0" w:right="1134"/>
        <w:rPr>
          <w:rFonts w:cs="FrankRuehl"/>
          <w:sz w:val="26"/>
          <w:rtl/>
        </w:rPr>
      </w:pPr>
      <w:r>
        <w:rPr>
          <w:rFonts w:cs="FrankRuehl"/>
          <w:sz w:val="26"/>
          <w:rtl/>
        </w:rPr>
        <w:t>------------</w:t>
      </w:r>
    </w:p>
    <w:p w14:paraId="0A7C13CD" w14:textId="77777777" w:rsidR="00261D70" w:rsidRDefault="00261D70" w:rsidP="00B578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(15)</w:t>
      </w:r>
      <w:r>
        <w:rPr>
          <w:rFonts w:cs="FrankRuehl"/>
          <w:rtl/>
        </w:rPr>
        <w:t> </w:t>
      </w:r>
      <w:r>
        <w:rPr>
          <w:rFonts w:cs="FrankRuehl"/>
          <w:rtl/>
        </w:rPr>
        <w:t>פו</w:t>
      </w:r>
      <w:r>
        <w:rPr>
          <w:rFonts w:cs="FrankRuehl" w:hint="cs"/>
          <w:rtl/>
        </w:rPr>
        <w:t xml:space="preserve">רסמו </w:t>
      </w:r>
      <w:hyperlink r:id="rId6" w:history="1">
        <w:r w:rsidRPr="00B57827">
          <w:rPr>
            <w:rStyle w:val="Hyperlink"/>
            <w:rFonts w:cs="FrankRuehl" w:hint="cs"/>
            <w:rtl/>
          </w:rPr>
          <w:t xml:space="preserve">ק"ת </w:t>
        </w:r>
        <w:r w:rsidR="00B57827" w:rsidRPr="00B57827">
          <w:rPr>
            <w:rStyle w:val="Hyperlink"/>
            <w:rFonts w:cs="FrankRuehl" w:hint="cs"/>
            <w:rtl/>
          </w:rPr>
          <w:t xml:space="preserve">תשכ"ה </w:t>
        </w:r>
        <w:r w:rsidRPr="00B57827">
          <w:rPr>
            <w:rStyle w:val="Hyperlink"/>
            <w:rFonts w:cs="FrankRuehl" w:hint="cs"/>
            <w:rtl/>
          </w:rPr>
          <w:t>מס' 1683</w:t>
        </w:r>
      </w:hyperlink>
      <w:r>
        <w:rPr>
          <w:rFonts w:cs="FrankRuehl" w:hint="cs"/>
          <w:rtl/>
        </w:rPr>
        <w:t xml:space="preserve"> מיום </w:t>
      </w:r>
      <w:r w:rsidR="00B57827">
        <w:rPr>
          <w:rFonts w:cs="FrankRuehl" w:hint="cs"/>
          <w:rtl/>
        </w:rPr>
        <w:t xml:space="preserve">4.2.1965 </w:t>
      </w:r>
      <w:r>
        <w:rPr>
          <w:rFonts w:cs="FrankRuehl" w:hint="cs"/>
          <w:rtl/>
        </w:rPr>
        <w:t>עמ' 1350.</w:t>
      </w:r>
    </w:p>
    <w:p w14:paraId="55104AEE" w14:textId="77777777" w:rsidR="00261D70" w:rsidRDefault="00261D70">
      <w:pPr>
        <w:pStyle w:val="P00"/>
        <w:spacing w:before="72"/>
        <w:ind w:left="0" w:right="1134"/>
        <w:rPr>
          <w:rStyle w:val="default"/>
          <w:rFonts w:cs="FrankRuehl"/>
          <w:rtl/>
        </w:rPr>
      </w:pPr>
      <w:bookmarkStart w:id="2" w:name="Seif2"/>
      <w:bookmarkEnd w:id="2"/>
      <w:r>
        <w:rPr>
          <w:lang w:val="he-IL"/>
        </w:rPr>
        <w:pict w14:anchorId="3C1A335A">
          <v:rect id="_x0000_s1028" style="position:absolute;left:0;text-align:left;margin-left:464.5pt;margin-top:8.05pt;width:75.05pt;height:16pt;z-index:251655680" o:allowincell="f" filled="f" stroked="f" strokecolor="lime" strokeweight=".25pt">
            <v:textbox inset="0,0,0,0">
              <w:txbxContent>
                <w:p w14:paraId="176D0326" w14:textId="77777777" w:rsidR="00261D70" w:rsidRDefault="00261D70">
                  <w:pPr>
                    <w:spacing w:line="160" w:lineRule="exact"/>
                    <w:jc w:val="left"/>
                    <w:rPr>
                      <w:rFonts w:cs="Miriam"/>
                      <w:noProof/>
                      <w:sz w:val="18"/>
                      <w:szCs w:val="18"/>
                      <w:rtl/>
                    </w:rPr>
                  </w:pPr>
                  <w:r>
                    <w:rPr>
                      <w:rFonts w:cs="Miriam"/>
                      <w:sz w:val="18"/>
                      <w:szCs w:val="18"/>
                      <w:rtl/>
                    </w:rPr>
                    <w:t>תנ</w:t>
                  </w:r>
                  <w:r>
                    <w:rPr>
                      <w:rFonts w:cs="Miriam" w:hint="cs"/>
                      <w:sz w:val="18"/>
                      <w:szCs w:val="18"/>
                      <w:rtl/>
                    </w:rPr>
                    <w:t>אים לשימוש במיתקנים קיימים</w:t>
                  </w:r>
                </w:p>
              </w:txbxContent>
            </v:textbox>
            <w10:anchorlock/>
          </v:rect>
        </w:pict>
      </w:r>
      <w:r>
        <w:rPr>
          <w:rStyle w:val="big-number"/>
          <w:rFonts w:cs="Miriam"/>
          <w:rtl/>
        </w:rPr>
        <w:t>3.</w:t>
      </w:r>
      <w:r>
        <w:rPr>
          <w:rStyle w:val="big-number"/>
          <w:rFonts w:cs="Miriam"/>
          <w:rtl/>
        </w:rPr>
        <w:tab/>
      </w:r>
      <w:r>
        <w:rPr>
          <w:rStyle w:val="default"/>
          <w:rFonts w:cs="FrankRuehl"/>
          <w:rtl/>
        </w:rPr>
        <w:t>רא</w:t>
      </w:r>
      <w:r>
        <w:rPr>
          <w:rStyle w:val="default"/>
          <w:rFonts w:cs="FrankRuehl" w:hint="cs"/>
          <w:rtl/>
        </w:rPr>
        <w:t>ש הגא לא ישתמש במיתקנים קיימים שבמקרקעין אלא אם נתקיימו אלה:</w:t>
      </w:r>
    </w:p>
    <w:p w14:paraId="6D1773C9" w14:textId="77777777" w:rsidR="00261D70" w:rsidRDefault="00261D70">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יתנה למחזיק במקרקעין הודעה מוקדמת של יום אחד לפחות;</w:t>
      </w:r>
    </w:p>
    <w:p w14:paraId="37C1D25E" w14:textId="77777777" w:rsidR="00261D70" w:rsidRDefault="00261D7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ותקנו באותם מקרקעין מיתקנים נוספים;</w:t>
      </w:r>
    </w:p>
    <w:p w14:paraId="21B02CCD" w14:textId="77777777" w:rsidR="00261D70" w:rsidRDefault="00261D70">
      <w:pPr>
        <w:pStyle w:val="P22"/>
        <w:spacing w:before="72"/>
        <w:ind w:left="1021" w:right="1134"/>
        <w:rPr>
          <w:rStyle w:val="default"/>
          <w:rFonts w:cs="FrankRuehl"/>
          <w:rtl/>
        </w:rPr>
      </w:pPr>
      <w:r>
        <w:rPr>
          <w:rStyle w:val="default"/>
          <w:rFonts w:cs="FrankRuehl" w:hint="cs"/>
          <w:rtl/>
        </w:rPr>
        <w:t>(3)</w:t>
      </w:r>
      <w:r>
        <w:rPr>
          <w:rStyle w:val="default"/>
          <w:rFonts w:cs="FrankRuehl"/>
          <w:rtl/>
        </w:rPr>
        <w:tab/>
        <w:t>ז</w:t>
      </w:r>
      <w:r>
        <w:rPr>
          <w:rStyle w:val="default"/>
          <w:rFonts w:cs="FrankRuehl" w:hint="cs"/>
          <w:rtl/>
        </w:rPr>
        <w:t>כות השימוש במיתקנים הקיימים של המחזיק במקרקעין לא תיפגע במידה העו</w:t>
      </w:r>
      <w:r>
        <w:rPr>
          <w:rStyle w:val="default"/>
          <w:rFonts w:cs="FrankRuehl"/>
          <w:rtl/>
        </w:rPr>
        <w:t>לה</w:t>
      </w:r>
      <w:r>
        <w:rPr>
          <w:rStyle w:val="default"/>
          <w:rFonts w:cs="FrankRuehl" w:hint="cs"/>
          <w:rtl/>
        </w:rPr>
        <w:t xml:space="preserve"> על זו שהיא, לדעת ראש הגא, הכרחית בנסיבות המקרה.</w:t>
      </w:r>
    </w:p>
    <w:p w14:paraId="7EB38757" w14:textId="77777777" w:rsidR="00261D70" w:rsidRDefault="00261D70">
      <w:pPr>
        <w:pStyle w:val="P00"/>
        <w:spacing w:before="72"/>
        <w:ind w:left="0" w:right="1134"/>
        <w:rPr>
          <w:rStyle w:val="default"/>
          <w:rFonts w:cs="FrankRuehl"/>
          <w:rtl/>
        </w:rPr>
      </w:pPr>
      <w:bookmarkStart w:id="3" w:name="Seif3"/>
      <w:bookmarkEnd w:id="3"/>
      <w:r>
        <w:rPr>
          <w:lang w:val="he-IL"/>
        </w:rPr>
        <w:pict w14:anchorId="5430D25E">
          <v:rect id="_x0000_s1029" style="position:absolute;left:0;text-align:left;margin-left:464.5pt;margin-top:8.05pt;width:75.05pt;height:8pt;z-index:251656704" o:allowincell="f" filled="f" stroked="f" strokecolor="lime" strokeweight=".25pt">
            <v:textbox inset="0,0,0,0">
              <w:txbxContent>
                <w:p w14:paraId="47D2107E" w14:textId="77777777" w:rsidR="00261D70" w:rsidRDefault="00261D70">
                  <w:pPr>
                    <w:spacing w:line="160" w:lineRule="exact"/>
                    <w:jc w:val="left"/>
                    <w:rPr>
                      <w:rFonts w:cs="Miriam"/>
                      <w:noProof/>
                      <w:sz w:val="18"/>
                      <w:szCs w:val="18"/>
                      <w:rtl/>
                    </w:rPr>
                  </w:pPr>
                  <w:r>
                    <w:rPr>
                      <w:rFonts w:cs="Miriam"/>
                      <w:sz w:val="18"/>
                      <w:szCs w:val="18"/>
                      <w:rtl/>
                    </w:rPr>
                    <w:t>בי</w:t>
                  </w:r>
                  <w:r>
                    <w:rPr>
                      <w:rFonts w:cs="Miriam" w:hint="cs"/>
                      <w:sz w:val="18"/>
                      <w:szCs w:val="18"/>
                      <w:rtl/>
                    </w:rPr>
                    <w:t>טול הודעה מוקדמת</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 xml:space="preserve">כרז על מצב </w:t>
      </w:r>
      <w:r>
        <w:rPr>
          <w:rStyle w:val="default"/>
          <w:rFonts w:cs="FrankRuehl"/>
          <w:rtl/>
        </w:rPr>
        <w:t>ה</w:t>
      </w:r>
      <w:r>
        <w:rPr>
          <w:rStyle w:val="default"/>
          <w:rFonts w:cs="FrankRuehl" w:hint="cs"/>
          <w:rtl/>
        </w:rPr>
        <w:t>כן בהתגוננות האזרחית, על פי סעיף 21 לחוק, לא יהיה צורך במתן הודעה מוקדמת כאמור בתקנות 2(1) ו-3(1).</w:t>
      </w:r>
    </w:p>
    <w:p w14:paraId="485C10C3" w14:textId="77777777" w:rsidR="00261D70" w:rsidRDefault="00261D70">
      <w:pPr>
        <w:pStyle w:val="P00"/>
        <w:spacing w:before="72"/>
        <w:ind w:left="0" w:right="1134"/>
        <w:rPr>
          <w:rStyle w:val="default"/>
          <w:rFonts w:cs="FrankRuehl"/>
          <w:rtl/>
        </w:rPr>
      </w:pPr>
      <w:bookmarkStart w:id="4" w:name="Seif4"/>
      <w:bookmarkEnd w:id="4"/>
      <w:r>
        <w:rPr>
          <w:lang w:val="he-IL"/>
        </w:rPr>
        <w:pict w14:anchorId="700355B5">
          <v:rect id="_x0000_s1030" style="position:absolute;left:0;text-align:left;margin-left:464.5pt;margin-top:8.05pt;width:75.05pt;height:16pt;z-index:251657728" o:allowincell="f" filled="f" stroked="f" strokecolor="lime" strokeweight=".25pt">
            <v:textbox inset="0,0,0,0">
              <w:txbxContent>
                <w:p w14:paraId="163CEB6D" w14:textId="77777777" w:rsidR="00261D70" w:rsidRDefault="00261D70">
                  <w:pPr>
                    <w:spacing w:line="160" w:lineRule="exact"/>
                    <w:jc w:val="left"/>
                    <w:rPr>
                      <w:rFonts w:cs="Miriam"/>
                      <w:noProof/>
                      <w:sz w:val="18"/>
                      <w:szCs w:val="18"/>
                      <w:rtl/>
                    </w:rPr>
                  </w:pPr>
                  <w:r>
                    <w:rPr>
                      <w:rFonts w:cs="Miriam"/>
                      <w:sz w:val="18"/>
                      <w:szCs w:val="18"/>
                      <w:rtl/>
                    </w:rPr>
                    <w:t>תא</w:t>
                  </w:r>
                  <w:r>
                    <w:rPr>
                      <w:rFonts w:cs="Miriam" w:hint="cs"/>
                      <w:sz w:val="18"/>
                      <w:szCs w:val="18"/>
                      <w:rtl/>
                    </w:rPr>
                    <w:t xml:space="preserve"> מסביב</w:t>
                  </w:r>
                </w:p>
                <w:p w14:paraId="3A205FC2" w14:textId="77777777" w:rsidR="00261D70" w:rsidRDefault="00261D70">
                  <w:pPr>
                    <w:spacing w:line="160" w:lineRule="exact"/>
                    <w:jc w:val="left"/>
                    <w:rPr>
                      <w:rFonts w:cs="Miriam"/>
                      <w:noProof/>
                      <w:sz w:val="18"/>
                      <w:szCs w:val="18"/>
                      <w:rtl/>
                    </w:rPr>
                  </w:pPr>
                  <w:r>
                    <w:rPr>
                      <w:rFonts w:cs="Miriam"/>
                      <w:sz w:val="18"/>
                      <w:szCs w:val="18"/>
                      <w:rtl/>
                    </w:rPr>
                    <w:t>למ</w:t>
                  </w:r>
                  <w:r>
                    <w:rPr>
                      <w:rFonts w:cs="Miriam" w:hint="cs"/>
                      <w:sz w:val="18"/>
                      <w:szCs w:val="18"/>
                      <w:rtl/>
                    </w:rPr>
                    <w:t>יתקן נוסף</w:t>
                  </w:r>
                </w:p>
              </w:txbxContent>
            </v:textbox>
            <w10:anchorlock/>
          </v:rect>
        </w:pict>
      </w:r>
      <w:r>
        <w:rPr>
          <w:rStyle w:val="big-number"/>
          <w:rFonts w:cs="Miriam"/>
          <w:rtl/>
        </w:rPr>
        <w:t>5.</w:t>
      </w:r>
      <w:r>
        <w:rPr>
          <w:rStyle w:val="big-number"/>
          <w:rFonts w:cs="Miriam"/>
          <w:rtl/>
        </w:rPr>
        <w:tab/>
      </w:r>
      <w:r>
        <w:rPr>
          <w:rStyle w:val="default"/>
          <w:rFonts w:cs="FrankRuehl"/>
          <w:rtl/>
        </w:rPr>
        <w:t>מו</w:t>
      </w:r>
      <w:r>
        <w:rPr>
          <w:rStyle w:val="default"/>
          <w:rFonts w:cs="FrankRuehl" w:hint="cs"/>
          <w:rtl/>
        </w:rPr>
        <w:t xml:space="preserve">תר לבנות תא מסביב למיתקן נוסף אם, לדעת ראש הגא, יש בבנייתו כדי להבטיח פעולה תקינה </w:t>
      </w:r>
      <w:r>
        <w:rPr>
          <w:rStyle w:val="default"/>
          <w:rFonts w:cs="FrankRuehl"/>
          <w:rtl/>
        </w:rPr>
        <w:t>של</w:t>
      </w:r>
      <w:r>
        <w:rPr>
          <w:rStyle w:val="default"/>
          <w:rFonts w:cs="FrankRuehl" w:hint="cs"/>
          <w:rtl/>
        </w:rPr>
        <w:t xml:space="preserve"> המיתקן, שימוש יעיל בו, או מניעת טיפול בו ע</w:t>
      </w:r>
      <w:r>
        <w:rPr>
          <w:rStyle w:val="default"/>
          <w:rFonts w:cs="FrankRuehl"/>
          <w:rtl/>
        </w:rPr>
        <w:t>ל</w:t>
      </w:r>
      <w:r>
        <w:rPr>
          <w:rStyle w:val="default"/>
          <w:rFonts w:cs="FrankRuehl" w:hint="cs"/>
          <w:rtl/>
        </w:rPr>
        <w:t xml:space="preserve"> ידי מי שאינו מוסמך לכך.</w:t>
      </w:r>
    </w:p>
    <w:p w14:paraId="0EFBE1EF" w14:textId="77777777" w:rsidR="00261D70" w:rsidRDefault="00261D70">
      <w:pPr>
        <w:pStyle w:val="P00"/>
        <w:spacing w:before="72"/>
        <w:ind w:left="0" w:right="1134"/>
        <w:rPr>
          <w:rStyle w:val="default"/>
          <w:rFonts w:cs="FrankRuehl"/>
          <w:rtl/>
        </w:rPr>
      </w:pPr>
      <w:bookmarkStart w:id="5" w:name="Seif5"/>
      <w:bookmarkEnd w:id="5"/>
      <w:r>
        <w:rPr>
          <w:lang w:val="he-IL"/>
        </w:rPr>
        <w:pict w14:anchorId="4AFC00BB">
          <v:rect id="_x0000_s1031" style="position:absolute;left:0;text-align:left;margin-left:464.5pt;margin-top:8.05pt;width:75.05pt;height:8pt;z-index:251658752" o:allowincell="f" filled="f" stroked="f" strokecolor="lime" strokeweight=".25pt">
            <v:textbox inset="0,0,0,0">
              <w:txbxContent>
                <w:p w14:paraId="1AC160EE" w14:textId="77777777" w:rsidR="00261D70" w:rsidRDefault="00261D70">
                  <w:pPr>
                    <w:spacing w:line="160" w:lineRule="exact"/>
                    <w:jc w:val="left"/>
                    <w:rPr>
                      <w:rFonts w:cs="Miriam"/>
                      <w:noProof/>
                      <w:sz w:val="18"/>
                      <w:szCs w:val="18"/>
                      <w:rtl/>
                    </w:rPr>
                  </w:pPr>
                  <w:r>
                    <w:rPr>
                      <w:rFonts w:cs="Miriam"/>
                      <w:sz w:val="18"/>
                      <w:szCs w:val="18"/>
                      <w:rtl/>
                    </w:rPr>
                    <w:t>מס</w:t>
                  </w:r>
                  <w:r>
                    <w:rPr>
                      <w:rFonts w:cs="Miriam" w:hint="cs"/>
                      <w:sz w:val="18"/>
                      <w:szCs w:val="18"/>
                      <w:rtl/>
                    </w:rPr>
                    <w:t>ירת פרטים</w:t>
                  </w:r>
                </w:p>
              </w:txbxContent>
            </v:textbox>
            <w10:anchorlock/>
          </v:rect>
        </w:pict>
      </w:r>
      <w:r>
        <w:rPr>
          <w:rStyle w:val="big-number"/>
          <w:rFonts w:cs="Miriam"/>
          <w:rtl/>
        </w:rPr>
        <w:t>6.</w:t>
      </w:r>
      <w:r>
        <w:rPr>
          <w:rStyle w:val="big-number"/>
          <w:rFonts w:cs="Miriam"/>
          <w:rtl/>
        </w:rPr>
        <w:tab/>
      </w:r>
      <w:r>
        <w:rPr>
          <w:rStyle w:val="default"/>
          <w:rFonts w:cs="FrankRuehl"/>
          <w:rtl/>
        </w:rPr>
        <w:t>רא</w:t>
      </w:r>
      <w:r>
        <w:rPr>
          <w:rStyle w:val="default"/>
          <w:rFonts w:cs="FrankRuehl" w:hint="cs"/>
          <w:rtl/>
        </w:rPr>
        <w:t>ש הגא רשאי לדרוש מכל אדם שימסור לו פרטים על המקרקעין שבהם הוא מחזיק, או על כל חלק מהם, או על המיתקנים הקיימים שהוא משתמש או זכאי להשתמש בהם, אם ראש הגא סבור שבפרטים כאמור יש כדי ל</w:t>
      </w:r>
      <w:r>
        <w:rPr>
          <w:rStyle w:val="default"/>
          <w:rFonts w:cs="FrankRuehl"/>
          <w:rtl/>
        </w:rPr>
        <w:t>סי</w:t>
      </w:r>
      <w:r>
        <w:rPr>
          <w:rStyle w:val="default"/>
          <w:rFonts w:cs="FrankRuehl" w:hint="cs"/>
          <w:rtl/>
        </w:rPr>
        <w:t xml:space="preserve">יע לאיתור המקום המתאים ביותר </w:t>
      </w:r>
      <w:r>
        <w:rPr>
          <w:rStyle w:val="default"/>
          <w:rFonts w:cs="FrankRuehl"/>
          <w:rtl/>
        </w:rPr>
        <w:t>ל</w:t>
      </w:r>
      <w:r>
        <w:rPr>
          <w:rStyle w:val="default"/>
          <w:rFonts w:cs="FrankRuehl" w:hint="cs"/>
          <w:rtl/>
        </w:rPr>
        <w:t>התקנת המיתקנים הנוספים או כדי לאפשר את השימוש במיתקנים קיימים.</w:t>
      </w:r>
    </w:p>
    <w:p w14:paraId="7017402C" w14:textId="77777777" w:rsidR="00261D70" w:rsidRDefault="00261D70">
      <w:pPr>
        <w:pStyle w:val="P00"/>
        <w:spacing w:before="72"/>
        <w:ind w:left="0" w:right="1134"/>
        <w:rPr>
          <w:rStyle w:val="default"/>
          <w:rFonts w:cs="FrankRuehl"/>
          <w:rtl/>
        </w:rPr>
      </w:pPr>
      <w:bookmarkStart w:id="6" w:name="Seif6"/>
      <w:bookmarkEnd w:id="6"/>
      <w:r>
        <w:rPr>
          <w:lang w:val="he-IL"/>
        </w:rPr>
        <w:pict w14:anchorId="40B4E910">
          <v:rect id="_x0000_s1032" style="position:absolute;left:0;text-align:left;margin-left:464.5pt;margin-top:8.05pt;width:75.05pt;height:8pt;z-index:251659776" o:allowincell="f" filled="f" stroked="f" strokecolor="lime" strokeweight=".25pt">
            <v:textbox inset="0,0,0,0">
              <w:txbxContent>
                <w:p w14:paraId="12CB8941" w14:textId="77777777" w:rsidR="00261D70" w:rsidRDefault="00261D70">
                  <w:pPr>
                    <w:spacing w:line="160" w:lineRule="exact"/>
                    <w:jc w:val="left"/>
                    <w:rPr>
                      <w:rFonts w:cs="Miriam"/>
                      <w:noProof/>
                      <w:sz w:val="18"/>
                      <w:szCs w:val="18"/>
                      <w:rtl/>
                    </w:rPr>
                  </w:pPr>
                  <w:r>
                    <w:rPr>
                      <w:rFonts w:cs="Miriam"/>
                      <w:sz w:val="18"/>
                      <w:szCs w:val="18"/>
                      <w:rtl/>
                    </w:rPr>
                    <w:t>אי</w:t>
                  </w:r>
                  <w:r>
                    <w:rPr>
                      <w:rFonts w:cs="Miriam" w:hint="cs"/>
                      <w:sz w:val="18"/>
                      <w:szCs w:val="18"/>
                      <w:rtl/>
                    </w:rPr>
                    <w:t>סור הפרעה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תקין ראש הגא מיתקנים נוספים, לא יפעילם אדם, לא יפגע בפעולתם התקינה או בשימוש יעיל בהם, לא יעבירם, יסלקם או יסירם אלא ברשות ראש הגא.</w:t>
      </w:r>
    </w:p>
    <w:p w14:paraId="4705DA96" w14:textId="77777777" w:rsidR="00261D70" w:rsidRDefault="00261D7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שתמש ראש הגא ב</w:t>
      </w:r>
      <w:r>
        <w:rPr>
          <w:rStyle w:val="default"/>
          <w:rFonts w:cs="FrankRuehl"/>
          <w:rtl/>
        </w:rPr>
        <w:t>מי</w:t>
      </w:r>
      <w:r>
        <w:rPr>
          <w:rStyle w:val="default"/>
          <w:rFonts w:cs="FrankRuehl" w:hint="cs"/>
          <w:rtl/>
        </w:rPr>
        <w:t>תקנים קיימים, לא יפגע אדם בפעולתם התקינה, בשימוש יעיל בהם, לא יעבירם, יסלקם או יסירם אלא ברשות ראש הגא, וכן לא ישתמש בהם כך שתיפגע על ידי כך זכות השימוש על ידי ראש הגא.</w:t>
      </w:r>
    </w:p>
    <w:p w14:paraId="469F770C" w14:textId="77777777" w:rsidR="00261D70" w:rsidRDefault="00261D70">
      <w:pPr>
        <w:pStyle w:val="P00"/>
        <w:spacing w:before="72"/>
        <w:ind w:left="0" w:right="1134"/>
        <w:rPr>
          <w:rStyle w:val="default"/>
          <w:rFonts w:cs="FrankRuehl"/>
          <w:rtl/>
        </w:rPr>
      </w:pPr>
      <w:bookmarkStart w:id="7" w:name="Seif7"/>
      <w:bookmarkEnd w:id="7"/>
      <w:r>
        <w:rPr>
          <w:lang w:val="he-IL"/>
        </w:rPr>
        <w:pict w14:anchorId="775DF090">
          <v:rect id="_x0000_s1033" style="position:absolute;left:0;text-align:left;margin-left:464.5pt;margin-top:8.05pt;width:75.05pt;height:32pt;z-index:251660800" o:allowincell="f" filled="f" stroked="f" strokecolor="lime" strokeweight=".25pt">
            <v:textbox inset="0,0,0,0">
              <w:txbxContent>
                <w:p w14:paraId="056C50F6" w14:textId="77777777" w:rsidR="00261D70" w:rsidRDefault="00261D70">
                  <w:pPr>
                    <w:spacing w:line="160" w:lineRule="exact"/>
                    <w:jc w:val="left"/>
                    <w:rPr>
                      <w:rFonts w:cs="Miriam"/>
                      <w:noProof/>
                      <w:sz w:val="18"/>
                      <w:szCs w:val="18"/>
                      <w:rtl/>
                    </w:rPr>
                  </w:pPr>
                  <w:r>
                    <w:rPr>
                      <w:rFonts w:cs="Miriam"/>
                      <w:sz w:val="18"/>
                      <w:szCs w:val="18"/>
                      <w:rtl/>
                    </w:rPr>
                    <w:t>הס</w:t>
                  </w:r>
                  <w:r>
                    <w:rPr>
                      <w:rFonts w:cs="Miriam" w:hint="cs"/>
                      <w:sz w:val="18"/>
                      <w:szCs w:val="18"/>
                      <w:rtl/>
                    </w:rPr>
                    <w:t>רת המיתקנים הנוספים או הפסק</w:t>
                  </w:r>
                  <w:r>
                    <w:rPr>
                      <w:rFonts w:cs="Miriam"/>
                      <w:sz w:val="18"/>
                      <w:szCs w:val="18"/>
                      <w:rtl/>
                    </w:rPr>
                    <w:t xml:space="preserve">ת </w:t>
                  </w:r>
                  <w:r>
                    <w:rPr>
                      <w:rFonts w:cs="Miriam" w:hint="cs"/>
                      <w:sz w:val="18"/>
                      <w:szCs w:val="18"/>
                      <w:rtl/>
                    </w:rPr>
                    <w:t>השימוש במיתקנים קיימים</w:t>
                  </w:r>
                </w:p>
              </w:txbxContent>
            </v:textbox>
            <w10:anchorlock/>
          </v:rect>
        </w:pict>
      </w:r>
      <w:r>
        <w:rPr>
          <w:rStyle w:val="big-number"/>
          <w:rFonts w:cs="Miriam"/>
          <w:rtl/>
        </w:rPr>
        <w:t>8.</w:t>
      </w:r>
      <w:r>
        <w:rPr>
          <w:rStyle w:val="big-number"/>
          <w:rFonts w:cs="Miriam"/>
          <w:rtl/>
        </w:rPr>
        <w:tab/>
      </w:r>
      <w:r>
        <w:rPr>
          <w:rStyle w:val="default"/>
          <w:rFonts w:cs="FrankRuehl"/>
          <w:rtl/>
        </w:rPr>
        <w:t>רא</w:t>
      </w:r>
      <w:r>
        <w:rPr>
          <w:rStyle w:val="default"/>
          <w:rFonts w:cs="FrankRuehl" w:hint="cs"/>
          <w:rtl/>
        </w:rPr>
        <w:t>ש הגא יסיר את המיתקנים הנוספים או יפסיק את השימוש</w:t>
      </w:r>
      <w:r>
        <w:rPr>
          <w:rFonts w:cs="FrankRuehl"/>
          <w:sz w:val="26"/>
          <w:rtl/>
        </w:rPr>
        <w:t> </w:t>
      </w:r>
      <w:r>
        <w:rPr>
          <w:rStyle w:val="default"/>
          <w:rFonts w:cs="FrankRuehl"/>
          <w:rtl/>
        </w:rPr>
        <w:t xml:space="preserve"> ב</w:t>
      </w:r>
      <w:r>
        <w:rPr>
          <w:rStyle w:val="default"/>
          <w:rFonts w:cs="FrankRuehl" w:hint="cs"/>
          <w:rtl/>
        </w:rPr>
        <w:t xml:space="preserve">מיתקנים הקיימים אם, לדעתו, </w:t>
      </w:r>
      <w:r>
        <w:rPr>
          <w:rStyle w:val="default"/>
          <w:rFonts w:cs="FrankRuehl"/>
          <w:rtl/>
        </w:rPr>
        <w:t>אי</w:t>
      </w:r>
      <w:r>
        <w:rPr>
          <w:rStyle w:val="default"/>
          <w:rFonts w:cs="FrankRuehl" w:hint="cs"/>
          <w:rtl/>
        </w:rPr>
        <w:t>ן עוד צורך בהפעלת המיתקנים הנוספים או להשתמש במיתקנים הקיימים.</w:t>
      </w:r>
    </w:p>
    <w:p w14:paraId="6EA6D6EE" w14:textId="77777777" w:rsidR="00261D70" w:rsidRDefault="00261D70">
      <w:pPr>
        <w:pStyle w:val="P00"/>
        <w:spacing w:before="72"/>
        <w:ind w:left="0" w:right="1134"/>
        <w:rPr>
          <w:rStyle w:val="default"/>
          <w:rFonts w:cs="FrankRuehl"/>
          <w:rtl/>
        </w:rPr>
      </w:pPr>
      <w:bookmarkStart w:id="8" w:name="Seif8"/>
      <w:bookmarkEnd w:id="8"/>
      <w:r>
        <w:rPr>
          <w:lang w:val="he-IL"/>
        </w:rPr>
        <w:pict w14:anchorId="69E2B7C6">
          <v:rect id="_x0000_s1034" style="position:absolute;left:0;text-align:left;margin-left:464.5pt;margin-top:8.05pt;width:75.05pt;height:8pt;z-index:251661824" o:allowincell="f" filled="f" stroked="f" strokecolor="lime" strokeweight=".25pt">
            <v:textbox inset="0,0,0,0">
              <w:txbxContent>
                <w:p w14:paraId="3F8F9CD1" w14:textId="77777777" w:rsidR="00261D70" w:rsidRDefault="00261D70">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w:t>
      </w:r>
      <w:r>
        <w:rPr>
          <w:rStyle w:val="big-number"/>
          <w:rFonts w:cs="Miriam"/>
          <w:rtl/>
        </w:rPr>
        <w:tab/>
      </w:r>
      <w:r>
        <w:rPr>
          <w:rStyle w:val="default"/>
          <w:rFonts w:cs="FrankRuehl"/>
          <w:rtl/>
        </w:rPr>
        <w:t>לת</w:t>
      </w:r>
      <w:r>
        <w:rPr>
          <w:rStyle w:val="default"/>
          <w:rFonts w:cs="FrankRuehl" w:hint="cs"/>
          <w:rtl/>
        </w:rPr>
        <w:t>קנות אלה ייקרא "תקנות ההתגוננות האזרחית (תנאים להתקנת מיתקנים ולשימוש בהם), תשכ"ה</w:t>
      </w:r>
      <w:r>
        <w:rPr>
          <w:rStyle w:val="default"/>
          <w:rFonts w:cs="FrankRuehl"/>
          <w:rtl/>
        </w:rPr>
        <w:t>–1965".</w:t>
      </w:r>
    </w:p>
    <w:p w14:paraId="119064EC" w14:textId="77777777" w:rsidR="00261D70" w:rsidRDefault="00261D70">
      <w:pPr>
        <w:pStyle w:val="P00"/>
        <w:spacing w:before="72"/>
        <w:ind w:left="0" w:right="1134"/>
        <w:rPr>
          <w:rStyle w:val="default"/>
          <w:rFonts w:cs="FrankRuehl"/>
          <w:rtl/>
        </w:rPr>
      </w:pPr>
    </w:p>
    <w:p w14:paraId="6B7C59F8" w14:textId="77777777" w:rsidR="00261D70" w:rsidRDefault="00261D70">
      <w:pPr>
        <w:pStyle w:val="sig-0"/>
        <w:ind w:left="0" w:right="1134"/>
        <w:rPr>
          <w:rFonts w:cs="FrankRuehl"/>
          <w:sz w:val="26"/>
          <w:rtl/>
        </w:rPr>
      </w:pPr>
      <w:r>
        <w:rPr>
          <w:rFonts w:cs="FrankRuehl"/>
          <w:sz w:val="26"/>
          <w:rtl/>
        </w:rPr>
        <w:t>כ"</w:t>
      </w:r>
      <w:r>
        <w:rPr>
          <w:rFonts w:cs="FrankRuehl" w:hint="cs"/>
          <w:sz w:val="26"/>
          <w:rtl/>
        </w:rPr>
        <w:t>ג בשבט תשכ"ה (26 בינואר</w:t>
      </w:r>
      <w:r>
        <w:rPr>
          <w:rFonts w:cs="FrankRuehl"/>
          <w:sz w:val="26"/>
          <w:rtl/>
        </w:rPr>
        <w:t xml:space="preserve"> 1965)</w:t>
      </w:r>
      <w:r>
        <w:rPr>
          <w:rFonts w:cs="FrankRuehl"/>
          <w:sz w:val="26"/>
          <w:rtl/>
        </w:rPr>
        <w:tab/>
        <w:t>ל</w:t>
      </w:r>
      <w:r>
        <w:rPr>
          <w:rFonts w:cs="FrankRuehl" w:hint="cs"/>
          <w:sz w:val="26"/>
          <w:rtl/>
        </w:rPr>
        <w:t>וי אשכול</w:t>
      </w:r>
    </w:p>
    <w:p w14:paraId="1C946DB1" w14:textId="77777777" w:rsidR="00261D70" w:rsidRDefault="00261D7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0540D6AD" w14:textId="77777777" w:rsidR="00261D70" w:rsidRDefault="00261D70">
      <w:pPr>
        <w:ind w:right="1134"/>
        <w:rPr>
          <w:rFonts w:cs="David"/>
          <w:sz w:val="24"/>
          <w:rtl/>
        </w:rPr>
      </w:pPr>
      <w:bookmarkStart w:id="9" w:name="LawPartEnd"/>
    </w:p>
    <w:bookmarkEnd w:id="9"/>
    <w:p w14:paraId="2378673E" w14:textId="77777777" w:rsidR="00261D70" w:rsidRDefault="00261D70">
      <w:pPr>
        <w:ind w:right="1134"/>
        <w:rPr>
          <w:rFonts w:cs="David"/>
          <w:sz w:val="24"/>
          <w:rtl/>
        </w:rPr>
      </w:pPr>
    </w:p>
    <w:sectPr w:rsidR="00261D70">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D3CA1" w14:textId="77777777" w:rsidR="00925998" w:rsidRDefault="00925998">
      <w:r>
        <w:separator/>
      </w:r>
    </w:p>
  </w:endnote>
  <w:endnote w:type="continuationSeparator" w:id="0">
    <w:p w14:paraId="6967C764" w14:textId="77777777" w:rsidR="00925998" w:rsidRDefault="0092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39AC" w14:textId="77777777" w:rsidR="00261D70" w:rsidRDefault="00261D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EA56AD" w14:textId="77777777" w:rsidR="00261D70" w:rsidRDefault="00261D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0BE07F" w14:textId="77777777" w:rsidR="00261D70" w:rsidRDefault="00261D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M:\0a-lishca\law\gideon-03-02-13\law01\125_015.doc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61E0" w14:textId="77777777" w:rsidR="00261D70" w:rsidRDefault="00261D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23481">
      <w:rPr>
        <w:rFonts w:hAnsi="FrankRuehl" w:cs="FrankRuehl"/>
        <w:noProof/>
        <w:sz w:val="24"/>
        <w:szCs w:val="24"/>
        <w:rtl/>
      </w:rPr>
      <w:t>2</w:t>
    </w:r>
    <w:r>
      <w:rPr>
        <w:rFonts w:hAnsi="FrankRuehl" w:cs="FrankRuehl"/>
        <w:sz w:val="24"/>
        <w:szCs w:val="24"/>
        <w:rtl/>
      </w:rPr>
      <w:fldChar w:fldCharType="end"/>
    </w:r>
  </w:p>
  <w:p w14:paraId="1F27811B" w14:textId="77777777" w:rsidR="00261D70" w:rsidRDefault="00261D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9909B29" w14:textId="77777777" w:rsidR="00261D70" w:rsidRDefault="00261D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M:\0a-lishca\law\gideon-03-02-13\law01\125_015.doc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A6D7" w14:textId="77777777" w:rsidR="00261D70" w:rsidRDefault="00261D70">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123B0" w14:textId="77777777" w:rsidR="00925998" w:rsidRDefault="00925998">
      <w:r>
        <w:separator/>
      </w:r>
    </w:p>
  </w:footnote>
  <w:footnote w:type="continuationSeparator" w:id="0">
    <w:p w14:paraId="77875998" w14:textId="77777777" w:rsidR="00925998" w:rsidRDefault="00925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48A0" w14:textId="77777777" w:rsidR="00261D70" w:rsidRDefault="00261D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(תנאים להתקנת מיתקנים ולשימוש בהם), תשכ"ה–1965</w:t>
    </w:r>
  </w:p>
  <w:p w14:paraId="48B708A0" w14:textId="77777777" w:rsidR="00261D70" w:rsidRDefault="00261D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D2CE8C" w14:textId="77777777" w:rsidR="00261D70" w:rsidRDefault="00261D7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11B2" w14:textId="77777777" w:rsidR="00261D70" w:rsidRDefault="00261D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(תנאים להתקנת מיתקנים ולשימוש בהם), תשכ"ה–1965</w:t>
    </w:r>
  </w:p>
  <w:p w14:paraId="1FA691B6" w14:textId="77777777" w:rsidR="00261D70" w:rsidRDefault="00261D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30C7DC" w14:textId="77777777" w:rsidR="00261D70" w:rsidRDefault="00261D70">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F2D4" w14:textId="77777777" w:rsidR="00261D70" w:rsidRDefault="00261D70">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7827"/>
    <w:rsid w:val="000B44E9"/>
    <w:rsid w:val="00261D70"/>
    <w:rsid w:val="00543483"/>
    <w:rsid w:val="00925998"/>
    <w:rsid w:val="00B23481"/>
    <w:rsid w:val="00B578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DBE025"/>
  <w15:chartTrackingRefBased/>
  <w15:docId w15:val="{7601CEF8-09CB-4519-8765-72E598B2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683.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125</vt:lpstr>
    </vt:vector>
  </TitlesOfParts>
  <Company/>
  <LinksUpToDate>false</LinksUpToDate>
  <CharactersWithSpaces>3322</CharactersWithSpaces>
  <SharedDoc>false</SharedDoc>
  <HLinks>
    <vt:vector size="60" baseType="variant">
      <vt:variant>
        <vt:i4>7340045</vt:i4>
      </vt:variant>
      <vt:variant>
        <vt:i4>54</vt:i4>
      </vt:variant>
      <vt:variant>
        <vt:i4>0</vt:i4>
      </vt:variant>
      <vt:variant>
        <vt:i4>5</vt:i4>
      </vt:variant>
      <vt:variant>
        <vt:lpwstr>http://www.nevo.co.il/Law_word/law06/TAK-1683.pdf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125</dc:title>
  <dc:subject/>
  <dc:creator>eli</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(תנאים להתקנת מיתקנים ולשימוש בהם), תשכ"ה–1965</vt:lpwstr>
  </property>
  <property fmtid="{D5CDD505-2E9C-101B-9397-08002B2CF9AE}" pid="5" name="LAWNUMBER">
    <vt:lpwstr>0015</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9אX;27XגX</vt:lpwstr>
  </property>
</Properties>
</file>