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38D5" w14:textId="77777777" w:rsidR="00920DCA" w:rsidRDefault="00920DCA">
      <w:pPr>
        <w:pStyle w:val="big-header"/>
        <w:ind w:left="0" w:right="1134"/>
        <w:rPr>
          <w:rFonts w:cs="FrankRuehl" w:hint="cs"/>
          <w:sz w:val="32"/>
          <w:rtl/>
        </w:rPr>
      </w:pPr>
      <w:r>
        <w:rPr>
          <w:rFonts w:cs="FrankRuehl"/>
          <w:sz w:val="32"/>
          <w:rtl/>
        </w:rPr>
        <w:t>תקנות ההתגוננות האזרחית (תעבורה בדרכים), תשי"ז–1956</w:t>
      </w:r>
    </w:p>
    <w:p w14:paraId="4B24F97A" w14:textId="77777777" w:rsidR="003A19CF" w:rsidRPr="003A19CF" w:rsidRDefault="003A19CF" w:rsidP="003A19CF">
      <w:pPr>
        <w:spacing w:line="320" w:lineRule="auto"/>
        <w:jc w:val="left"/>
        <w:rPr>
          <w:rFonts w:cs="FrankRuehl"/>
          <w:szCs w:val="26"/>
          <w:rtl/>
        </w:rPr>
      </w:pPr>
    </w:p>
    <w:p w14:paraId="64839CB4" w14:textId="77777777" w:rsidR="003A19CF" w:rsidRDefault="003A19CF" w:rsidP="003A19CF">
      <w:pPr>
        <w:spacing w:line="320" w:lineRule="auto"/>
        <w:jc w:val="left"/>
        <w:rPr>
          <w:rFonts w:cs="Miriam"/>
          <w:szCs w:val="22"/>
          <w:rtl/>
        </w:rPr>
      </w:pPr>
      <w:r w:rsidRPr="003A19CF">
        <w:rPr>
          <w:rFonts w:cs="Miriam"/>
          <w:szCs w:val="22"/>
          <w:rtl/>
        </w:rPr>
        <w:t>בטחון</w:t>
      </w:r>
      <w:r w:rsidRPr="003A19CF">
        <w:rPr>
          <w:rFonts w:cs="FrankRuehl"/>
          <w:szCs w:val="26"/>
          <w:rtl/>
        </w:rPr>
        <w:t xml:space="preserve"> – התגוננות אזרחית</w:t>
      </w:r>
    </w:p>
    <w:p w14:paraId="281F87FF" w14:textId="77777777" w:rsidR="003A19CF" w:rsidRPr="003A19CF" w:rsidRDefault="003A19CF" w:rsidP="003A19CF">
      <w:pPr>
        <w:spacing w:line="320" w:lineRule="auto"/>
        <w:jc w:val="left"/>
        <w:rPr>
          <w:rFonts w:cs="Miriam" w:hint="cs"/>
          <w:szCs w:val="22"/>
          <w:rtl/>
        </w:rPr>
      </w:pPr>
      <w:r w:rsidRPr="003A19CF">
        <w:rPr>
          <w:rFonts w:cs="Miriam"/>
          <w:szCs w:val="22"/>
          <w:rtl/>
        </w:rPr>
        <w:t>רשויות ומשפט מנהלי</w:t>
      </w:r>
      <w:r w:rsidRPr="003A19CF">
        <w:rPr>
          <w:rFonts w:cs="FrankRuehl"/>
          <w:szCs w:val="26"/>
          <w:rtl/>
        </w:rPr>
        <w:t xml:space="preserve"> – תעבורה</w:t>
      </w:r>
    </w:p>
    <w:p w14:paraId="5CB11CF9" w14:textId="77777777" w:rsidR="00920DCA" w:rsidRDefault="00920DC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20DCA" w14:paraId="0C693715" w14:textId="77777777">
        <w:tblPrEx>
          <w:tblCellMar>
            <w:top w:w="0" w:type="dxa"/>
            <w:bottom w:w="0" w:type="dxa"/>
          </w:tblCellMar>
        </w:tblPrEx>
        <w:tc>
          <w:tcPr>
            <w:tcW w:w="850" w:type="dxa"/>
          </w:tcPr>
          <w:p w14:paraId="11B16669"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DB2777A" w14:textId="77777777" w:rsidR="00920DCA" w:rsidRDefault="00920DCA">
            <w:pPr>
              <w:spacing w:line="240" w:lineRule="auto"/>
              <w:rPr>
                <w:sz w:val="24"/>
              </w:rPr>
            </w:pPr>
            <w:hyperlink w:anchor="Seif0" w:tooltip="הגדרות" w:history="1">
              <w:r>
                <w:rPr>
                  <w:rStyle w:val="Hyperlink"/>
                </w:rPr>
                <w:t>Go</w:t>
              </w:r>
            </w:hyperlink>
          </w:p>
        </w:tc>
        <w:tc>
          <w:tcPr>
            <w:tcW w:w="5669" w:type="dxa"/>
          </w:tcPr>
          <w:p w14:paraId="229E590A" w14:textId="77777777" w:rsidR="00920DCA" w:rsidRDefault="00920DCA">
            <w:pPr>
              <w:spacing w:line="240" w:lineRule="auto"/>
              <w:rPr>
                <w:sz w:val="24"/>
                <w:rtl/>
              </w:rPr>
            </w:pPr>
            <w:r>
              <w:rPr>
                <w:sz w:val="24"/>
                <w:rtl/>
              </w:rPr>
              <w:t>הגדרות</w:t>
            </w:r>
          </w:p>
        </w:tc>
        <w:tc>
          <w:tcPr>
            <w:tcW w:w="1247" w:type="dxa"/>
          </w:tcPr>
          <w:p w14:paraId="2FCAA6AE" w14:textId="77777777" w:rsidR="00920DCA" w:rsidRDefault="00920DCA">
            <w:pPr>
              <w:spacing w:line="240" w:lineRule="auto"/>
              <w:rPr>
                <w:sz w:val="24"/>
              </w:rPr>
            </w:pPr>
            <w:r>
              <w:rPr>
                <w:sz w:val="24"/>
                <w:rtl/>
              </w:rPr>
              <w:t xml:space="preserve">סעיף 1 </w:t>
            </w:r>
          </w:p>
        </w:tc>
      </w:tr>
      <w:tr w:rsidR="00920DCA" w14:paraId="14CF5200" w14:textId="77777777">
        <w:tblPrEx>
          <w:tblCellMar>
            <w:top w:w="0" w:type="dxa"/>
            <w:bottom w:w="0" w:type="dxa"/>
          </w:tblCellMar>
        </w:tblPrEx>
        <w:tc>
          <w:tcPr>
            <w:tcW w:w="850" w:type="dxa"/>
          </w:tcPr>
          <w:p w14:paraId="3B72DA40"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02B96E0" w14:textId="77777777" w:rsidR="00920DCA" w:rsidRDefault="00920DCA">
            <w:pPr>
              <w:spacing w:line="240" w:lineRule="auto"/>
              <w:rPr>
                <w:sz w:val="24"/>
              </w:rPr>
            </w:pPr>
            <w:hyperlink w:anchor="Seif1" w:tooltip="שימוש בצופר" w:history="1">
              <w:r>
                <w:rPr>
                  <w:rStyle w:val="Hyperlink"/>
                </w:rPr>
                <w:t>Go</w:t>
              </w:r>
            </w:hyperlink>
          </w:p>
        </w:tc>
        <w:tc>
          <w:tcPr>
            <w:tcW w:w="5669" w:type="dxa"/>
          </w:tcPr>
          <w:p w14:paraId="6347F01B" w14:textId="77777777" w:rsidR="00920DCA" w:rsidRDefault="00920DCA">
            <w:pPr>
              <w:spacing w:line="240" w:lineRule="auto"/>
              <w:rPr>
                <w:sz w:val="24"/>
                <w:rtl/>
              </w:rPr>
            </w:pPr>
            <w:r>
              <w:rPr>
                <w:sz w:val="24"/>
                <w:rtl/>
              </w:rPr>
              <w:t>שימוש בצופר</w:t>
            </w:r>
          </w:p>
        </w:tc>
        <w:tc>
          <w:tcPr>
            <w:tcW w:w="1247" w:type="dxa"/>
          </w:tcPr>
          <w:p w14:paraId="59D328C1" w14:textId="77777777" w:rsidR="00920DCA" w:rsidRDefault="00920DCA">
            <w:pPr>
              <w:spacing w:line="240" w:lineRule="auto"/>
              <w:rPr>
                <w:sz w:val="24"/>
              </w:rPr>
            </w:pPr>
            <w:r>
              <w:rPr>
                <w:sz w:val="24"/>
                <w:rtl/>
              </w:rPr>
              <w:t xml:space="preserve">סעיף 2 </w:t>
            </w:r>
          </w:p>
        </w:tc>
      </w:tr>
      <w:tr w:rsidR="00920DCA" w14:paraId="0236D6BD" w14:textId="77777777">
        <w:tblPrEx>
          <w:tblCellMar>
            <w:top w:w="0" w:type="dxa"/>
            <w:bottom w:w="0" w:type="dxa"/>
          </w:tblCellMar>
        </w:tblPrEx>
        <w:tc>
          <w:tcPr>
            <w:tcW w:w="850" w:type="dxa"/>
          </w:tcPr>
          <w:p w14:paraId="70899454"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90C3B8C" w14:textId="77777777" w:rsidR="00920DCA" w:rsidRDefault="00920DCA">
            <w:pPr>
              <w:spacing w:line="240" w:lineRule="auto"/>
              <w:rPr>
                <w:sz w:val="24"/>
              </w:rPr>
            </w:pPr>
            <w:hyperlink w:anchor="Seif2" w:tooltip="הוראה בדבר   שינוי תחנות" w:history="1">
              <w:r>
                <w:rPr>
                  <w:rStyle w:val="Hyperlink"/>
                </w:rPr>
                <w:t>Go</w:t>
              </w:r>
            </w:hyperlink>
          </w:p>
        </w:tc>
        <w:tc>
          <w:tcPr>
            <w:tcW w:w="5669" w:type="dxa"/>
          </w:tcPr>
          <w:p w14:paraId="15554C65" w14:textId="77777777" w:rsidR="00920DCA" w:rsidRDefault="00920DCA">
            <w:pPr>
              <w:spacing w:line="240" w:lineRule="auto"/>
              <w:rPr>
                <w:sz w:val="24"/>
                <w:rtl/>
              </w:rPr>
            </w:pPr>
            <w:r>
              <w:rPr>
                <w:sz w:val="24"/>
                <w:rtl/>
              </w:rPr>
              <w:t>הוראה בדבר   שינוי תחנות</w:t>
            </w:r>
          </w:p>
        </w:tc>
        <w:tc>
          <w:tcPr>
            <w:tcW w:w="1247" w:type="dxa"/>
          </w:tcPr>
          <w:p w14:paraId="04606CB4" w14:textId="77777777" w:rsidR="00920DCA" w:rsidRDefault="00920DCA">
            <w:pPr>
              <w:spacing w:line="240" w:lineRule="auto"/>
              <w:rPr>
                <w:sz w:val="24"/>
              </w:rPr>
            </w:pPr>
            <w:r>
              <w:rPr>
                <w:sz w:val="24"/>
                <w:rtl/>
              </w:rPr>
              <w:t xml:space="preserve">סעיף 3 </w:t>
            </w:r>
          </w:p>
        </w:tc>
      </w:tr>
      <w:tr w:rsidR="00920DCA" w14:paraId="22174E4A" w14:textId="77777777">
        <w:tblPrEx>
          <w:tblCellMar>
            <w:top w:w="0" w:type="dxa"/>
            <w:bottom w:w="0" w:type="dxa"/>
          </w:tblCellMar>
        </w:tblPrEx>
        <w:tc>
          <w:tcPr>
            <w:tcW w:w="850" w:type="dxa"/>
          </w:tcPr>
          <w:p w14:paraId="0CD8BD9F"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1EF2FA3" w14:textId="77777777" w:rsidR="00920DCA" w:rsidRDefault="00920DCA">
            <w:pPr>
              <w:spacing w:line="240" w:lineRule="auto"/>
              <w:rPr>
                <w:sz w:val="24"/>
              </w:rPr>
            </w:pPr>
            <w:hyperlink w:anchor="Seif3" w:tooltip="סדרי חניה  בתחנות דלק" w:history="1">
              <w:r>
                <w:rPr>
                  <w:rStyle w:val="Hyperlink"/>
                </w:rPr>
                <w:t>Go</w:t>
              </w:r>
            </w:hyperlink>
          </w:p>
        </w:tc>
        <w:tc>
          <w:tcPr>
            <w:tcW w:w="5669" w:type="dxa"/>
          </w:tcPr>
          <w:p w14:paraId="00037DDD" w14:textId="77777777" w:rsidR="00920DCA" w:rsidRDefault="00920DCA">
            <w:pPr>
              <w:spacing w:line="240" w:lineRule="auto"/>
              <w:rPr>
                <w:sz w:val="24"/>
                <w:rtl/>
              </w:rPr>
            </w:pPr>
            <w:r>
              <w:rPr>
                <w:sz w:val="24"/>
                <w:rtl/>
              </w:rPr>
              <w:t>סדרי חניה  בתחנות דלק</w:t>
            </w:r>
          </w:p>
        </w:tc>
        <w:tc>
          <w:tcPr>
            <w:tcW w:w="1247" w:type="dxa"/>
          </w:tcPr>
          <w:p w14:paraId="21004301" w14:textId="77777777" w:rsidR="00920DCA" w:rsidRDefault="00920DCA">
            <w:pPr>
              <w:spacing w:line="240" w:lineRule="auto"/>
              <w:rPr>
                <w:sz w:val="24"/>
              </w:rPr>
            </w:pPr>
            <w:r>
              <w:rPr>
                <w:sz w:val="24"/>
                <w:rtl/>
              </w:rPr>
              <w:t xml:space="preserve">סעיף 4 </w:t>
            </w:r>
          </w:p>
        </w:tc>
      </w:tr>
      <w:tr w:rsidR="00920DCA" w14:paraId="4F259CD8" w14:textId="77777777">
        <w:tblPrEx>
          <w:tblCellMar>
            <w:top w:w="0" w:type="dxa"/>
            <w:bottom w:w="0" w:type="dxa"/>
          </w:tblCellMar>
        </w:tblPrEx>
        <w:tc>
          <w:tcPr>
            <w:tcW w:w="850" w:type="dxa"/>
          </w:tcPr>
          <w:p w14:paraId="732334C6"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8AC87DB" w14:textId="77777777" w:rsidR="00920DCA" w:rsidRDefault="00920DCA">
            <w:pPr>
              <w:spacing w:line="240" w:lineRule="auto"/>
              <w:rPr>
                <w:sz w:val="24"/>
              </w:rPr>
            </w:pPr>
            <w:hyperlink w:anchor="Seif4" w:tooltip="איסור חניה" w:history="1">
              <w:r>
                <w:rPr>
                  <w:rStyle w:val="Hyperlink"/>
                </w:rPr>
                <w:t>Go</w:t>
              </w:r>
            </w:hyperlink>
          </w:p>
        </w:tc>
        <w:tc>
          <w:tcPr>
            <w:tcW w:w="5669" w:type="dxa"/>
          </w:tcPr>
          <w:p w14:paraId="7DE4986C" w14:textId="77777777" w:rsidR="00920DCA" w:rsidRDefault="00920DCA">
            <w:pPr>
              <w:spacing w:line="240" w:lineRule="auto"/>
              <w:rPr>
                <w:sz w:val="24"/>
                <w:rtl/>
              </w:rPr>
            </w:pPr>
            <w:r>
              <w:rPr>
                <w:sz w:val="24"/>
                <w:rtl/>
              </w:rPr>
              <w:t>איסור חניה</w:t>
            </w:r>
          </w:p>
        </w:tc>
        <w:tc>
          <w:tcPr>
            <w:tcW w:w="1247" w:type="dxa"/>
          </w:tcPr>
          <w:p w14:paraId="45B86C75" w14:textId="77777777" w:rsidR="00920DCA" w:rsidRDefault="00920DCA">
            <w:pPr>
              <w:spacing w:line="240" w:lineRule="auto"/>
              <w:rPr>
                <w:sz w:val="24"/>
              </w:rPr>
            </w:pPr>
            <w:r>
              <w:rPr>
                <w:sz w:val="24"/>
                <w:rtl/>
              </w:rPr>
              <w:t xml:space="preserve">סעיף 5 </w:t>
            </w:r>
          </w:p>
        </w:tc>
      </w:tr>
      <w:tr w:rsidR="00920DCA" w14:paraId="01943C1C" w14:textId="77777777">
        <w:tblPrEx>
          <w:tblCellMar>
            <w:top w:w="0" w:type="dxa"/>
            <w:bottom w:w="0" w:type="dxa"/>
          </w:tblCellMar>
        </w:tblPrEx>
        <w:tc>
          <w:tcPr>
            <w:tcW w:w="850" w:type="dxa"/>
          </w:tcPr>
          <w:p w14:paraId="70FEEA39"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E6C9227" w14:textId="77777777" w:rsidR="00920DCA" w:rsidRDefault="00920DCA">
            <w:pPr>
              <w:spacing w:line="240" w:lineRule="auto"/>
              <w:rPr>
                <w:sz w:val="24"/>
              </w:rPr>
            </w:pPr>
            <w:hyperlink w:anchor="Seif5" w:tooltip="הפסקת תנועת רכב" w:history="1">
              <w:r>
                <w:rPr>
                  <w:rStyle w:val="Hyperlink"/>
                </w:rPr>
                <w:t>Go</w:t>
              </w:r>
            </w:hyperlink>
          </w:p>
        </w:tc>
        <w:tc>
          <w:tcPr>
            <w:tcW w:w="5669" w:type="dxa"/>
          </w:tcPr>
          <w:p w14:paraId="262FCF57" w14:textId="77777777" w:rsidR="00920DCA" w:rsidRDefault="00920DCA">
            <w:pPr>
              <w:spacing w:line="240" w:lineRule="auto"/>
              <w:rPr>
                <w:sz w:val="24"/>
                <w:rtl/>
              </w:rPr>
            </w:pPr>
            <w:r>
              <w:rPr>
                <w:sz w:val="24"/>
                <w:rtl/>
              </w:rPr>
              <w:t>הפסקת תנועת רכב</w:t>
            </w:r>
          </w:p>
        </w:tc>
        <w:tc>
          <w:tcPr>
            <w:tcW w:w="1247" w:type="dxa"/>
          </w:tcPr>
          <w:p w14:paraId="1332091C" w14:textId="77777777" w:rsidR="00920DCA" w:rsidRDefault="00920DCA">
            <w:pPr>
              <w:spacing w:line="240" w:lineRule="auto"/>
              <w:rPr>
                <w:sz w:val="24"/>
              </w:rPr>
            </w:pPr>
            <w:r>
              <w:rPr>
                <w:sz w:val="24"/>
                <w:rtl/>
              </w:rPr>
              <w:t xml:space="preserve">סעיף 6 </w:t>
            </w:r>
          </w:p>
        </w:tc>
      </w:tr>
      <w:tr w:rsidR="00920DCA" w14:paraId="49FA2C09" w14:textId="77777777">
        <w:tblPrEx>
          <w:tblCellMar>
            <w:top w:w="0" w:type="dxa"/>
            <w:bottom w:w="0" w:type="dxa"/>
          </w:tblCellMar>
        </w:tblPrEx>
        <w:tc>
          <w:tcPr>
            <w:tcW w:w="850" w:type="dxa"/>
          </w:tcPr>
          <w:p w14:paraId="2ED2B5D8"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496F7BC" w14:textId="77777777" w:rsidR="00920DCA" w:rsidRDefault="00920DCA">
            <w:pPr>
              <w:spacing w:line="240" w:lineRule="auto"/>
              <w:rPr>
                <w:sz w:val="24"/>
              </w:rPr>
            </w:pPr>
            <w:hyperlink w:anchor="Seif6" w:tooltip="מקומות אסורים בעצירה, עמידה וחניה" w:history="1">
              <w:r>
                <w:rPr>
                  <w:rStyle w:val="Hyperlink"/>
                </w:rPr>
                <w:t>Go</w:t>
              </w:r>
            </w:hyperlink>
          </w:p>
        </w:tc>
        <w:tc>
          <w:tcPr>
            <w:tcW w:w="5669" w:type="dxa"/>
          </w:tcPr>
          <w:p w14:paraId="0EAACB97" w14:textId="77777777" w:rsidR="00920DCA" w:rsidRDefault="00920DCA">
            <w:pPr>
              <w:spacing w:line="240" w:lineRule="auto"/>
              <w:rPr>
                <w:sz w:val="24"/>
                <w:rtl/>
              </w:rPr>
            </w:pPr>
            <w:r>
              <w:rPr>
                <w:sz w:val="24"/>
                <w:rtl/>
              </w:rPr>
              <w:t>מקומות אסורים בעצירה, עמידה וחניה</w:t>
            </w:r>
          </w:p>
        </w:tc>
        <w:tc>
          <w:tcPr>
            <w:tcW w:w="1247" w:type="dxa"/>
          </w:tcPr>
          <w:p w14:paraId="49512B62" w14:textId="77777777" w:rsidR="00920DCA" w:rsidRDefault="00920DCA">
            <w:pPr>
              <w:spacing w:line="240" w:lineRule="auto"/>
              <w:rPr>
                <w:sz w:val="24"/>
              </w:rPr>
            </w:pPr>
            <w:r>
              <w:rPr>
                <w:sz w:val="24"/>
                <w:rtl/>
              </w:rPr>
              <w:t xml:space="preserve">סעיף 7 </w:t>
            </w:r>
          </w:p>
        </w:tc>
      </w:tr>
      <w:tr w:rsidR="00920DCA" w14:paraId="50A0ED34" w14:textId="77777777">
        <w:tblPrEx>
          <w:tblCellMar>
            <w:top w:w="0" w:type="dxa"/>
            <w:bottom w:w="0" w:type="dxa"/>
          </w:tblCellMar>
        </w:tblPrEx>
        <w:tc>
          <w:tcPr>
            <w:tcW w:w="850" w:type="dxa"/>
          </w:tcPr>
          <w:p w14:paraId="1D784284"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9C955A" w14:textId="77777777" w:rsidR="00920DCA" w:rsidRDefault="00920DCA">
            <w:pPr>
              <w:spacing w:line="240" w:lineRule="auto"/>
              <w:rPr>
                <w:sz w:val="24"/>
              </w:rPr>
            </w:pPr>
            <w:hyperlink w:anchor="Seif7" w:tooltip="הפסקת תנועת  בעלי חיים" w:history="1">
              <w:r>
                <w:rPr>
                  <w:rStyle w:val="Hyperlink"/>
                </w:rPr>
                <w:t>Go</w:t>
              </w:r>
            </w:hyperlink>
          </w:p>
        </w:tc>
        <w:tc>
          <w:tcPr>
            <w:tcW w:w="5669" w:type="dxa"/>
          </w:tcPr>
          <w:p w14:paraId="771A5789" w14:textId="77777777" w:rsidR="00920DCA" w:rsidRDefault="00920DCA">
            <w:pPr>
              <w:spacing w:line="240" w:lineRule="auto"/>
              <w:rPr>
                <w:sz w:val="24"/>
                <w:rtl/>
              </w:rPr>
            </w:pPr>
            <w:r>
              <w:rPr>
                <w:sz w:val="24"/>
                <w:rtl/>
              </w:rPr>
              <w:t>הפסקת תנועת  בעלי חיים</w:t>
            </w:r>
          </w:p>
        </w:tc>
        <w:tc>
          <w:tcPr>
            <w:tcW w:w="1247" w:type="dxa"/>
          </w:tcPr>
          <w:p w14:paraId="489D2BAA" w14:textId="77777777" w:rsidR="00920DCA" w:rsidRDefault="00920DCA">
            <w:pPr>
              <w:spacing w:line="240" w:lineRule="auto"/>
              <w:rPr>
                <w:sz w:val="24"/>
              </w:rPr>
            </w:pPr>
            <w:r>
              <w:rPr>
                <w:sz w:val="24"/>
                <w:rtl/>
              </w:rPr>
              <w:t xml:space="preserve">סעיף 8 </w:t>
            </w:r>
          </w:p>
        </w:tc>
      </w:tr>
      <w:tr w:rsidR="00920DCA" w14:paraId="14C01763" w14:textId="77777777">
        <w:tblPrEx>
          <w:tblCellMar>
            <w:top w:w="0" w:type="dxa"/>
            <w:bottom w:w="0" w:type="dxa"/>
          </w:tblCellMar>
        </w:tblPrEx>
        <w:tc>
          <w:tcPr>
            <w:tcW w:w="850" w:type="dxa"/>
          </w:tcPr>
          <w:p w14:paraId="48B8B291"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0A733DF" w14:textId="77777777" w:rsidR="00920DCA" w:rsidRDefault="00920DCA">
            <w:pPr>
              <w:spacing w:line="240" w:lineRule="auto"/>
              <w:rPr>
                <w:sz w:val="24"/>
              </w:rPr>
            </w:pPr>
            <w:hyperlink w:anchor="Seif8" w:tooltip="הרחקת רכב מדרך" w:history="1">
              <w:r>
                <w:rPr>
                  <w:rStyle w:val="Hyperlink"/>
                </w:rPr>
                <w:t>Go</w:t>
              </w:r>
            </w:hyperlink>
          </w:p>
        </w:tc>
        <w:tc>
          <w:tcPr>
            <w:tcW w:w="5669" w:type="dxa"/>
          </w:tcPr>
          <w:p w14:paraId="597DF1FD" w14:textId="77777777" w:rsidR="00920DCA" w:rsidRDefault="00920DCA">
            <w:pPr>
              <w:spacing w:line="240" w:lineRule="auto"/>
              <w:rPr>
                <w:sz w:val="24"/>
                <w:rtl/>
              </w:rPr>
            </w:pPr>
            <w:r>
              <w:rPr>
                <w:sz w:val="24"/>
                <w:rtl/>
              </w:rPr>
              <w:t>הרחקת רכב מדרך</w:t>
            </w:r>
          </w:p>
        </w:tc>
        <w:tc>
          <w:tcPr>
            <w:tcW w:w="1247" w:type="dxa"/>
          </w:tcPr>
          <w:p w14:paraId="4FB95A0A" w14:textId="77777777" w:rsidR="00920DCA" w:rsidRDefault="00920DCA">
            <w:pPr>
              <w:spacing w:line="240" w:lineRule="auto"/>
              <w:rPr>
                <w:sz w:val="24"/>
              </w:rPr>
            </w:pPr>
            <w:r>
              <w:rPr>
                <w:sz w:val="24"/>
                <w:rtl/>
              </w:rPr>
              <w:t xml:space="preserve">סעיף 9 </w:t>
            </w:r>
          </w:p>
        </w:tc>
      </w:tr>
      <w:tr w:rsidR="00920DCA" w14:paraId="1854FE4D" w14:textId="77777777">
        <w:tblPrEx>
          <w:tblCellMar>
            <w:top w:w="0" w:type="dxa"/>
            <w:bottom w:w="0" w:type="dxa"/>
          </w:tblCellMar>
        </w:tblPrEx>
        <w:tc>
          <w:tcPr>
            <w:tcW w:w="850" w:type="dxa"/>
          </w:tcPr>
          <w:p w14:paraId="284DFE11"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318A87E" w14:textId="77777777" w:rsidR="00920DCA" w:rsidRDefault="00920DCA">
            <w:pPr>
              <w:spacing w:line="240" w:lineRule="auto"/>
              <w:rPr>
                <w:sz w:val="24"/>
              </w:rPr>
            </w:pPr>
            <w:hyperlink w:anchor="Seif9" w:tooltip="ציוד רכב בכבל גרירה" w:history="1">
              <w:r>
                <w:rPr>
                  <w:rStyle w:val="Hyperlink"/>
                </w:rPr>
                <w:t>Go</w:t>
              </w:r>
            </w:hyperlink>
          </w:p>
        </w:tc>
        <w:tc>
          <w:tcPr>
            <w:tcW w:w="5669" w:type="dxa"/>
          </w:tcPr>
          <w:p w14:paraId="7404CD33" w14:textId="77777777" w:rsidR="00920DCA" w:rsidRDefault="00920DCA">
            <w:pPr>
              <w:spacing w:line="240" w:lineRule="auto"/>
              <w:rPr>
                <w:sz w:val="24"/>
                <w:rtl/>
              </w:rPr>
            </w:pPr>
            <w:r>
              <w:rPr>
                <w:sz w:val="24"/>
                <w:rtl/>
              </w:rPr>
              <w:t>ציוד רכב בכבל גרירה</w:t>
            </w:r>
          </w:p>
        </w:tc>
        <w:tc>
          <w:tcPr>
            <w:tcW w:w="1247" w:type="dxa"/>
          </w:tcPr>
          <w:p w14:paraId="77411F26" w14:textId="77777777" w:rsidR="00920DCA" w:rsidRDefault="00920DCA">
            <w:pPr>
              <w:spacing w:line="240" w:lineRule="auto"/>
              <w:rPr>
                <w:sz w:val="24"/>
              </w:rPr>
            </w:pPr>
            <w:r>
              <w:rPr>
                <w:sz w:val="24"/>
                <w:rtl/>
              </w:rPr>
              <w:t xml:space="preserve">סעיף 10 </w:t>
            </w:r>
          </w:p>
        </w:tc>
      </w:tr>
      <w:tr w:rsidR="00920DCA" w14:paraId="69757F9F" w14:textId="77777777">
        <w:tblPrEx>
          <w:tblCellMar>
            <w:top w:w="0" w:type="dxa"/>
            <w:bottom w:w="0" w:type="dxa"/>
          </w:tblCellMar>
        </w:tblPrEx>
        <w:tc>
          <w:tcPr>
            <w:tcW w:w="850" w:type="dxa"/>
          </w:tcPr>
          <w:p w14:paraId="0FAC8F71"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A078FC1" w14:textId="77777777" w:rsidR="00920DCA" w:rsidRDefault="00920DCA">
            <w:pPr>
              <w:spacing w:line="240" w:lineRule="auto"/>
              <w:rPr>
                <w:sz w:val="24"/>
              </w:rPr>
            </w:pPr>
            <w:hyperlink w:anchor="Seif10" w:tooltip="הגבלת מהירות בשעות איפול" w:history="1">
              <w:r>
                <w:rPr>
                  <w:rStyle w:val="Hyperlink"/>
                </w:rPr>
                <w:t>Go</w:t>
              </w:r>
            </w:hyperlink>
          </w:p>
        </w:tc>
        <w:tc>
          <w:tcPr>
            <w:tcW w:w="5669" w:type="dxa"/>
          </w:tcPr>
          <w:p w14:paraId="3F22D7AC" w14:textId="77777777" w:rsidR="00920DCA" w:rsidRDefault="00920DCA">
            <w:pPr>
              <w:spacing w:line="240" w:lineRule="auto"/>
              <w:rPr>
                <w:sz w:val="24"/>
                <w:rtl/>
              </w:rPr>
            </w:pPr>
            <w:r>
              <w:rPr>
                <w:sz w:val="24"/>
                <w:rtl/>
              </w:rPr>
              <w:t>הגבלת מהירות בשעות איפול</w:t>
            </w:r>
          </w:p>
        </w:tc>
        <w:tc>
          <w:tcPr>
            <w:tcW w:w="1247" w:type="dxa"/>
          </w:tcPr>
          <w:p w14:paraId="36B8C54A" w14:textId="77777777" w:rsidR="00920DCA" w:rsidRDefault="00920DCA">
            <w:pPr>
              <w:spacing w:line="240" w:lineRule="auto"/>
              <w:rPr>
                <w:sz w:val="24"/>
              </w:rPr>
            </w:pPr>
            <w:r>
              <w:rPr>
                <w:sz w:val="24"/>
                <w:rtl/>
              </w:rPr>
              <w:t xml:space="preserve">סעיף 11 </w:t>
            </w:r>
          </w:p>
        </w:tc>
      </w:tr>
      <w:tr w:rsidR="00920DCA" w14:paraId="03F797F9" w14:textId="77777777">
        <w:tblPrEx>
          <w:tblCellMar>
            <w:top w:w="0" w:type="dxa"/>
            <w:bottom w:w="0" w:type="dxa"/>
          </w:tblCellMar>
        </w:tblPrEx>
        <w:tc>
          <w:tcPr>
            <w:tcW w:w="850" w:type="dxa"/>
          </w:tcPr>
          <w:p w14:paraId="5BADEB80"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A306731" w14:textId="77777777" w:rsidR="00920DCA" w:rsidRDefault="00920DCA">
            <w:pPr>
              <w:spacing w:line="240" w:lineRule="auto"/>
              <w:rPr>
                <w:sz w:val="24"/>
              </w:rPr>
            </w:pPr>
            <w:hyperlink w:anchor="Seif11" w:tooltip="הגבלת השימוש בדרך" w:history="1">
              <w:r>
                <w:rPr>
                  <w:rStyle w:val="Hyperlink"/>
                </w:rPr>
                <w:t>Go</w:t>
              </w:r>
            </w:hyperlink>
          </w:p>
        </w:tc>
        <w:tc>
          <w:tcPr>
            <w:tcW w:w="5669" w:type="dxa"/>
          </w:tcPr>
          <w:p w14:paraId="6DF38689" w14:textId="77777777" w:rsidR="00920DCA" w:rsidRDefault="00920DCA">
            <w:pPr>
              <w:spacing w:line="240" w:lineRule="auto"/>
              <w:rPr>
                <w:sz w:val="24"/>
                <w:rtl/>
              </w:rPr>
            </w:pPr>
            <w:r>
              <w:rPr>
                <w:sz w:val="24"/>
                <w:rtl/>
              </w:rPr>
              <w:t>הגבלת השימוש בדרך</w:t>
            </w:r>
          </w:p>
        </w:tc>
        <w:tc>
          <w:tcPr>
            <w:tcW w:w="1247" w:type="dxa"/>
          </w:tcPr>
          <w:p w14:paraId="327D1767" w14:textId="77777777" w:rsidR="00920DCA" w:rsidRDefault="00920DCA">
            <w:pPr>
              <w:spacing w:line="240" w:lineRule="auto"/>
              <w:rPr>
                <w:sz w:val="24"/>
              </w:rPr>
            </w:pPr>
            <w:r>
              <w:rPr>
                <w:sz w:val="24"/>
                <w:rtl/>
              </w:rPr>
              <w:t xml:space="preserve">סעיף 12 </w:t>
            </w:r>
          </w:p>
        </w:tc>
      </w:tr>
      <w:tr w:rsidR="00920DCA" w14:paraId="6B98A173" w14:textId="77777777">
        <w:tblPrEx>
          <w:tblCellMar>
            <w:top w:w="0" w:type="dxa"/>
            <w:bottom w:w="0" w:type="dxa"/>
          </w:tblCellMar>
        </w:tblPrEx>
        <w:tc>
          <w:tcPr>
            <w:tcW w:w="850" w:type="dxa"/>
          </w:tcPr>
          <w:p w14:paraId="4C8DDEDB"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9AB689F" w14:textId="77777777" w:rsidR="00920DCA" w:rsidRDefault="00920DCA">
            <w:pPr>
              <w:spacing w:line="240" w:lineRule="auto"/>
              <w:rPr>
                <w:sz w:val="24"/>
              </w:rPr>
            </w:pPr>
            <w:hyperlink w:anchor="Seif12" w:tooltip="זכות קדימה לרכב בשירות הגא" w:history="1">
              <w:r>
                <w:rPr>
                  <w:rStyle w:val="Hyperlink"/>
                </w:rPr>
                <w:t>Go</w:t>
              </w:r>
            </w:hyperlink>
          </w:p>
        </w:tc>
        <w:tc>
          <w:tcPr>
            <w:tcW w:w="5669" w:type="dxa"/>
          </w:tcPr>
          <w:p w14:paraId="3FD99FA3" w14:textId="77777777" w:rsidR="00920DCA" w:rsidRDefault="00920DCA">
            <w:pPr>
              <w:spacing w:line="240" w:lineRule="auto"/>
              <w:rPr>
                <w:sz w:val="24"/>
                <w:rtl/>
              </w:rPr>
            </w:pPr>
            <w:r>
              <w:rPr>
                <w:sz w:val="24"/>
                <w:rtl/>
              </w:rPr>
              <w:t>זכות קדימה לרכב בשירות הגא</w:t>
            </w:r>
          </w:p>
        </w:tc>
        <w:tc>
          <w:tcPr>
            <w:tcW w:w="1247" w:type="dxa"/>
          </w:tcPr>
          <w:p w14:paraId="1ACDFE11" w14:textId="77777777" w:rsidR="00920DCA" w:rsidRDefault="00920DCA">
            <w:pPr>
              <w:spacing w:line="240" w:lineRule="auto"/>
              <w:rPr>
                <w:sz w:val="24"/>
              </w:rPr>
            </w:pPr>
            <w:r>
              <w:rPr>
                <w:sz w:val="24"/>
                <w:rtl/>
              </w:rPr>
              <w:t xml:space="preserve">סעיף 13 </w:t>
            </w:r>
          </w:p>
        </w:tc>
      </w:tr>
      <w:tr w:rsidR="00920DCA" w14:paraId="29B79B1B" w14:textId="77777777">
        <w:tblPrEx>
          <w:tblCellMar>
            <w:top w:w="0" w:type="dxa"/>
            <w:bottom w:w="0" w:type="dxa"/>
          </w:tblCellMar>
        </w:tblPrEx>
        <w:tc>
          <w:tcPr>
            <w:tcW w:w="850" w:type="dxa"/>
          </w:tcPr>
          <w:p w14:paraId="5976995C"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5E63D82" w14:textId="77777777" w:rsidR="00920DCA" w:rsidRDefault="00920DCA">
            <w:pPr>
              <w:spacing w:line="240" w:lineRule="auto"/>
              <w:rPr>
                <w:sz w:val="24"/>
              </w:rPr>
            </w:pPr>
            <w:hyperlink w:anchor="Seif13" w:tooltip="כלי רכב שנהיגתו אסורה בשעות איפול" w:history="1">
              <w:r>
                <w:rPr>
                  <w:rStyle w:val="Hyperlink"/>
                </w:rPr>
                <w:t>Go</w:t>
              </w:r>
            </w:hyperlink>
          </w:p>
        </w:tc>
        <w:tc>
          <w:tcPr>
            <w:tcW w:w="5669" w:type="dxa"/>
          </w:tcPr>
          <w:p w14:paraId="5CD26AF5" w14:textId="77777777" w:rsidR="00920DCA" w:rsidRDefault="00920DCA">
            <w:pPr>
              <w:spacing w:line="240" w:lineRule="auto"/>
              <w:rPr>
                <w:sz w:val="24"/>
                <w:rtl/>
              </w:rPr>
            </w:pPr>
            <w:r>
              <w:rPr>
                <w:sz w:val="24"/>
                <w:rtl/>
              </w:rPr>
              <w:t>כלי רכב שנהיגתו אסורה בשעות איפול</w:t>
            </w:r>
          </w:p>
        </w:tc>
        <w:tc>
          <w:tcPr>
            <w:tcW w:w="1247" w:type="dxa"/>
          </w:tcPr>
          <w:p w14:paraId="0F5E24D4" w14:textId="77777777" w:rsidR="00920DCA" w:rsidRDefault="00920DCA">
            <w:pPr>
              <w:spacing w:line="240" w:lineRule="auto"/>
              <w:rPr>
                <w:sz w:val="24"/>
              </w:rPr>
            </w:pPr>
            <w:r>
              <w:rPr>
                <w:sz w:val="24"/>
                <w:rtl/>
              </w:rPr>
              <w:t xml:space="preserve">סעיף 14 </w:t>
            </w:r>
          </w:p>
        </w:tc>
      </w:tr>
      <w:tr w:rsidR="00920DCA" w14:paraId="68FE8468" w14:textId="77777777">
        <w:tblPrEx>
          <w:tblCellMar>
            <w:top w:w="0" w:type="dxa"/>
            <w:bottom w:w="0" w:type="dxa"/>
          </w:tblCellMar>
        </w:tblPrEx>
        <w:tc>
          <w:tcPr>
            <w:tcW w:w="850" w:type="dxa"/>
          </w:tcPr>
          <w:p w14:paraId="03C6163B"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14F8A7B" w14:textId="77777777" w:rsidR="00920DCA" w:rsidRDefault="00920DCA">
            <w:pPr>
              <w:spacing w:line="240" w:lineRule="auto"/>
              <w:rPr>
                <w:sz w:val="24"/>
              </w:rPr>
            </w:pPr>
            <w:hyperlink w:anchor="Seif14" w:tooltip="צו, מודעה או הוראה" w:history="1">
              <w:r>
                <w:rPr>
                  <w:rStyle w:val="Hyperlink"/>
                </w:rPr>
                <w:t>Go</w:t>
              </w:r>
            </w:hyperlink>
          </w:p>
        </w:tc>
        <w:tc>
          <w:tcPr>
            <w:tcW w:w="5669" w:type="dxa"/>
          </w:tcPr>
          <w:p w14:paraId="4380819A" w14:textId="77777777" w:rsidR="00920DCA" w:rsidRDefault="00920DCA">
            <w:pPr>
              <w:spacing w:line="240" w:lineRule="auto"/>
              <w:rPr>
                <w:sz w:val="24"/>
                <w:rtl/>
              </w:rPr>
            </w:pPr>
            <w:r>
              <w:rPr>
                <w:sz w:val="24"/>
                <w:rtl/>
              </w:rPr>
              <w:t>צו, מודעה או הוראה</w:t>
            </w:r>
          </w:p>
        </w:tc>
        <w:tc>
          <w:tcPr>
            <w:tcW w:w="1247" w:type="dxa"/>
          </w:tcPr>
          <w:p w14:paraId="33F8C085" w14:textId="77777777" w:rsidR="00920DCA" w:rsidRDefault="00920DCA">
            <w:pPr>
              <w:spacing w:line="240" w:lineRule="auto"/>
              <w:rPr>
                <w:sz w:val="24"/>
              </w:rPr>
            </w:pPr>
            <w:r>
              <w:rPr>
                <w:sz w:val="24"/>
                <w:rtl/>
              </w:rPr>
              <w:t xml:space="preserve">סעיף 15 </w:t>
            </w:r>
          </w:p>
        </w:tc>
      </w:tr>
      <w:tr w:rsidR="00920DCA" w14:paraId="0C3450B8" w14:textId="77777777">
        <w:tblPrEx>
          <w:tblCellMar>
            <w:top w:w="0" w:type="dxa"/>
            <w:bottom w:w="0" w:type="dxa"/>
          </w:tblCellMar>
        </w:tblPrEx>
        <w:tc>
          <w:tcPr>
            <w:tcW w:w="850" w:type="dxa"/>
          </w:tcPr>
          <w:p w14:paraId="072A7EAC"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44A4DC0" w14:textId="77777777" w:rsidR="00920DCA" w:rsidRDefault="00920DCA">
            <w:pPr>
              <w:spacing w:line="240" w:lineRule="auto"/>
              <w:rPr>
                <w:sz w:val="24"/>
              </w:rPr>
            </w:pPr>
            <w:hyperlink w:anchor="Seif15" w:tooltip="הוראה כללית" w:history="1">
              <w:r>
                <w:rPr>
                  <w:rStyle w:val="Hyperlink"/>
                </w:rPr>
                <w:t>Go</w:t>
              </w:r>
            </w:hyperlink>
          </w:p>
        </w:tc>
        <w:tc>
          <w:tcPr>
            <w:tcW w:w="5669" w:type="dxa"/>
          </w:tcPr>
          <w:p w14:paraId="31957A3F" w14:textId="77777777" w:rsidR="00920DCA" w:rsidRDefault="00920DCA">
            <w:pPr>
              <w:spacing w:line="240" w:lineRule="auto"/>
              <w:rPr>
                <w:sz w:val="24"/>
                <w:rtl/>
              </w:rPr>
            </w:pPr>
            <w:r>
              <w:rPr>
                <w:sz w:val="24"/>
                <w:rtl/>
              </w:rPr>
              <w:t>הוראה כללית</w:t>
            </w:r>
          </w:p>
        </w:tc>
        <w:tc>
          <w:tcPr>
            <w:tcW w:w="1247" w:type="dxa"/>
          </w:tcPr>
          <w:p w14:paraId="4E7F7EE7" w14:textId="77777777" w:rsidR="00920DCA" w:rsidRDefault="00920DCA">
            <w:pPr>
              <w:spacing w:line="240" w:lineRule="auto"/>
              <w:rPr>
                <w:sz w:val="24"/>
              </w:rPr>
            </w:pPr>
            <w:r>
              <w:rPr>
                <w:sz w:val="24"/>
                <w:rtl/>
              </w:rPr>
              <w:t xml:space="preserve">סעיף 16 </w:t>
            </w:r>
          </w:p>
        </w:tc>
      </w:tr>
      <w:tr w:rsidR="00920DCA" w14:paraId="4FFFB8EF" w14:textId="77777777">
        <w:tblPrEx>
          <w:tblCellMar>
            <w:top w:w="0" w:type="dxa"/>
            <w:bottom w:w="0" w:type="dxa"/>
          </w:tblCellMar>
        </w:tblPrEx>
        <w:tc>
          <w:tcPr>
            <w:tcW w:w="850" w:type="dxa"/>
          </w:tcPr>
          <w:p w14:paraId="4E094C6E"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5C5EA88" w14:textId="77777777" w:rsidR="00920DCA" w:rsidRDefault="00920DCA">
            <w:pPr>
              <w:spacing w:line="240" w:lineRule="auto"/>
              <w:rPr>
                <w:sz w:val="24"/>
              </w:rPr>
            </w:pPr>
            <w:hyperlink w:anchor="Seif16" w:tooltip="תחולה" w:history="1">
              <w:r>
                <w:rPr>
                  <w:rStyle w:val="Hyperlink"/>
                </w:rPr>
                <w:t>Go</w:t>
              </w:r>
            </w:hyperlink>
          </w:p>
        </w:tc>
        <w:tc>
          <w:tcPr>
            <w:tcW w:w="5669" w:type="dxa"/>
          </w:tcPr>
          <w:p w14:paraId="24C343B1" w14:textId="77777777" w:rsidR="00920DCA" w:rsidRDefault="00920DCA">
            <w:pPr>
              <w:spacing w:line="240" w:lineRule="auto"/>
              <w:rPr>
                <w:sz w:val="24"/>
                <w:rtl/>
              </w:rPr>
            </w:pPr>
            <w:r>
              <w:rPr>
                <w:sz w:val="24"/>
                <w:rtl/>
              </w:rPr>
              <w:t>תחולה</w:t>
            </w:r>
          </w:p>
        </w:tc>
        <w:tc>
          <w:tcPr>
            <w:tcW w:w="1247" w:type="dxa"/>
          </w:tcPr>
          <w:p w14:paraId="7208A06F" w14:textId="77777777" w:rsidR="00920DCA" w:rsidRDefault="00920DCA">
            <w:pPr>
              <w:spacing w:line="240" w:lineRule="auto"/>
              <w:rPr>
                <w:sz w:val="24"/>
              </w:rPr>
            </w:pPr>
            <w:r>
              <w:rPr>
                <w:sz w:val="24"/>
                <w:rtl/>
              </w:rPr>
              <w:t xml:space="preserve">סעיף 17 </w:t>
            </w:r>
          </w:p>
        </w:tc>
      </w:tr>
      <w:tr w:rsidR="00920DCA" w14:paraId="123F9355" w14:textId="77777777">
        <w:tblPrEx>
          <w:tblCellMar>
            <w:top w:w="0" w:type="dxa"/>
            <w:bottom w:w="0" w:type="dxa"/>
          </w:tblCellMar>
        </w:tblPrEx>
        <w:tc>
          <w:tcPr>
            <w:tcW w:w="850" w:type="dxa"/>
          </w:tcPr>
          <w:p w14:paraId="20669758"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AC8E1BD" w14:textId="77777777" w:rsidR="00920DCA" w:rsidRDefault="00920DCA">
            <w:pPr>
              <w:spacing w:line="240" w:lineRule="auto"/>
              <w:rPr>
                <w:sz w:val="24"/>
              </w:rPr>
            </w:pPr>
            <w:hyperlink w:anchor="Seif17" w:tooltip="אי תחולה" w:history="1">
              <w:r>
                <w:rPr>
                  <w:rStyle w:val="Hyperlink"/>
                </w:rPr>
                <w:t>Go</w:t>
              </w:r>
            </w:hyperlink>
          </w:p>
        </w:tc>
        <w:tc>
          <w:tcPr>
            <w:tcW w:w="5669" w:type="dxa"/>
          </w:tcPr>
          <w:p w14:paraId="2788D02D" w14:textId="77777777" w:rsidR="00920DCA" w:rsidRDefault="00920DCA">
            <w:pPr>
              <w:spacing w:line="240" w:lineRule="auto"/>
              <w:rPr>
                <w:sz w:val="24"/>
                <w:rtl/>
              </w:rPr>
            </w:pPr>
            <w:r>
              <w:rPr>
                <w:sz w:val="24"/>
                <w:rtl/>
              </w:rPr>
              <w:t>אי תחולה</w:t>
            </w:r>
          </w:p>
        </w:tc>
        <w:tc>
          <w:tcPr>
            <w:tcW w:w="1247" w:type="dxa"/>
          </w:tcPr>
          <w:p w14:paraId="46A710E2" w14:textId="77777777" w:rsidR="00920DCA" w:rsidRDefault="00920DCA">
            <w:pPr>
              <w:spacing w:line="240" w:lineRule="auto"/>
              <w:rPr>
                <w:sz w:val="24"/>
              </w:rPr>
            </w:pPr>
            <w:r>
              <w:rPr>
                <w:sz w:val="24"/>
                <w:rtl/>
              </w:rPr>
              <w:t xml:space="preserve">סעיף 18 </w:t>
            </w:r>
          </w:p>
        </w:tc>
      </w:tr>
      <w:tr w:rsidR="00920DCA" w14:paraId="7D8784E5" w14:textId="77777777">
        <w:tblPrEx>
          <w:tblCellMar>
            <w:top w:w="0" w:type="dxa"/>
            <w:bottom w:w="0" w:type="dxa"/>
          </w:tblCellMar>
        </w:tblPrEx>
        <w:tc>
          <w:tcPr>
            <w:tcW w:w="850" w:type="dxa"/>
          </w:tcPr>
          <w:p w14:paraId="2C03E691" w14:textId="77777777" w:rsidR="00920DCA" w:rsidRDefault="00920DCA">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CB1157B" w14:textId="77777777" w:rsidR="00920DCA" w:rsidRDefault="00920DCA">
            <w:pPr>
              <w:spacing w:line="240" w:lineRule="auto"/>
              <w:rPr>
                <w:sz w:val="24"/>
              </w:rPr>
            </w:pPr>
            <w:hyperlink w:anchor="Seif18" w:tooltip="השם" w:history="1">
              <w:r>
                <w:rPr>
                  <w:rStyle w:val="Hyperlink"/>
                </w:rPr>
                <w:t>Go</w:t>
              </w:r>
            </w:hyperlink>
          </w:p>
        </w:tc>
        <w:tc>
          <w:tcPr>
            <w:tcW w:w="5669" w:type="dxa"/>
          </w:tcPr>
          <w:p w14:paraId="2091CA21" w14:textId="77777777" w:rsidR="00920DCA" w:rsidRDefault="00920DCA">
            <w:pPr>
              <w:spacing w:line="240" w:lineRule="auto"/>
              <w:rPr>
                <w:sz w:val="24"/>
                <w:rtl/>
              </w:rPr>
            </w:pPr>
            <w:r>
              <w:rPr>
                <w:sz w:val="24"/>
                <w:rtl/>
              </w:rPr>
              <w:t>השם</w:t>
            </w:r>
          </w:p>
        </w:tc>
        <w:tc>
          <w:tcPr>
            <w:tcW w:w="1247" w:type="dxa"/>
          </w:tcPr>
          <w:p w14:paraId="1404218B" w14:textId="77777777" w:rsidR="00920DCA" w:rsidRDefault="00920DCA">
            <w:pPr>
              <w:spacing w:line="240" w:lineRule="auto"/>
              <w:rPr>
                <w:sz w:val="24"/>
              </w:rPr>
            </w:pPr>
            <w:r>
              <w:rPr>
                <w:sz w:val="24"/>
                <w:rtl/>
              </w:rPr>
              <w:t xml:space="preserve">סעיף 19 </w:t>
            </w:r>
          </w:p>
        </w:tc>
      </w:tr>
    </w:tbl>
    <w:p w14:paraId="53023642" w14:textId="77777777" w:rsidR="00920DCA" w:rsidRDefault="00920DCA">
      <w:pPr>
        <w:pStyle w:val="big-header"/>
        <w:ind w:left="0" w:right="1134"/>
        <w:rPr>
          <w:rFonts w:cs="FrankRuehl"/>
          <w:sz w:val="32"/>
          <w:rtl/>
        </w:rPr>
      </w:pPr>
    </w:p>
    <w:p w14:paraId="16E85F91" w14:textId="77777777" w:rsidR="00920DCA" w:rsidRDefault="00920DCA">
      <w:pPr>
        <w:pStyle w:val="big-header"/>
        <w:ind w:left="0" w:right="1134"/>
        <w:rPr>
          <w:rStyle w:val="default"/>
          <w:rFonts w:cs="FrankRuehl"/>
          <w:rtl/>
        </w:rPr>
      </w:pPr>
      <w:r>
        <w:rPr>
          <w:rFonts w:cs="FrankRuehl"/>
          <w:sz w:val="32"/>
          <w:rtl/>
        </w:rPr>
        <w:br w:type="page"/>
      </w:r>
      <w:r w:rsidR="003A19CF">
        <w:rPr>
          <w:rFonts w:cs="FrankRuehl"/>
          <w:sz w:val="32"/>
          <w:rtl/>
        </w:rPr>
        <w:lastRenderedPageBreak/>
        <w:t xml:space="preserve"> </w:t>
      </w:r>
      <w:r>
        <w:rPr>
          <w:rFonts w:cs="FrankRuehl"/>
          <w:sz w:val="32"/>
          <w:rtl/>
        </w:rPr>
        <w:t>תק</w:t>
      </w:r>
      <w:r>
        <w:rPr>
          <w:rFonts w:cs="FrankRuehl" w:hint="cs"/>
          <w:sz w:val="32"/>
          <w:rtl/>
        </w:rPr>
        <w:t>נות ההתגוננות האזרחית (תעבורה בדרכים), תשי"ז</w:t>
      </w:r>
      <w:r>
        <w:rPr>
          <w:rFonts w:cs="FrankRuehl"/>
          <w:sz w:val="32"/>
          <w:rtl/>
        </w:rPr>
        <w:t>–1956</w:t>
      </w:r>
      <w:r>
        <w:rPr>
          <w:rStyle w:val="super"/>
          <w:rFonts w:cs="Miriam"/>
          <w:noProof w:val="0"/>
          <w:rtl/>
          <w:lang w:eastAsia="he-IL"/>
        </w:rPr>
        <w:t>(10)</w:t>
      </w:r>
    </w:p>
    <w:p w14:paraId="6BA6EC21"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27(ג) לחוק ההתגוננות האזרחית, תשי"א</w:t>
      </w:r>
      <w:r>
        <w:rPr>
          <w:rStyle w:val="default"/>
          <w:rFonts w:cs="FrankRuehl"/>
          <w:rtl/>
        </w:rPr>
        <w:t xml:space="preserve">– 1951, </w:t>
      </w:r>
      <w:r>
        <w:rPr>
          <w:rStyle w:val="default"/>
          <w:rFonts w:cs="FrankRuehl" w:hint="cs"/>
          <w:rtl/>
        </w:rPr>
        <w:t>אני מתקין תקנות אלה:</w:t>
      </w:r>
    </w:p>
    <w:p w14:paraId="7DBD9F80" w14:textId="77777777" w:rsidR="00920DCA" w:rsidRDefault="00920DCA">
      <w:pPr>
        <w:pStyle w:val="P00"/>
        <w:spacing w:before="72"/>
        <w:ind w:left="0" w:right="1134"/>
        <w:rPr>
          <w:rStyle w:val="default"/>
          <w:rFonts w:cs="FrankRuehl"/>
          <w:rtl/>
        </w:rPr>
      </w:pPr>
      <w:bookmarkStart w:id="0" w:name="Seif0"/>
      <w:bookmarkEnd w:id="0"/>
      <w:r>
        <w:rPr>
          <w:lang w:val="he-IL"/>
        </w:rPr>
        <w:pict w14:anchorId="58F30DE9">
          <v:rect id="_x0000_s1026" style="position:absolute;left:0;text-align:left;margin-left:464.5pt;margin-top:8.05pt;width:75.05pt;height:8pt;z-index:251648512" o:allowincell="f" filled="f" stroked="f" strokecolor="lime" strokeweight=".25pt">
            <v:textbox inset="0,0,0,0">
              <w:txbxContent>
                <w:p w14:paraId="08A28E48" w14:textId="77777777" w:rsidR="00920DCA" w:rsidRDefault="00920DC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6E9CF8E5"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w:t>
      </w:r>
      <w:r>
        <w:rPr>
          <w:rStyle w:val="default"/>
          <w:rFonts w:cs="FrankRuehl"/>
          <w:rtl/>
        </w:rPr>
        <w:t xml:space="preserve">— </w:t>
      </w:r>
      <w:r>
        <w:rPr>
          <w:rStyle w:val="default"/>
          <w:rFonts w:cs="FrankRuehl" w:hint="cs"/>
          <w:rtl/>
        </w:rPr>
        <w:t>כמשמעותו בסעיף 23 לפקודת התעבורה;</w:t>
      </w:r>
    </w:p>
    <w:p w14:paraId="17054BBA"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ימרור", "רשות תימרור מקומ</w:t>
      </w:r>
      <w:r>
        <w:rPr>
          <w:rStyle w:val="default"/>
          <w:rFonts w:cs="FrankRuehl"/>
          <w:rtl/>
        </w:rPr>
        <w:t>ית</w:t>
      </w:r>
      <w:r>
        <w:rPr>
          <w:rStyle w:val="default"/>
          <w:rFonts w:cs="FrankRuehl" w:hint="cs"/>
          <w:rtl/>
        </w:rPr>
        <w:t xml:space="preserve">", "רכב בטחון", "דרך עירונית", "בעלי חיים" </w:t>
      </w:r>
      <w:r>
        <w:rPr>
          <w:rStyle w:val="default"/>
          <w:rFonts w:cs="FrankRuehl"/>
          <w:rtl/>
        </w:rPr>
        <w:t xml:space="preserve">— </w:t>
      </w:r>
      <w:r>
        <w:rPr>
          <w:rStyle w:val="default"/>
          <w:rFonts w:cs="FrankRuehl" w:hint="cs"/>
          <w:rtl/>
        </w:rPr>
        <w:t>כמשמעותם בתקנות התעבורה (סדרי תנועה), תשי"ג</w:t>
      </w:r>
      <w:r>
        <w:rPr>
          <w:rStyle w:val="default"/>
          <w:rFonts w:cs="FrankRuehl"/>
          <w:rtl/>
        </w:rPr>
        <w:t>–1953;</w:t>
      </w:r>
    </w:p>
    <w:p w14:paraId="4136CCA7"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וטובוס ציבורי", "מונית" </w:t>
      </w:r>
      <w:r>
        <w:rPr>
          <w:rStyle w:val="default"/>
          <w:rFonts w:cs="FrankRuehl"/>
          <w:rtl/>
        </w:rPr>
        <w:t xml:space="preserve">— </w:t>
      </w:r>
      <w:r>
        <w:rPr>
          <w:rStyle w:val="default"/>
          <w:rFonts w:cs="FrankRuehl" w:hint="cs"/>
          <w:rtl/>
        </w:rPr>
        <w:t>כמשמעותם בתקנות התעבורה</w:t>
      </w:r>
      <w:r>
        <w:rPr>
          <w:rFonts w:cs="FrankRuehl"/>
          <w:sz w:val="26"/>
          <w:rtl/>
        </w:rPr>
        <w:t> </w:t>
      </w:r>
      <w:r>
        <w:rPr>
          <w:rStyle w:val="default"/>
          <w:rFonts w:cs="FrankRuehl"/>
          <w:rtl/>
        </w:rPr>
        <w:t xml:space="preserve"> (ש</w:t>
      </w:r>
      <w:r>
        <w:rPr>
          <w:rStyle w:val="default"/>
          <w:rFonts w:cs="FrankRuehl" w:hint="cs"/>
          <w:rtl/>
        </w:rPr>
        <w:t>ירותי הולכה), תשי"ד</w:t>
      </w:r>
      <w:r>
        <w:rPr>
          <w:rStyle w:val="default"/>
          <w:rFonts w:cs="FrankRuehl"/>
          <w:rtl/>
        </w:rPr>
        <w:t>–1954;</w:t>
      </w:r>
    </w:p>
    <w:p w14:paraId="6E55F157"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עות איפול" </w:t>
      </w:r>
      <w:r>
        <w:rPr>
          <w:rStyle w:val="default"/>
          <w:rFonts w:cs="FrankRuehl"/>
          <w:rtl/>
        </w:rPr>
        <w:t xml:space="preserve">— </w:t>
      </w:r>
      <w:r>
        <w:rPr>
          <w:rStyle w:val="default"/>
          <w:rFonts w:cs="FrankRuehl" w:hint="cs"/>
          <w:rtl/>
        </w:rPr>
        <w:t>פרק הזמן שבין שקיעת השמש ובין זריחתה;</w:t>
      </w:r>
    </w:p>
    <w:p w14:paraId="72188C2A"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פקד הגא מחוזי" </w:t>
      </w:r>
      <w:r>
        <w:rPr>
          <w:rStyle w:val="default"/>
          <w:rFonts w:cs="FrankRuehl"/>
          <w:rtl/>
        </w:rPr>
        <w:t xml:space="preserve">— </w:t>
      </w:r>
      <w:r>
        <w:rPr>
          <w:rStyle w:val="default"/>
          <w:rFonts w:cs="FrankRuehl" w:hint="cs"/>
          <w:rtl/>
        </w:rPr>
        <w:t>לרב</w:t>
      </w:r>
      <w:r>
        <w:rPr>
          <w:rStyle w:val="default"/>
          <w:rFonts w:cs="FrankRuehl"/>
          <w:rtl/>
        </w:rPr>
        <w:t>ות</w:t>
      </w:r>
      <w:r>
        <w:rPr>
          <w:rStyle w:val="default"/>
          <w:rFonts w:cs="FrankRuehl" w:hint="cs"/>
          <w:rtl/>
        </w:rPr>
        <w:t xml:space="preserve"> מי שהוסמך על ידו בכתב לגבי מחוז הגא שהוא ממונה עליו;</w:t>
      </w:r>
    </w:p>
    <w:p w14:paraId="32C62750"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ות אזעקה" </w:t>
      </w:r>
      <w:r>
        <w:rPr>
          <w:rStyle w:val="default"/>
          <w:rFonts w:cs="FrankRuehl"/>
          <w:rtl/>
        </w:rPr>
        <w:t xml:space="preserve">— </w:t>
      </w:r>
      <w:r>
        <w:rPr>
          <w:rStyle w:val="default"/>
          <w:rFonts w:cs="FrankRuehl" w:hint="cs"/>
          <w:rtl/>
        </w:rPr>
        <w:t>אות שנקבע על ידי הגא כאות אזעקה;</w:t>
      </w:r>
    </w:p>
    <w:p w14:paraId="76DEEBDF"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ות ארגעה" </w:t>
      </w:r>
      <w:r>
        <w:rPr>
          <w:rStyle w:val="default"/>
          <w:rFonts w:cs="FrankRuehl"/>
          <w:rtl/>
        </w:rPr>
        <w:t xml:space="preserve">— </w:t>
      </w:r>
      <w:r>
        <w:rPr>
          <w:rStyle w:val="default"/>
          <w:rFonts w:cs="FrankRuehl" w:hint="cs"/>
          <w:rtl/>
        </w:rPr>
        <w:t>אות שנקבע על ידי הגא כאות ארגעה.</w:t>
      </w:r>
    </w:p>
    <w:p w14:paraId="610BB29C" w14:textId="77777777" w:rsidR="00920DCA" w:rsidRDefault="00920DCA">
      <w:pPr>
        <w:pStyle w:val="P00"/>
        <w:spacing w:before="72"/>
        <w:ind w:left="0" w:right="1134"/>
        <w:rPr>
          <w:rStyle w:val="default"/>
          <w:rFonts w:cs="FrankRuehl"/>
          <w:rtl/>
        </w:rPr>
      </w:pPr>
      <w:bookmarkStart w:id="1" w:name="Seif1"/>
      <w:bookmarkEnd w:id="1"/>
      <w:r>
        <w:rPr>
          <w:lang w:val="he-IL"/>
        </w:rPr>
        <w:pict w14:anchorId="7F69844C">
          <v:rect id="_x0000_s1027" style="position:absolute;left:0;text-align:left;margin-left:464.5pt;margin-top:8.05pt;width:75.05pt;height:8pt;z-index:251649536" o:allowincell="f" filled="f" stroked="f" strokecolor="lime" strokeweight=".25pt">
            <v:textbox inset="0,0,0,0">
              <w:txbxContent>
                <w:p w14:paraId="2A710E02" w14:textId="77777777" w:rsidR="00920DCA" w:rsidRDefault="00920DCA">
                  <w:pPr>
                    <w:spacing w:line="160" w:lineRule="exact"/>
                    <w:jc w:val="left"/>
                    <w:rPr>
                      <w:rFonts w:cs="Miriam"/>
                      <w:noProof/>
                      <w:sz w:val="18"/>
                      <w:szCs w:val="18"/>
                      <w:rtl/>
                    </w:rPr>
                  </w:pPr>
                  <w:r>
                    <w:rPr>
                      <w:rFonts w:cs="Miriam"/>
                      <w:sz w:val="18"/>
                      <w:szCs w:val="18"/>
                      <w:rtl/>
                    </w:rPr>
                    <w:t>שי</w:t>
                  </w:r>
                  <w:r>
                    <w:rPr>
                      <w:rFonts w:cs="Miriam" w:hint="cs"/>
                      <w:sz w:val="18"/>
                      <w:szCs w:val="18"/>
                      <w:rtl/>
                    </w:rPr>
                    <w:t>מוש בצופר</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יתקע אדם בצופר או במכשיר אזהרה אחר שברכב המצוי בדרך עירונית, אלא למתן אות אזהרה כדי למנוע סכנה קר</w:t>
      </w:r>
      <w:r>
        <w:rPr>
          <w:rStyle w:val="default"/>
          <w:rFonts w:cs="FrankRuehl"/>
          <w:rtl/>
        </w:rPr>
        <w:t>וב</w:t>
      </w:r>
      <w:r>
        <w:rPr>
          <w:rStyle w:val="default"/>
          <w:rFonts w:cs="FrankRuehl" w:hint="cs"/>
          <w:rtl/>
        </w:rPr>
        <w:t>ה שאין למנוע אותה, באופן אחר, ובלבד שהצפירה לא תהיה דומה לאות אזעקה או אות ארגעה.</w:t>
      </w:r>
    </w:p>
    <w:p w14:paraId="18CFFA65" w14:textId="77777777" w:rsidR="00920DCA" w:rsidRDefault="00920DCA">
      <w:pPr>
        <w:pStyle w:val="P00"/>
        <w:spacing w:before="72"/>
        <w:ind w:left="0" w:right="1134"/>
        <w:rPr>
          <w:rStyle w:val="default"/>
          <w:rFonts w:cs="FrankRuehl"/>
          <w:rtl/>
        </w:rPr>
      </w:pPr>
      <w:bookmarkStart w:id="2" w:name="Seif2"/>
      <w:bookmarkEnd w:id="2"/>
      <w:r>
        <w:rPr>
          <w:lang w:val="he-IL"/>
        </w:rPr>
        <w:pict w14:anchorId="0E0563F4">
          <v:rect id="_x0000_s1028" style="position:absolute;left:0;text-align:left;margin-left:464.5pt;margin-top:8.05pt;width:75.05pt;height:35.75pt;z-index:251650560" o:allowincell="f" filled="f" stroked="f" strokecolor="lime" strokeweight=".25pt">
            <v:textbox inset="0,0,0,0">
              <w:txbxContent>
                <w:p w14:paraId="1EC4170F" w14:textId="77777777" w:rsidR="00920DCA" w:rsidRDefault="00920DCA">
                  <w:pPr>
                    <w:spacing w:line="160" w:lineRule="exact"/>
                    <w:jc w:val="left"/>
                    <w:rPr>
                      <w:rFonts w:cs="Miriam"/>
                      <w:sz w:val="18"/>
                      <w:szCs w:val="18"/>
                      <w:rtl/>
                    </w:rPr>
                  </w:pPr>
                  <w:r>
                    <w:rPr>
                      <w:rFonts w:cs="Miriam"/>
                      <w:sz w:val="18"/>
                      <w:szCs w:val="18"/>
                      <w:rtl/>
                    </w:rPr>
                    <w:t>הו</w:t>
                  </w:r>
                  <w:r>
                    <w:rPr>
                      <w:rFonts w:cs="Miriam" w:hint="cs"/>
                      <w:sz w:val="18"/>
                      <w:szCs w:val="18"/>
                      <w:rtl/>
                    </w:rPr>
                    <w:t xml:space="preserve">ראה בדבר  </w:t>
                  </w:r>
                </w:p>
                <w:p w14:paraId="63B54AA0" w14:textId="77777777" w:rsidR="00920DCA" w:rsidRDefault="00920DCA">
                  <w:pPr>
                    <w:spacing w:line="160" w:lineRule="exact"/>
                    <w:jc w:val="left"/>
                    <w:rPr>
                      <w:rFonts w:cs="Miriam"/>
                      <w:noProof/>
                      <w:sz w:val="18"/>
                      <w:szCs w:val="18"/>
                      <w:rtl/>
                    </w:rPr>
                  </w:pPr>
                  <w:r>
                    <w:rPr>
                      <w:rFonts w:cs="Miriam" w:hint="cs"/>
                      <w:sz w:val="18"/>
                      <w:szCs w:val="18"/>
                      <w:rtl/>
                    </w:rPr>
                    <w:t>ש</w:t>
                  </w:r>
                  <w:r>
                    <w:rPr>
                      <w:rFonts w:cs="Miriam"/>
                      <w:sz w:val="18"/>
                      <w:szCs w:val="18"/>
                      <w:rtl/>
                    </w:rPr>
                    <w:t>י</w:t>
                  </w:r>
                  <w:r>
                    <w:rPr>
                      <w:rFonts w:cs="Miriam" w:hint="cs"/>
                      <w:sz w:val="18"/>
                      <w:szCs w:val="18"/>
                      <w:rtl/>
                    </w:rPr>
                    <w:t>נוי תחנות</w:t>
                  </w:r>
                </w:p>
              </w:txbxContent>
            </v:textbox>
            <w10:anchorlock/>
          </v:rect>
        </w:pict>
      </w:r>
      <w:r>
        <w:rPr>
          <w:rStyle w:val="big-number"/>
          <w:rFonts w:cs="Miriam"/>
          <w:rtl/>
        </w:rPr>
        <w:t>3.</w:t>
      </w:r>
      <w:r>
        <w:rPr>
          <w:rStyle w:val="big-number"/>
          <w:rFonts w:cs="Miriam"/>
          <w:rtl/>
        </w:rPr>
        <w:tab/>
      </w:r>
      <w:r>
        <w:rPr>
          <w:rStyle w:val="default"/>
          <w:rFonts w:cs="FrankRuehl"/>
          <w:rtl/>
        </w:rPr>
        <w:t>מפ</w:t>
      </w:r>
      <w:r>
        <w:rPr>
          <w:rStyle w:val="default"/>
          <w:rFonts w:cs="FrankRuehl" w:hint="cs"/>
          <w:rtl/>
        </w:rPr>
        <w:t>קד הגא מחוזי רשאי, לאחר התיעצות עם רשות תימרור מקומית, ואם הוא משוכנע שהדבר דרוש לצרכי התגוננות אזרחית, להורות על שינוי התחנות של אוטובוסים ציבוריים או של מוניות.</w:t>
      </w:r>
    </w:p>
    <w:p w14:paraId="7DC5A17F" w14:textId="77777777" w:rsidR="00920DCA" w:rsidRDefault="00920DCA">
      <w:pPr>
        <w:pStyle w:val="P00"/>
        <w:spacing w:before="72"/>
        <w:ind w:left="0" w:right="1134"/>
        <w:rPr>
          <w:rStyle w:val="default"/>
          <w:rFonts w:cs="FrankRuehl"/>
          <w:rtl/>
        </w:rPr>
      </w:pPr>
      <w:bookmarkStart w:id="3" w:name="Seif3"/>
      <w:bookmarkEnd w:id="3"/>
      <w:r>
        <w:rPr>
          <w:lang w:val="he-IL"/>
        </w:rPr>
        <w:pict w14:anchorId="7FD8435B">
          <v:rect id="_x0000_s1029" style="position:absolute;left:0;text-align:left;margin-left:464.5pt;margin-top:8.05pt;width:75.05pt;height:16pt;z-index:251651584" o:allowincell="f" filled="f" stroked="f" strokecolor="lime" strokeweight=".25pt">
            <v:textbox inset="0,0,0,0">
              <w:txbxContent>
                <w:p w14:paraId="4A6F81C4" w14:textId="77777777" w:rsidR="00920DCA" w:rsidRDefault="00920DCA">
                  <w:pPr>
                    <w:spacing w:line="160" w:lineRule="exact"/>
                    <w:jc w:val="left"/>
                    <w:rPr>
                      <w:rFonts w:cs="Miriam"/>
                      <w:sz w:val="18"/>
                      <w:szCs w:val="18"/>
                      <w:rtl/>
                    </w:rPr>
                  </w:pPr>
                  <w:r>
                    <w:rPr>
                      <w:rFonts w:cs="Miriam"/>
                      <w:sz w:val="18"/>
                      <w:szCs w:val="18"/>
                      <w:rtl/>
                    </w:rPr>
                    <w:t>סד</w:t>
                  </w:r>
                  <w:r>
                    <w:rPr>
                      <w:rFonts w:cs="Miriam" w:hint="cs"/>
                      <w:sz w:val="18"/>
                      <w:szCs w:val="18"/>
                      <w:rtl/>
                    </w:rPr>
                    <w:t xml:space="preserve">רי חניה </w:t>
                  </w:r>
                </w:p>
                <w:p w14:paraId="32D2204F" w14:textId="77777777" w:rsidR="00920DCA" w:rsidRDefault="00920DCA">
                  <w:pPr>
                    <w:spacing w:line="160" w:lineRule="exact"/>
                    <w:jc w:val="left"/>
                    <w:rPr>
                      <w:rFonts w:cs="Miriam"/>
                      <w:noProof/>
                      <w:sz w:val="18"/>
                      <w:szCs w:val="18"/>
                      <w:rtl/>
                    </w:rPr>
                  </w:pPr>
                  <w:r>
                    <w:rPr>
                      <w:rFonts w:cs="Miriam" w:hint="cs"/>
                      <w:sz w:val="18"/>
                      <w:szCs w:val="18"/>
                      <w:rtl/>
                    </w:rPr>
                    <w:t>ב</w:t>
                  </w:r>
                  <w:r>
                    <w:rPr>
                      <w:rFonts w:cs="Miriam"/>
                      <w:sz w:val="18"/>
                      <w:szCs w:val="18"/>
                      <w:rtl/>
                    </w:rPr>
                    <w:t>ת</w:t>
                  </w:r>
                  <w:r>
                    <w:rPr>
                      <w:rFonts w:cs="Miriam" w:hint="cs"/>
                      <w:sz w:val="18"/>
                      <w:szCs w:val="18"/>
                      <w:rtl/>
                    </w:rPr>
                    <w:t>חנות דלק</w:t>
                  </w:r>
                </w:p>
              </w:txbxContent>
            </v:textbox>
            <w10:anchorlock/>
          </v:rect>
        </w:pict>
      </w:r>
      <w:r>
        <w:rPr>
          <w:rStyle w:val="big-number"/>
          <w:rFonts w:cs="Miriam"/>
          <w:rtl/>
        </w:rPr>
        <w:t>4.</w:t>
      </w:r>
      <w:r>
        <w:rPr>
          <w:rStyle w:val="big-number"/>
          <w:rFonts w:cs="Miriam"/>
          <w:rtl/>
        </w:rPr>
        <w:tab/>
      </w:r>
      <w:r>
        <w:rPr>
          <w:rStyle w:val="default"/>
          <w:rFonts w:cs="FrankRuehl"/>
          <w:rtl/>
        </w:rPr>
        <w:t>מפ</w:t>
      </w:r>
      <w:r>
        <w:rPr>
          <w:rStyle w:val="default"/>
          <w:rFonts w:cs="FrankRuehl" w:hint="cs"/>
          <w:rtl/>
        </w:rPr>
        <w:t>קד הגא מחוזי רשאי לקבוע הוראות בדבר סדרי חניית רכב בתחנות דלק.</w:t>
      </w:r>
    </w:p>
    <w:p w14:paraId="21D176CE" w14:textId="77777777" w:rsidR="00920DCA" w:rsidRDefault="00920DCA">
      <w:pPr>
        <w:pStyle w:val="P00"/>
        <w:spacing w:before="72"/>
        <w:ind w:left="0" w:right="1134"/>
        <w:rPr>
          <w:rStyle w:val="default"/>
          <w:rFonts w:cs="FrankRuehl"/>
          <w:rtl/>
        </w:rPr>
      </w:pPr>
      <w:bookmarkStart w:id="4" w:name="Seif4"/>
      <w:bookmarkEnd w:id="4"/>
      <w:r>
        <w:rPr>
          <w:lang w:val="he-IL"/>
        </w:rPr>
        <w:pict w14:anchorId="269CF159">
          <v:rect id="_x0000_s1030" style="position:absolute;left:0;text-align:left;margin-left:464.5pt;margin-top:8.05pt;width:75.05pt;height:8pt;z-index:251652608" o:allowincell="f" filled="f" stroked="f" strokecolor="lime" strokeweight=".25pt">
            <v:textbox inset="0,0,0,0">
              <w:txbxContent>
                <w:p w14:paraId="03F1A589" w14:textId="77777777" w:rsidR="00920DCA" w:rsidRDefault="00920DCA">
                  <w:pPr>
                    <w:spacing w:line="160" w:lineRule="exact"/>
                    <w:jc w:val="left"/>
                    <w:rPr>
                      <w:rFonts w:cs="Miriam"/>
                      <w:noProof/>
                      <w:sz w:val="18"/>
                      <w:szCs w:val="18"/>
                      <w:rtl/>
                    </w:rPr>
                  </w:pPr>
                  <w:r>
                    <w:rPr>
                      <w:rFonts w:cs="Miriam"/>
                      <w:sz w:val="18"/>
                      <w:szCs w:val="18"/>
                      <w:rtl/>
                    </w:rPr>
                    <w:t>אי</w:t>
                  </w:r>
                  <w:r>
                    <w:rPr>
                      <w:rFonts w:cs="Miriam" w:hint="cs"/>
                      <w:sz w:val="18"/>
                      <w:szCs w:val="18"/>
                      <w:rtl/>
                    </w:rPr>
                    <w:t>סור חניה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פקד הגא מחוזי רשאי, לאחר התיעצות עם רשות תימרור מקומית, להורות בצו כי לא יעצור אדם רכב, לא יעמידנו ולא יחנהו באחד הרחובות המפורטים בצו, אלא לשם הורדת נוסעים או העלאתם, או פריקת מטען</w:t>
      </w:r>
      <w:r>
        <w:rPr>
          <w:rStyle w:val="default"/>
          <w:rFonts w:cs="FrankRuehl"/>
          <w:rtl/>
        </w:rPr>
        <w:t xml:space="preserve"> א</w:t>
      </w:r>
      <w:r>
        <w:rPr>
          <w:rStyle w:val="default"/>
          <w:rFonts w:cs="FrankRuehl" w:hint="cs"/>
          <w:rtl/>
        </w:rPr>
        <w:t>ו הטענתו; ובלבד שמפקד הגא מחוזי יהיה משוכנע שהצו דרוש לצרכי התגוננות אזרח</w:t>
      </w:r>
      <w:r>
        <w:rPr>
          <w:rStyle w:val="default"/>
          <w:rFonts w:cs="FrankRuehl"/>
          <w:rtl/>
        </w:rPr>
        <w:t>י</w:t>
      </w:r>
      <w:r>
        <w:rPr>
          <w:rStyle w:val="default"/>
          <w:rFonts w:cs="FrankRuehl" w:hint="cs"/>
          <w:rtl/>
        </w:rPr>
        <w:t>ת.</w:t>
      </w:r>
    </w:p>
    <w:p w14:paraId="7BC78570" w14:textId="77777777" w:rsidR="00920DCA" w:rsidRDefault="00920DCA">
      <w:pPr>
        <w:pStyle w:val="P00"/>
        <w:spacing w:before="72"/>
        <w:ind w:left="0" w:right="1134"/>
        <w:rPr>
          <w:rFonts w:cs="FrankRuehl"/>
          <w:sz w:val="26"/>
          <w:rtl/>
        </w:rPr>
      </w:pPr>
      <w:r>
        <w:rPr>
          <w:rFonts w:cs="FrankRuehl"/>
          <w:sz w:val="26"/>
          <w:rtl/>
        </w:rPr>
        <w:t>------------</w:t>
      </w:r>
    </w:p>
    <w:p w14:paraId="30571A44" w14:textId="77777777" w:rsidR="00920DCA" w:rsidRDefault="00920DCA" w:rsidP="003A19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(10)</w:t>
      </w:r>
      <w:r>
        <w:rPr>
          <w:rFonts w:cs="FrankRuehl"/>
          <w:rtl/>
        </w:rPr>
        <w:t> </w:t>
      </w:r>
      <w:r>
        <w:rPr>
          <w:rFonts w:cs="FrankRuehl"/>
          <w:rtl/>
        </w:rPr>
        <w:t>פו</w:t>
      </w:r>
      <w:r>
        <w:rPr>
          <w:rFonts w:cs="FrankRuehl" w:hint="cs"/>
          <w:rtl/>
        </w:rPr>
        <w:t xml:space="preserve">רסמו </w:t>
      </w:r>
      <w:hyperlink r:id="rId6" w:history="1">
        <w:r w:rsidRPr="003A19CF">
          <w:rPr>
            <w:rStyle w:val="Hyperlink"/>
            <w:rFonts w:cs="FrankRuehl" w:hint="cs"/>
            <w:rtl/>
          </w:rPr>
          <w:t xml:space="preserve">ק"ת </w:t>
        </w:r>
        <w:r w:rsidR="003A19CF" w:rsidRPr="003A19CF">
          <w:rPr>
            <w:rStyle w:val="Hyperlink"/>
            <w:rFonts w:cs="FrankRuehl" w:hint="cs"/>
            <w:rtl/>
          </w:rPr>
          <w:t xml:space="preserve">תשי"ז </w:t>
        </w:r>
        <w:r w:rsidRPr="003A19CF">
          <w:rPr>
            <w:rStyle w:val="Hyperlink"/>
            <w:rFonts w:cs="FrankRuehl" w:hint="cs"/>
            <w:rtl/>
          </w:rPr>
          <w:t>מס' 649</w:t>
        </w:r>
      </w:hyperlink>
      <w:r>
        <w:rPr>
          <w:rFonts w:cs="FrankRuehl" w:hint="cs"/>
          <w:rtl/>
        </w:rPr>
        <w:t xml:space="preserve"> מיום </w:t>
      </w:r>
      <w:r w:rsidR="003A19CF">
        <w:rPr>
          <w:rFonts w:cs="FrankRuehl" w:hint="cs"/>
          <w:rtl/>
        </w:rPr>
        <w:t xml:space="preserve">31.10.1956 </w:t>
      </w:r>
      <w:r>
        <w:rPr>
          <w:rFonts w:cs="FrankRuehl" w:hint="cs"/>
          <w:rtl/>
        </w:rPr>
        <w:t>עמ' 344.</w:t>
      </w:r>
    </w:p>
    <w:p w14:paraId="189770DB" w14:textId="77777777" w:rsidR="00920DCA" w:rsidRDefault="00920DCA">
      <w:pPr>
        <w:pStyle w:val="page"/>
        <w:widowControl/>
        <w:ind w:right="1134"/>
        <w:rPr>
          <w:rFonts w:cs="David"/>
          <w:position w:val="0"/>
          <w:sz w:val="22"/>
          <w:rtl/>
        </w:rPr>
      </w:pPr>
      <w:r>
        <w:rPr>
          <w:rFonts w:cs="David"/>
          <w:position w:val="0"/>
          <w:sz w:val="22"/>
          <w:rtl/>
        </w:rPr>
        <w:t xml:space="preserve"> </w:t>
      </w:r>
    </w:p>
    <w:p w14:paraId="04D14659"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יעצור, לא יעמיד ולא יחנה אדם רכב בדרך עירונית אלא אם המרחק מהרכ</w:t>
      </w:r>
      <w:r>
        <w:rPr>
          <w:rStyle w:val="default"/>
          <w:rFonts w:cs="FrankRuehl"/>
          <w:rtl/>
        </w:rPr>
        <w:t xml:space="preserve">ב </w:t>
      </w:r>
      <w:r>
        <w:rPr>
          <w:rStyle w:val="default"/>
          <w:rFonts w:cs="FrankRuehl" w:hint="cs"/>
          <w:rtl/>
        </w:rPr>
        <w:t>שלפניו ומאחוריו אינו פחות מחמישה מטרים.</w:t>
      </w:r>
    </w:p>
    <w:p w14:paraId="6B846E11" w14:textId="77777777" w:rsidR="00920DCA" w:rsidRDefault="00920DCA">
      <w:pPr>
        <w:pStyle w:val="P00"/>
        <w:spacing w:before="72"/>
        <w:ind w:left="0" w:right="1134"/>
        <w:rPr>
          <w:rStyle w:val="default"/>
          <w:rFonts w:cs="FrankRuehl"/>
          <w:rtl/>
        </w:rPr>
      </w:pPr>
      <w:bookmarkStart w:id="5" w:name="Seif5"/>
      <w:bookmarkEnd w:id="5"/>
      <w:r>
        <w:rPr>
          <w:lang w:val="he-IL"/>
        </w:rPr>
        <w:pict w14:anchorId="6DE39D66">
          <v:rect id="_x0000_s1031" style="position:absolute;left:0;text-align:left;margin-left:464.5pt;margin-top:8.05pt;width:75.05pt;height:16pt;z-index:251653632" o:allowincell="f" filled="f" stroked="f" strokecolor="lime" strokeweight=".25pt">
            <v:textbox inset="0,0,0,0">
              <w:txbxContent>
                <w:p w14:paraId="7FA9FC3A" w14:textId="77777777" w:rsidR="00920DCA" w:rsidRDefault="00920DCA">
                  <w:pPr>
                    <w:spacing w:line="160" w:lineRule="exact"/>
                    <w:jc w:val="left"/>
                    <w:rPr>
                      <w:rFonts w:cs="Miriam"/>
                      <w:noProof/>
                      <w:sz w:val="18"/>
                      <w:szCs w:val="18"/>
                      <w:rtl/>
                    </w:rPr>
                  </w:pPr>
                  <w:r>
                    <w:rPr>
                      <w:rFonts w:cs="Miriam"/>
                      <w:sz w:val="18"/>
                      <w:szCs w:val="18"/>
                      <w:rtl/>
                    </w:rPr>
                    <w:t>הפ</w:t>
                  </w:r>
                  <w:r>
                    <w:rPr>
                      <w:rFonts w:cs="Miriam" w:hint="cs"/>
                      <w:sz w:val="18"/>
                      <w:szCs w:val="18"/>
                      <w:rtl/>
                    </w:rPr>
                    <w:t>סקת</w:t>
                  </w:r>
                </w:p>
                <w:p w14:paraId="373E3F5F" w14:textId="77777777" w:rsidR="00920DCA" w:rsidRDefault="00920DCA">
                  <w:pPr>
                    <w:spacing w:line="160" w:lineRule="exact"/>
                    <w:jc w:val="left"/>
                    <w:rPr>
                      <w:rFonts w:cs="Miriam"/>
                      <w:noProof/>
                      <w:sz w:val="18"/>
                      <w:szCs w:val="18"/>
                      <w:rtl/>
                    </w:rPr>
                  </w:pPr>
                  <w:r>
                    <w:rPr>
                      <w:rFonts w:cs="Miriam"/>
                      <w:sz w:val="18"/>
                      <w:szCs w:val="18"/>
                      <w:rtl/>
                    </w:rPr>
                    <w:t>תנ</w:t>
                  </w:r>
                  <w:r>
                    <w:rPr>
                      <w:rFonts w:cs="Miriam" w:hint="cs"/>
                      <w:sz w:val="18"/>
                      <w:szCs w:val="18"/>
                      <w:rtl/>
                    </w:rPr>
                    <w:t>ועת רכב</w:t>
                  </w:r>
                </w:p>
              </w:txbxContent>
            </v:textbox>
            <w10:anchorlock/>
          </v:rect>
        </w:pict>
      </w:r>
      <w:r>
        <w:rPr>
          <w:rStyle w:val="big-number"/>
          <w:rFonts w:cs="Miriam"/>
          <w:rtl/>
        </w:rPr>
        <w:t>6.</w:t>
      </w:r>
      <w:r>
        <w:rPr>
          <w:rStyle w:val="big-number"/>
          <w:rFonts w:cs="Miriam"/>
          <w:rtl/>
        </w:rPr>
        <w:tab/>
      </w:r>
      <w:r>
        <w:rPr>
          <w:rStyle w:val="default"/>
          <w:rFonts w:cs="FrankRuehl"/>
          <w:rtl/>
        </w:rPr>
        <w:t>בה</w:t>
      </w:r>
      <w:r>
        <w:rPr>
          <w:rStyle w:val="default"/>
          <w:rFonts w:cs="FrankRuehl" w:hint="cs"/>
          <w:rtl/>
        </w:rPr>
        <w:t xml:space="preserve">ישמע אות </w:t>
      </w:r>
      <w:r>
        <w:rPr>
          <w:rStyle w:val="default"/>
          <w:rFonts w:cs="FrankRuehl"/>
          <w:rtl/>
        </w:rPr>
        <w:t>א</w:t>
      </w:r>
      <w:r>
        <w:rPr>
          <w:rStyle w:val="default"/>
          <w:rFonts w:cs="FrankRuehl" w:hint="cs"/>
          <w:rtl/>
        </w:rPr>
        <w:t>זעקה חייב הנוהג ברכב בדרך עירונית מיד לעצור את רכבו ולהעמידו כדין ולא להסיעו כל עוד לא ניתן אות ארגעה או הוראה מטעם חבר הגא בתפקיד.</w:t>
      </w:r>
    </w:p>
    <w:p w14:paraId="527F62AF" w14:textId="77777777" w:rsidR="00920DCA" w:rsidRDefault="00920DCA">
      <w:pPr>
        <w:pStyle w:val="P00"/>
        <w:spacing w:before="72"/>
        <w:ind w:left="0" w:right="1134"/>
        <w:rPr>
          <w:rStyle w:val="default"/>
          <w:rFonts w:cs="FrankRuehl"/>
          <w:rtl/>
        </w:rPr>
      </w:pPr>
      <w:bookmarkStart w:id="6" w:name="Seif6"/>
      <w:bookmarkEnd w:id="6"/>
      <w:r>
        <w:rPr>
          <w:lang w:val="he-IL"/>
        </w:rPr>
        <w:pict w14:anchorId="501A497D">
          <v:rect id="_x0000_s1032" style="position:absolute;left:0;text-align:left;margin-left:464.5pt;margin-top:8.05pt;width:75.05pt;height:16pt;z-index:251654656" o:allowincell="f" filled="f" stroked="f" strokecolor="lime" strokeweight=".25pt">
            <v:textbox inset="0,0,0,0">
              <w:txbxContent>
                <w:p w14:paraId="4DDFCBA5" w14:textId="77777777" w:rsidR="00920DCA" w:rsidRDefault="00920DCA">
                  <w:pPr>
                    <w:spacing w:line="160" w:lineRule="exact"/>
                    <w:jc w:val="left"/>
                    <w:rPr>
                      <w:rFonts w:cs="Miriam"/>
                      <w:noProof/>
                      <w:sz w:val="18"/>
                      <w:szCs w:val="18"/>
                      <w:rtl/>
                    </w:rPr>
                  </w:pPr>
                  <w:r>
                    <w:rPr>
                      <w:rFonts w:cs="Miriam"/>
                      <w:sz w:val="18"/>
                      <w:szCs w:val="18"/>
                      <w:rtl/>
                    </w:rPr>
                    <w:t>מק</w:t>
                  </w:r>
                  <w:r>
                    <w:rPr>
                      <w:rFonts w:cs="Miriam" w:hint="cs"/>
                      <w:sz w:val="18"/>
                      <w:szCs w:val="18"/>
                      <w:rtl/>
                    </w:rPr>
                    <w:t>ומות אסורים בעצירה, עמידה וחניה</w:t>
                  </w:r>
                </w:p>
              </w:txbxContent>
            </v:textbox>
            <w10:anchorlock/>
          </v:rect>
        </w:pict>
      </w:r>
      <w:r>
        <w:rPr>
          <w:rStyle w:val="big-number"/>
          <w:rFonts w:cs="Miriam"/>
          <w:rtl/>
        </w:rPr>
        <w:t>7.</w:t>
      </w:r>
      <w:r>
        <w:rPr>
          <w:rStyle w:val="big-number"/>
          <w:rFonts w:cs="Miriam"/>
          <w:rtl/>
        </w:rPr>
        <w:tab/>
      </w:r>
      <w:r>
        <w:rPr>
          <w:rStyle w:val="default"/>
          <w:rFonts w:cs="FrankRuehl"/>
          <w:rtl/>
        </w:rPr>
        <w:t>בה</w:t>
      </w:r>
      <w:r>
        <w:rPr>
          <w:rStyle w:val="default"/>
          <w:rFonts w:cs="FrankRuehl" w:hint="cs"/>
          <w:rtl/>
        </w:rPr>
        <w:t>ישמע אות אזעקה לא יעצור אדם רכב, לא יעמידנו, לא יחנהו ולא יש</w:t>
      </w:r>
      <w:r>
        <w:rPr>
          <w:rStyle w:val="default"/>
          <w:rFonts w:cs="FrankRuehl"/>
          <w:rtl/>
        </w:rPr>
        <w:t>אי</w:t>
      </w:r>
      <w:r>
        <w:rPr>
          <w:rStyle w:val="default"/>
          <w:rFonts w:cs="FrankRuehl" w:hint="cs"/>
          <w:rtl/>
        </w:rPr>
        <w:t>רנו עומד, כולו או חלקו, פרט לשם מניעת תאונה מידית, בתחום שנים עשר מטרים מכניסה לבסיס הגא, מתקן צבאי, תחנת משטרה, גשר, תחנת חשמל, טרנספורמטור או מקלט ציבורי ובתחום עשרים וחמישה</w:t>
      </w:r>
      <w:r>
        <w:rPr>
          <w:rFonts w:cs="FrankRuehl"/>
          <w:sz w:val="26"/>
          <w:rtl/>
        </w:rPr>
        <w:t> </w:t>
      </w:r>
      <w:r>
        <w:rPr>
          <w:rStyle w:val="default"/>
          <w:rFonts w:cs="FrankRuehl"/>
          <w:rtl/>
        </w:rPr>
        <w:t xml:space="preserve"> מ</w:t>
      </w:r>
      <w:r>
        <w:rPr>
          <w:rStyle w:val="default"/>
          <w:rFonts w:cs="FrankRuehl" w:hint="cs"/>
          <w:rtl/>
        </w:rPr>
        <w:t>טרים ממרכז הכניסה למקומות אלה בצד הרחוב שהוא מול הכניסה.</w:t>
      </w:r>
    </w:p>
    <w:p w14:paraId="7BF9AB9D"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ראה זו תחול על א</w:t>
      </w:r>
      <w:r>
        <w:rPr>
          <w:rStyle w:val="default"/>
          <w:rFonts w:cs="FrankRuehl"/>
          <w:rtl/>
        </w:rPr>
        <w:t xml:space="preserve">ף </w:t>
      </w:r>
      <w:r>
        <w:rPr>
          <w:rStyle w:val="default"/>
          <w:rFonts w:cs="FrankRuehl" w:hint="cs"/>
          <w:rtl/>
        </w:rPr>
        <w:t>כל הוראת תמרור להכו</w:t>
      </w:r>
      <w:r>
        <w:rPr>
          <w:rStyle w:val="default"/>
          <w:rFonts w:cs="FrankRuehl"/>
          <w:rtl/>
        </w:rPr>
        <w:t>ו</w:t>
      </w:r>
      <w:r>
        <w:rPr>
          <w:rStyle w:val="default"/>
          <w:rFonts w:cs="FrankRuehl" w:hint="cs"/>
          <w:rtl/>
        </w:rPr>
        <w:t>נת התנועה והוראה בכל תקנה.</w:t>
      </w:r>
    </w:p>
    <w:p w14:paraId="34399049" w14:textId="77777777" w:rsidR="00920DCA" w:rsidRDefault="00920DCA">
      <w:pPr>
        <w:pStyle w:val="P00"/>
        <w:spacing w:before="72"/>
        <w:ind w:left="0" w:right="1134"/>
        <w:rPr>
          <w:rStyle w:val="default"/>
          <w:rFonts w:cs="FrankRuehl"/>
          <w:rtl/>
        </w:rPr>
      </w:pPr>
      <w:bookmarkStart w:id="7" w:name="Seif7"/>
      <w:bookmarkEnd w:id="7"/>
      <w:r>
        <w:rPr>
          <w:lang w:val="he-IL"/>
        </w:rPr>
        <w:pict w14:anchorId="1B822EEF">
          <v:rect id="_x0000_s1033" style="position:absolute;left:0;text-align:left;margin-left:464.5pt;margin-top:8.05pt;width:75.05pt;height:16pt;z-index:251655680" o:allowincell="f" filled="f" stroked="f" strokecolor="lime" strokeweight=".25pt">
            <v:textbox inset="0,0,0,0">
              <w:txbxContent>
                <w:p w14:paraId="5D6F5D61" w14:textId="77777777" w:rsidR="00920DCA" w:rsidRDefault="00920DCA">
                  <w:pPr>
                    <w:spacing w:line="160" w:lineRule="exact"/>
                    <w:jc w:val="left"/>
                    <w:rPr>
                      <w:rFonts w:cs="Miriam"/>
                      <w:sz w:val="18"/>
                      <w:szCs w:val="18"/>
                      <w:rtl/>
                    </w:rPr>
                  </w:pPr>
                  <w:r>
                    <w:rPr>
                      <w:rFonts w:cs="Miriam"/>
                      <w:sz w:val="18"/>
                      <w:szCs w:val="18"/>
                      <w:rtl/>
                    </w:rPr>
                    <w:t>הפ</w:t>
                  </w:r>
                  <w:r>
                    <w:rPr>
                      <w:rFonts w:cs="Miriam" w:hint="cs"/>
                      <w:sz w:val="18"/>
                      <w:szCs w:val="18"/>
                      <w:rtl/>
                    </w:rPr>
                    <w:t xml:space="preserve">סקת תנועת </w:t>
                  </w:r>
                </w:p>
                <w:p w14:paraId="145E3F90" w14:textId="77777777" w:rsidR="00920DCA" w:rsidRDefault="00920DCA">
                  <w:pPr>
                    <w:spacing w:line="160" w:lineRule="exact"/>
                    <w:jc w:val="left"/>
                    <w:rPr>
                      <w:rFonts w:cs="Miriam"/>
                      <w:noProof/>
                      <w:sz w:val="18"/>
                      <w:szCs w:val="18"/>
                      <w:rtl/>
                    </w:rPr>
                  </w:pPr>
                  <w:r>
                    <w:rPr>
                      <w:rFonts w:cs="Miriam" w:hint="cs"/>
                      <w:sz w:val="18"/>
                      <w:szCs w:val="18"/>
                      <w:rtl/>
                    </w:rPr>
                    <w:t>ב</w:t>
                  </w:r>
                  <w:r>
                    <w:rPr>
                      <w:rFonts w:cs="Miriam"/>
                      <w:sz w:val="18"/>
                      <w:szCs w:val="18"/>
                      <w:rtl/>
                    </w:rPr>
                    <w:t>ע</w:t>
                  </w:r>
                  <w:r>
                    <w:rPr>
                      <w:rFonts w:cs="Miriam" w:hint="cs"/>
                      <w:sz w:val="18"/>
                      <w:szCs w:val="18"/>
                      <w:rtl/>
                    </w:rPr>
                    <w:t>לי חיים</w:t>
                  </w:r>
                </w:p>
              </w:txbxContent>
            </v:textbox>
            <w10:anchorlock/>
          </v:rect>
        </w:pict>
      </w:r>
      <w:r>
        <w:rPr>
          <w:rStyle w:val="big-number"/>
          <w:rFonts w:cs="Miriam"/>
          <w:rtl/>
        </w:rPr>
        <w:t>8.</w:t>
      </w:r>
      <w:r>
        <w:rPr>
          <w:rStyle w:val="big-number"/>
          <w:rFonts w:cs="Miriam"/>
          <w:rtl/>
        </w:rPr>
        <w:tab/>
      </w:r>
      <w:r>
        <w:rPr>
          <w:rStyle w:val="default"/>
          <w:rFonts w:cs="FrankRuehl"/>
          <w:rtl/>
        </w:rPr>
        <w:t>בה</w:t>
      </w:r>
      <w:r>
        <w:rPr>
          <w:rStyle w:val="default"/>
          <w:rFonts w:cs="FrankRuehl" w:hint="cs"/>
          <w:rtl/>
        </w:rPr>
        <w:t>ישמע אות אזעקה, חייב אדם הנוהג בדרך עירונית בבעל חיים, בין אם הוא רתום לרכב ובין אם לאו, לעצור מיד את בעל החיים ולקשרו אל עצם קבוע ומחובר למקום, באופן שבעל החיים לא יוכל לשוטט בדרך, ולא יתיר את בעל</w:t>
      </w:r>
      <w:r>
        <w:rPr>
          <w:rStyle w:val="default"/>
          <w:rFonts w:cs="FrankRuehl"/>
          <w:rtl/>
        </w:rPr>
        <w:t xml:space="preserve"> </w:t>
      </w:r>
      <w:r>
        <w:rPr>
          <w:rStyle w:val="default"/>
          <w:rFonts w:cs="FrankRuehl" w:hint="cs"/>
          <w:rtl/>
        </w:rPr>
        <w:t>החי</w:t>
      </w:r>
      <w:r>
        <w:rPr>
          <w:rStyle w:val="default"/>
          <w:rFonts w:cs="FrankRuehl"/>
          <w:rtl/>
        </w:rPr>
        <w:t>ים</w:t>
      </w:r>
      <w:r>
        <w:rPr>
          <w:rStyle w:val="default"/>
          <w:rFonts w:cs="FrankRuehl" w:hint="cs"/>
          <w:rtl/>
        </w:rPr>
        <w:t xml:space="preserve"> כל עוד לא ניתן אות ארגעה או הוראה מטעם חבר הגא בתפקיד.</w:t>
      </w:r>
    </w:p>
    <w:p w14:paraId="1F6109E0" w14:textId="77777777" w:rsidR="00920DCA" w:rsidRDefault="00920DCA">
      <w:pPr>
        <w:pStyle w:val="P00"/>
        <w:spacing w:before="72"/>
        <w:ind w:left="0" w:right="1134"/>
        <w:rPr>
          <w:rStyle w:val="default"/>
          <w:rFonts w:cs="FrankRuehl"/>
          <w:rtl/>
        </w:rPr>
      </w:pPr>
      <w:bookmarkStart w:id="8" w:name="Seif8"/>
      <w:bookmarkEnd w:id="8"/>
      <w:r>
        <w:rPr>
          <w:lang w:val="he-IL"/>
        </w:rPr>
        <w:pict w14:anchorId="6C4F373A">
          <v:rect id="_x0000_s1034" style="position:absolute;left:0;text-align:left;margin-left:464.5pt;margin-top:8.05pt;width:75.05pt;height:8pt;z-index:251656704" o:allowincell="f" filled="f" stroked="f" strokecolor="lime" strokeweight=".25pt">
            <v:textbox inset="0,0,0,0">
              <w:txbxContent>
                <w:p w14:paraId="20BF7827" w14:textId="77777777" w:rsidR="00920DCA" w:rsidRDefault="00920DCA">
                  <w:pPr>
                    <w:spacing w:line="160" w:lineRule="exact"/>
                    <w:jc w:val="left"/>
                    <w:rPr>
                      <w:rFonts w:cs="Miriam"/>
                      <w:noProof/>
                      <w:sz w:val="18"/>
                      <w:szCs w:val="18"/>
                      <w:rtl/>
                    </w:rPr>
                  </w:pPr>
                  <w:r>
                    <w:rPr>
                      <w:rFonts w:cs="Miriam"/>
                      <w:sz w:val="18"/>
                      <w:szCs w:val="18"/>
                      <w:rtl/>
                    </w:rPr>
                    <w:t>הר</w:t>
                  </w:r>
                  <w:r>
                    <w:rPr>
                      <w:rFonts w:cs="Miriam" w:hint="cs"/>
                      <w:sz w:val="18"/>
                      <w:szCs w:val="18"/>
                      <w:rtl/>
                    </w:rPr>
                    <w:t>חקת רכב מדר</w:t>
                  </w:r>
                  <w:r>
                    <w:rPr>
                      <w:rFonts w:cs="Miriam"/>
                      <w:sz w:val="18"/>
                      <w:szCs w:val="18"/>
                      <w:rtl/>
                    </w:rPr>
                    <w:t>ך</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צא שוטר או חבר הגא בתפקיד רכב עומד או חונה בדרך, שלא בהתאם לתקנות </w:t>
      </w:r>
      <w:r>
        <w:rPr>
          <w:rStyle w:val="default"/>
          <w:rFonts w:cs="FrankRuehl" w:hint="cs"/>
          <w:rtl/>
        </w:rPr>
        <w:lastRenderedPageBreak/>
        <w:t xml:space="preserve">אלה, או במקום שיש בו כדי להפריע לפעולות ההתגוננות האזרחית, רשאי הוא להורות את הנוהג או אדם אחר האחראי </w:t>
      </w:r>
      <w:r>
        <w:rPr>
          <w:rStyle w:val="default"/>
          <w:rFonts w:cs="FrankRuehl"/>
          <w:rtl/>
        </w:rPr>
        <w:t>ל</w:t>
      </w:r>
      <w:r>
        <w:rPr>
          <w:rStyle w:val="default"/>
          <w:rFonts w:cs="FrankRuehl" w:hint="cs"/>
          <w:rtl/>
        </w:rPr>
        <w:t>רכב להרחיקו מאותו מק</w:t>
      </w:r>
      <w:r>
        <w:rPr>
          <w:rStyle w:val="default"/>
          <w:rFonts w:cs="FrankRuehl"/>
          <w:rtl/>
        </w:rPr>
        <w:t>ום</w:t>
      </w:r>
      <w:r>
        <w:rPr>
          <w:rStyle w:val="default"/>
          <w:rFonts w:cs="FrankRuehl" w:hint="cs"/>
          <w:rtl/>
        </w:rPr>
        <w:t>.</w:t>
      </w:r>
    </w:p>
    <w:p w14:paraId="68C4A98B"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ירב או נמנע הנוהג או האדם האחראי לרכב למלא אחרי ההוראה או לא נמצא אותה שעה באותו מקום, רשאי השוטר או חבר הגא בתפקיד, מבלי לפטור בזה את הנוהג או את האדם האחראי לרכב מאחריות פלילית לפי תקנת משנה (א) או לפי כל תקנה אחרת, להרחיק </w:t>
      </w:r>
      <w:r>
        <w:rPr>
          <w:rStyle w:val="default"/>
          <w:rFonts w:cs="FrankRuehl"/>
          <w:rtl/>
        </w:rPr>
        <w:t>א</w:t>
      </w:r>
      <w:r>
        <w:rPr>
          <w:rStyle w:val="default"/>
          <w:rFonts w:cs="FrankRuehl" w:hint="cs"/>
          <w:rtl/>
        </w:rPr>
        <w:t>ת הרכב בין בעצמו ובי</w:t>
      </w:r>
      <w:r>
        <w:rPr>
          <w:rStyle w:val="default"/>
          <w:rFonts w:cs="FrankRuehl"/>
          <w:rtl/>
        </w:rPr>
        <w:t xml:space="preserve">ן </w:t>
      </w:r>
      <w:r>
        <w:rPr>
          <w:rStyle w:val="default"/>
          <w:rFonts w:cs="FrankRuehl" w:hint="cs"/>
          <w:rtl/>
        </w:rPr>
        <w:t>על ידי אחרים.</w:t>
      </w:r>
    </w:p>
    <w:p w14:paraId="5BA92B29" w14:textId="77777777" w:rsidR="00920DCA" w:rsidRDefault="00920DCA">
      <w:pPr>
        <w:pStyle w:val="P00"/>
        <w:spacing w:before="72"/>
        <w:ind w:left="0" w:right="1134"/>
        <w:rPr>
          <w:rStyle w:val="default"/>
          <w:rFonts w:cs="FrankRuehl"/>
          <w:rtl/>
        </w:rPr>
      </w:pPr>
      <w:bookmarkStart w:id="9" w:name="Seif9"/>
      <w:bookmarkEnd w:id="9"/>
      <w:r>
        <w:rPr>
          <w:lang w:val="he-IL"/>
        </w:rPr>
        <w:pict w14:anchorId="360692F3">
          <v:rect id="_x0000_s1035" style="position:absolute;left:0;text-align:left;margin-left:464.5pt;margin-top:8.05pt;width:75.05pt;height:16pt;z-index:251657728" o:allowincell="f" filled="f" stroked="f" strokecolor="lime" strokeweight=".25pt">
            <v:textbox inset="0,0,0,0">
              <w:txbxContent>
                <w:p w14:paraId="4CCFF2D6" w14:textId="77777777" w:rsidR="00920DCA" w:rsidRDefault="00920DCA">
                  <w:pPr>
                    <w:spacing w:line="160" w:lineRule="exact"/>
                    <w:jc w:val="left"/>
                    <w:rPr>
                      <w:rFonts w:cs="Miriam"/>
                      <w:noProof/>
                      <w:sz w:val="18"/>
                      <w:szCs w:val="18"/>
                      <w:rtl/>
                    </w:rPr>
                  </w:pPr>
                  <w:r>
                    <w:rPr>
                      <w:rFonts w:cs="Miriam"/>
                      <w:sz w:val="18"/>
                      <w:szCs w:val="18"/>
                      <w:rtl/>
                    </w:rPr>
                    <w:t>צי</w:t>
                  </w:r>
                  <w:r>
                    <w:rPr>
                      <w:rFonts w:cs="Miriam" w:hint="cs"/>
                      <w:sz w:val="18"/>
                      <w:szCs w:val="18"/>
                      <w:rtl/>
                    </w:rPr>
                    <w:t>וד רכב</w:t>
                  </w:r>
                </w:p>
                <w:p w14:paraId="60A3D115" w14:textId="77777777" w:rsidR="00920DCA" w:rsidRDefault="00920DCA">
                  <w:pPr>
                    <w:spacing w:line="160" w:lineRule="exact"/>
                    <w:jc w:val="left"/>
                    <w:rPr>
                      <w:rFonts w:cs="Miriam"/>
                      <w:noProof/>
                      <w:sz w:val="18"/>
                      <w:szCs w:val="18"/>
                      <w:rtl/>
                    </w:rPr>
                  </w:pPr>
                  <w:r>
                    <w:rPr>
                      <w:rFonts w:cs="Miriam"/>
                      <w:sz w:val="18"/>
                      <w:szCs w:val="18"/>
                      <w:rtl/>
                    </w:rPr>
                    <w:t>בכ</w:t>
                  </w:r>
                  <w:r>
                    <w:rPr>
                      <w:rFonts w:cs="Miriam" w:hint="cs"/>
                      <w:sz w:val="18"/>
                      <w:szCs w:val="18"/>
                      <w:rtl/>
                    </w:rPr>
                    <w:t>בל גרירה</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ינהג אדם ברכב בנפח העולה על 3 טון, אלא אם אותו רכב מצוייד בכבל גרירה או באמצעי גרירה אחר, שארכו אינו פחות משלושה מטרים.</w:t>
      </w:r>
    </w:p>
    <w:p w14:paraId="03E9B2CB" w14:textId="77777777" w:rsidR="00920DCA" w:rsidRDefault="00920DCA">
      <w:pPr>
        <w:pStyle w:val="P00"/>
        <w:spacing w:before="72"/>
        <w:ind w:left="0" w:right="1134"/>
        <w:rPr>
          <w:rStyle w:val="default"/>
          <w:rFonts w:cs="FrankRuehl"/>
          <w:rtl/>
        </w:rPr>
      </w:pPr>
      <w:bookmarkStart w:id="10" w:name="Seif10"/>
      <w:bookmarkEnd w:id="10"/>
      <w:r>
        <w:rPr>
          <w:lang w:val="he-IL"/>
        </w:rPr>
        <w:pict w14:anchorId="354036E4">
          <v:rect id="_x0000_s1036" style="position:absolute;left:0;text-align:left;margin-left:464.5pt;margin-top:8.05pt;width:75.05pt;height:16pt;z-index:251658752" o:allowincell="f" filled="f" stroked="f" strokecolor="lime" strokeweight=".25pt">
            <v:textbox inset="0,0,0,0">
              <w:txbxContent>
                <w:p w14:paraId="15D06E6D" w14:textId="77777777" w:rsidR="00920DCA" w:rsidRDefault="00920DCA">
                  <w:pPr>
                    <w:spacing w:line="160" w:lineRule="exact"/>
                    <w:jc w:val="left"/>
                    <w:rPr>
                      <w:rFonts w:cs="Miriam"/>
                      <w:noProof/>
                      <w:sz w:val="18"/>
                      <w:szCs w:val="18"/>
                      <w:rtl/>
                    </w:rPr>
                  </w:pPr>
                  <w:r>
                    <w:rPr>
                      <w:rFonts w:cs="Miriam"/>
                      <w:sz w:val="18"/>
                      <w:szCs w:val="18"/>
                      <w:rtl/>
                    </w:rPr>
                    <w:t>הג</w:t>
                  </w:r>
                  <w:r>
                    <w:rPr>
                      <w:rFonts w:cs="Miriam" w:hint="cs"/>
                      <w:sz w:val="18"/>
                      <w:szCs w:val="18"/>
                      <w:rtl/>
                    </w:rPr>
                    <w:t>בלת מהירות בשעות איפול</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ינהג אדם בשעות האיפול ברכב, יהא סוג הרכב אשר יהא, בדרך עירונית במהירות העולה על </w:t>
      </w:r>
      <w:smartTag w:uri="urn:schemas-microsoft-com:office:smarttags" w:element="metricconverter">
        <w:smartTagPr>
          <w:attr w:name="ProductID" w:val="25 קילומטרים"/>
        </w:smartTagPr>
        <w:r>
          <w:rPr>
            <w:rStyle w:val="default"/>
            <w:rFonts w:cs="FrankRuehl" w:hint="cs"/>
            <w:rtl/>
          </w:rPr>
          <w:t>25 קילומטרים</w:t>
        </w:r>
      </w:smartTag>
      <w:r>
        <w:rPr>
          <w:rStyle w:val="default"/>
          <w:rFonts w:cs="FrankRuehl" w:hint="cs"/>
          <w:rtl/>
        </w:rPr>
        <w:t xml:space="preserve"> לשעה, ובדרך</w:t>
      </w:r>
      <w:r>
        <w:rPr>
          <w:rStyle w:val="default"/>
          <w:rFonts w:cs="FrankRuehl"/>
          <w:rtl/>
        </w:rPr>
        <w:t xml:space="preserve"> ש</w:t>
      </w:r>
      <w:r>
        <w:rPr>
          <w:rStyle w:val="default"/>
          <w:rFonts w:cs="FrankRuehl" w:hint="cs"/>
          <w:rtl/>
        </w:rPr>
        <w:t xml:space="preserve">איננה דרך עירונית </w:t>
      </w:r>
      <w:r>
        <w:rPr>
          <w:rStyle w:val="default"/>
          <w:rFonts w:cs="FrankRuehl"/>
          <w:rtl/>
        </w:rPr>
        <w:t xml:space="preserve">— </w:t>
      </w:r>
      <w:r>
        <w:rPr>
          <w:rStyle w:val="default"/>
          <w:rFonts w:cs="FrankRuehl" w:hint="cs"/>
          <w:rtl/>
        </w:rPr>
        <w:t xml:space="preserve">במהירות העולה על </w:t>
      </w:r>
      <w:smartTag w:uri="urn:schemas-microsoft-com:office:smarttags" w:element="metricconverter">
        <w:smartTagPr>
          <w:attr w:name="ProductID" w:val="40 קילומטרים"/>
        </w:smartTagPr>
        <w:r>
          <w:rPr>
            <w:rStyle w:val="default"/>
            <w:rFonts w:cs="FrankRuehl" w:hint="cs"/>
            <w:rtl/>
          </w:rPr>
          <w:t>40 קילומטרים</w:t>
        </w:r>
      </w:smartTag>
      <w:r>
        <w:rPr>
          <w:rStyle w:val="default"/>
          <w:rFonts w:cs="FrankRuehl" w:hint="cs"/>
          <w:rtl/>
        </w:rPr>
        <w:t xml:space="preserve"> לשעה.</w:t>
      </w:r>
    </w:p>
    <w:p w14:paraId="377CC2A1" w14:textId="77777777" w:rsidR="00920DCA" w:rsidRDefault="00920DCA">
      <w:pPr>
        <w:pStyle w:val="page"/>
        <w:widowControl/>
        <w:ind w:right="1134"/>
        <w:rPr>
          <w:rFonts w:cs="David"/>
          <w:position w:val="0"/>
          <w:sz w:val="22"/>
          <w:rtl/>
        </w:rPr>
      </w:pPr>
      <w:r>
        <w:rPr>
          <w:rFonts w:cs="David"/>
          <w:position w:val="0"/>
          <w:sz w:val="22"/>
          <w:rtl/>
        </w:rPr>
        <w:t xml:space="preserve"> </w:t>
      </w:r>
    </w:p>
    <w:p w14:paraId="48436CC2" w14:textId="77777777" w:rsidR="00920DCA" w:rsidRDefault="00920DCA">
      <w:pPr>
        <w:pStyle w:val="P00"/>
        <w:spacing w:before="72"/>
        <w:ind w:left="0" w:right="1134"/>
        <w:rPr>
          <w:rStyle w:val="default"/>
          <w:rFonts w:cs="FrankRuehl"/>
          <w:rtl/>
        </w:rPr>
      </w:pPr>
      <w:bookmarkStart w:id="11" w:name="Seif11"/>
      <w:bookmarkEnd w:id="11"/>
      <w:r>
        <w:rPr>
          <w:lang w:val="he-IL"/>
        </w:rPr>
        <w:pict w14:anchorId="7B868EA8">
          <v:rect id="_x0000_s1037" style="position:absolute;left:0;text-align:left;margin-left:464.5pt;margin-top:8.05pt;width:75.05pt;height:16pt;z-index:251659776" o:allowincell="f" filled="f" stroked="f" strokecolor="lime" strokeweight=".25pt">
            <v:textbox inset="0,0,0,0">
              <w:txbxContent>
                <w:p w14:paraId="58722634" w14:textId="77777777" w:rsidR="00920DCA" w:rsidRDefault="00920DCA">
                  <w:pPr>
                    <w:spacing w:line="160" w:lineRule="exact"/>
                    <w:jc w:val="left"/>
                    <w:rPr>
                      <w:rFonts w:cs="Miriam"/>
                      <w:noProof/>
                      <w:sz w:val="18"/>
                      <w:szCs w:val="18"/>
                      <w:rtl/>
                    </w:rPr>
                  </w:pPr>
                  <w:r>
                    <w:rPr>
                      <w:rFonts w:cs="Miriam"/>
                      <w:sz w:val="18"/>
                      <w:szCs w:val="18"/>
                      <w:rtl/>
                    </w:rPr>
                    <w:t>הג</w:t>
                  </w:r>
                  <w:r>
                    <w:rPr>
                      <w:rFonts w:cs="Miriam" w:hint="cs"/>
                      <w:sz w:val="18"/>
                      <w:szCs w:val="18"/>
                      <w:rtl/>
                    </w:rPr>
                    <w:t>בלת</w:t>
                  </w:r>
                </w:p>
                <w:p w14:paraId="2E306DA3" w14:textId="77777777" w:rsidR="00920DCA" w:rsidRDefault="00920DCA">
                  <w:pPr>
                    <w:spacing w:line="160" w:lineRule="exact"/>
                    <w:jc w:val="left"/>
                    <w:rPr>
                      <w:rFonts w:cs="Miriam"/>
                      <w:noProof/>
                      <w:sz w:val="18"/>
                      <w:szCs w:val="18"/>
                      <w:rtl/>
                    </w:rPr>
                  </w:pPr>
                  <w:r>
                    <w:rPr>
                      <w:rFonts w:cs="Miriam"/>
                      <w:sz w:val="18"/>
                      <w:szCs w:val="18"/>
                      <w:rtl/>
                    </w:rPr>
                    <w:t>הש</w:t>
                  </w:r>
                  <w:r>
                    <w:rPr>
                      <w:rFonts w:cs="Miriam" w:hint="cs"/>
                      <w:sz w:val="18"/>
                      <w:szCs w:val="18"/>
                      <w:rtl/>
                    </w:rPr>
                    <w:t>ימוש בדרך</w:t>
                  </w:r>
                </w:p>
              </w:txbxContent>
            </v:textbox>
            <w10:anchorlock/>
          </v:rect>
        </w:pict>
      </w:r>
      <w:r>
        <w:rPr>
          <w:rStyle w:val="big-number"/>
          <w:rFonts w:cs="Miriam"/>
          <w:rtl/>
        </w:rPr>
        <w:t>12.</w:t>
      </w:r>
      <w:r>
        <w:rPr>
          <w:rStyle w:val="big-number"/>
          <w:rFonts w:cs="Miriam"/>
          <w:rtl/>
        </w:rPr>
        <w:tab/>
      </w:r>
      <w:r>
        <w:rPr>
          <w:rStyle w:val="default"/>
          <w:rFonts w:cs="FrankRuehl"/>
          <w:rtl/>
        </w:rPr>
        <w:t>מפ</w:t>
      </w:r>
      <w:r>
        <w:rPr>
          <w:rStyle w:val="default"/>
          <w:rFonts w:cs="FrankRuehl" w:hint="cs"/>
          <w:rtl/>
        </w:rPr>
        <w:t>קד הגא מחוזי רשאי לאסור או להגביל, בצו במודעה או בתמרור, את השימוש בדרך או בחלק הימנה, וכן את הכניסה אליה ואת היציאה ממנה, לרכב או לסוג מיוחד של רכב, להולכי רגל או ל</w:t>
      </w:r>
      <w:r>
        <w:rPr>
          <w:rStyle w:val="default"/>
          <w:rFonts w:cs="FrankRuehl"/>
          <w:rtl/>
        </w:rPr>
        <w:t>בע</w:t>
      </w:r>
      <w:r>
        <w:rPr>
          <w:rStyle w:val="default"/>
          <w:rFonts w:cs="FrankRuehl" w:hint="cs"/>
          <w:rtl/>
        </w:rPr>
        <w:t>לי חיים או לקבוע תנאים שלפיהם יותר השימוש בדרך, ובלבד שמפקד הגא מחוזי יהיה משוכנע שהדבר דרוש לצרכי התגוננות אזרחית.</w:t>
      </w:r>
    </w:p>
    <w:p w14:paraId="5DB0393F" w14:textId="77777777" w:rsidR="00920DCA" w:rsidRDefault="00920DCA">
      <w:pPr>
        <w:pStyle w:val="P00"/>
        <w:spacing w:before="72"/>
        <w:ind w:left="0" w:right="1134"/>
        <w:rPr>
          <w:rStyle w:val="default"/>
          <w:rFonts w:cs="FrankRuehl"/>
          <w:rtl/>
        </w:rPr>
      </w:pPr>
      <w:bookmarkStart w:id="12" w:name="Seif12"/>
      <w:bookmarkEnd w:id="12"/>
      <w:r>
        <w:rPr>
          <w:lang w:val="he-IL"/>
        </w:rPr>
        <w:pict w14:anchorId="741BCE52">
          <v:rect id="_x0000_s1038" style="position:absolute;left:0;text-align:left;margin-left:464.5pt;margin-top:8.05pt;width:75.05pt;height:24pt;z-index:251660800" o:allowincell="f" filled="f" stroked="f" strokecolor="lime" strokeweight=".25pt">
            <v:textbox inset="0,0,0,0">
              <w:txbxContent>
                <w:p w14:paraId="54639022" w14:textId="77777777" w:rsidR="00920DCA" w:rsidRDefault="00920DCA">
                  <w:pPr>
                    <w:spacing w:line="160" w:lineRule="exact"/>
                    <w:jc w:val="left"/>
                    <w:rPr>
                      <w:rFonts w:cs="Miriam"/>
                      <w:noProof/>
                      <w:sz w:val="18"/>
                      <w:szCs w:val="18"/>
                      <w:rtl/>
                    </w:rPr>
                  </w:pPr>
                  <w:r>
                    <w:rPr>
                      <w:rFonts w:cs="Miriam"/>
                      <w:sz w:val="18"/>
                      <w:szCs w:val="18"/>
                      <w:rtl/>
                    </w:rPr>
                    <w:t>זכ</w:t>
                  </w:r>
                  <w:r>
                    <w:rPr>
                      <w:rFonts w:cs="Miriam" w:hint="cs"/>
                      <w:sz w:val="18"/>
                      <w:szCs w:val="18"/>
                      <w:rtl/>
                    </w:rPr>
                    <w:t>ות קדימה</w:t>
                  </w:r>
                </w:p>
                <w:p w14:paraId="0A9D4378" w14:textId="77777777" w:rsidR="00920DCA" w:rsidRDefault="00920DCA">
                  <w:pPr>
                    <w:spacing w:line="160" w:lineRule="exact"/>
                    <w:jc w:val="left"/>
                    <w:rPr>
                      <w:rFonts w:cs="Miriam"/>
                      <w:noProof/>
                      <w:sz w:val="18"/>
                      <w:szCs w:val="18"/>
                      <w:rtl/>
                    </w:rPr>
                  </w:pPr>
                  <w:r>
                    <w:rPr>
                      <w:rFonts w:cs="Miriam"/>
                      <w:sz w:val="18"/>
                      <w:szCs w:val="18"/>
                      <w:rtl/>
                    </w:rPr>
                    <w:t>לר</w:t>
                  </w:r>
                  <w:r>
                    <w:rPr>
                      <w:rFonts w:cs="Miriam" w:hint="cs"/>
                      <w:sz w:val="18"/>
                      <w:szCs w:val="18"/>
                      <w:rtl/>
                    </w:rPr>
                    <w:t>כב בשירות</w:t>
                  </w:r>
                </w:p>
                <w:p w14:paraId="4E320146" w14:textId="77777777" w:rsidR="00920DCA" w:rsidRDefault="00920DCA">
                  <w:pPr>
                    <w:spacing w:line="160" w:lineRule="exact"/>
                    <w:jc w:val="left"/>
                    <w:rPr>
                      <w:rFonts w:cs="Miriam"/>
                      <w:noProof/>
                      <w:sz w:val="18"/>
                      <w:szCs w:val="18"/>
                      <w:rtl/>
                    </w:rPr>
                  </w:pPr>
                  <w:r>
                    <w:rPr>
                      <w:rFonts w:cs="Miriam"/>
                      <w:sz w:val="18"/>
                      <w:szCs w:val="18"/>
                      <w:rtl/>
                    </w:rPr>
                    <w:t>הג</w:t>
                  </w:r>
                  <w:r>
                    <w:rPr>
                      <w:rFonts w:cs="Miriam" w:hint="cs"/>
                      <w:sz w:val="18"/>
                      <w:szCs w:val="18"/>
                      <w:rtl/>
                    </w:rPr>
                    <w:t>א</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ראות תקנה 59</w:t>
      </w:r>
      <w:r>
        <w:rPr>
          <w:rStyle w:val="default"/>
          <w:rFonts w:cs="FrankRuehl"/>
          <w:rtl/>
        </w:rPr>
        <w:t xml:space="preserve"> </w:t>
      </w:r>
      <w:r>
        <w:rPr>
          <w:rStyle w:val="default"/>
          <w:rFonts w:cs="FrankRuehl" w:hint="cs"/>
          <w:rtl/>
        </w:rPr>
        <w:t>לתקנות התעבורה (סדרי תנועה), תשי"ג</w:t>
      </w:r>
      <w:r>
        <w:rPr>
          <w:rStyle w:val="default"/>
          <w:rFonts w:cs="FrankRuehl"/>
          <w:rtl/>
        </w:rPr>
        <w:t xml:space="preserve">–1953, </w:t>
      </w:r>
      <w:r>
        <w:rPr>
          <w:rStyle w:val="default"/>
          <w:rFonts w:cs="FrankRuehl" w:hint="cs"/>
          <w:rtl/>
        </w:rPr>
        <w:t>יחולו על רכב בשרות הגא כאילו היה רכב בטחון.</w:t>
      </w:r>
    </w:p>
    <w:p w14:paraId="4C911FDF"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כב בשירות הגא", לענין תקנה זו,</w:t>
      </w:r>
      <w:r>
        <w:rPr>
          <w:rStyle w:val="default"/>
          <w:rFonts w:cs="FrankRuehl"/>
          <w:rtl/>
        </w:rPr>
        <w:t xml:space="preserve"> ה</w:t>
      </w:r>
      <w:r>
        <w:rPr>
          <w:rStyle w:val="default"/>
          <w:rFonts w:cs="FrankRuehl" w:hint="cs"/>
          <w:rtl/>
        </w:rPr>
        <w:t>וא רכב הגא כשהוא נוסע בתפקיד, ופנס המותקן בחזיתו ומאחוריו מפיץ אור ירוק, או רכב כאמור המשמיע צלצול בפעמון.</w:t>
      </w:r>
    </w:p>
    <w:p w14:paraId="76807CC2" w14:textId="77777777" w:rsidR="00920DCA" w:rsidRDefault="00920DCA">
      <w:pPr>
        <w:pStyle w:val="P00"/>
        <w:spacing w:before="72"/>
        <w:ind w:left="0" w:right="1134"/>
        <w:rPr>
          <w:rStyle w:val="default"/>
          <w:rFonts w:cs="FrankRuehl"/>
          <w:rtl/>
        </w:rPr>
      </w:pPr>
      <w:bookmarkStart w:id="13" w:name="Seif13"/>
      <w:bookmarkEnd w:id="13"/>
      <w:r>
        <w:rPr>
          <w:lang w:val="he-IL"/>
        </w:rPr>
        <w:pict w14:anchorId="69C71367">
          <v:rect id="_x0000_s1039" style="position:absolute;left:0;text-align:left;margin-left:464.5pt;margin-top:8.05pt;width:75.05pt;height:24pt;z-index:251661824" o:allowincell="f" filled="f" stroked="f" strokecolor="lime" strokeweight=".25pt">
            <v:textbox inset="0,0,0,0">
              <w:txbxContent>
                <w:p w14:paraId="796A2200" w14:textId="77777777" w:rsidR="00920DCA" w:rsidRDefault="00920DCA">
                  <w:pPr>
                    <w:spacing w:line="160" w:lineRule="exact"/>
                    <w:jc w:val="left"/>
                    <w:rPr>
                      <w:rFonts w:cs="Miriam"/>
                      <w:noProof/>
                      <w:sz w:val="18"/>
                      <w:szCs w:val="18"/>
                      <w:rtl/>
                    </w:rPr>
                  </w:pPr>
                  <w:r>
                    <w:rPr>
                      <w:rFonts w:cs="Miriam"/>
                      <w:sz w:val="18"/>
                      <w:szCs w:val="18"/>
                      <w:rtl/>
                    </w:rPr>
                    <w:t>כל</w:t>
                  </w:r>
                  <w:r>
                    <w:rPr>
                      <w:rFonts w:cs="Miriam" w:hint="cs"/>
                      <w:sz w:val="18"/>
                      <w:szCs w:val="18"/>
                      <w:rtl/>
                    </w:rPr>
                    <w:t>י רכב</w:t>
                  </w:r>
                </w:p>
                <w:p w14:paraId="77A75D0C" w14:textId="77777777" w:rsidR="00920DCA" w:rsidRDefault="00920DCA">
                  <w:pPr>
                    <w:spacing w:line="160" w:lineRule="exact"/>
                    <w:jc w:val="left"/>
                    <w:rPr>
                      <w:rFonts w:cs="Miriam"/>
                      <w:noProof/>
                      <w:sz w:val="18"/>
                      <w:szCs w:val="18"/>
                      <w:rtl/>
                    </w:rPr>
                  </w:pPr>
                  <w:r>
                    <w:rPr>
                      <w:rFonts w:cs="Miriam"/>
                      <w:sz w:val="18"/>
                      <w:szCs w:val="18"/>
                      <w:rtl/>
                    </w:rPr>
                    <w:t>שנ</w:t>
                  </w:r>
                  <w:r>
                    <w:rPr>
                      <w:rFonts w:cs="Miriam" w:hint="cs"/>
                      <w:sz w:val="18"/>
                      <w:szCs w:val="18"/>
                      <w:rtl/>
                    </w:rPr>
                    <w:t>היגתו אסורה בשעות איפול</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ינהג אדם בשעות האיפול רכב שרוחב חוץ שלו עולה על שני מטרים וארבעים וארבעה סנטימטרים, אלא לפי היתר מאת ראש הגא או מאת מי שהוסמך על ידיו לכך א</w:t>
      </w:r>
      <w:r>
        <w:rPr>
          <w:rStyle w:val="default"/>
          <w:rFonts w:cs="FrankRuehl"/>
          <w:rtl/>
        </w:rPr>
        <w:t xml:space="preserve">ו </w:t>
      </w:r>
      <w:r>
        <w:rPr>
          <w:rStyle w:val="default"/>
          <w:rFonts w:cs="FrankRuehl" w:hint="cs"/>
          <w:rtl/>
        </w:rPr>
        <w:t>לפי היתר מאת ראש מחלקת התנועה במטה הארצי של המשטרה או מאת מי שהוסמך לכך על ידיו.</w:t>
      </w:r>
    </w:p>
    <w:p w14:paraId="3A3F1B02" w14:textId="77777777" w:rsidR="00920DCA" w:rsidRDefault="00920DC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וחב חוץ" לענין </w:t>
      </w:r>
      <w:r>
        <w:rPr>
          <w:rStyle w:val="default"/>
          <w:rFonts w:cs="FrankRuehl"/>
          <w:rtl/>
        </w:rPr>
        <w:t>ת</w:t>
      </w:r>
      <w:r>
        <w:rPr>
          <w:rStyle w:val="default"/>
          <w:rFonts w:cs="FrankRuehl" w:hint="cs"/>
          <w:rtl/>
        </w:rPr>
        <w:t>קנה זו, הוא הרוחב שבין הקווים המקבילים העוברים דרך הנקודות הקיצוניות ביותר שבצלעי הרכב, למעט ראי הנהג.</w:t>
      </w:r>
    </w:p>
    <w:p w14:paraId="21FBF15F" w14:textId="77777777" w:rsidR="00920DCA" w:rsidRDefault="00920DCA">
      <w:pPr>
        <w:pStyle w:val="P00"/>
        <w:spacing w:before="72"/>
        <w:ind w:left="0" w:right="1134"/>
        <w:rPr>
          <w:rStyle w:val="default"/>
          <w:rFonts w:cs="FrankRuehl"/>
          <w:rtl/>
        </w:rPr>
      </w:pPr>
      <w:bookmarkStart w:id="14" w:name="Seif14"/>
      <w:bookmarkEnd w:id="14"/>
      <w:r>
        <w:rPr>
          <w:lang w:val="he-IL"/>
        </w:rPr>
        <w:pict w14:anchorId="15403AC0">
          <v:rect id="_x0000_s1040" style="position:absolute;left:0;text-align:left;margin-left:464.5pt;margin-top:8.05pt;width:75.05pt;height:16pt;z-index:251662848" o:allowincell="f" filled="f" stroked="f" strokecolor="lime" strokeweight=".25pt">
            <v:textbox inset="0,0,0,0">
              <w:txbxContent>
                <w:p w14:paraId="05155B7F" w14:textId="77777777" w:rsidR="00920DCA" w:rsidRDefault="00920DCA">
                  <w:pPr>
                    <w:spacing w:line="160" w:lineRule="exact"/>
                    <w:jc w:val="left"/>
                    <w:rPr>
                      <w:rFonts w:cs="Miriam"/>
                      <w:noProof/>
                      <w:sz w:val="18"/>
                      <w:szCs w:val="18"/>
                      <w:rtl/>
                    </w:rPr>
                  </w:pPr>
                  <w:r>
                    <w:rPr>
                      <w:rFonts w:cs="Miriam"/>
                      <w:sz w:val="18"/>
                      <w:szCs w:val="18"/>
                      <w:rtl/>
                    </w:rPr>
                    <w:t>צו</w:t>
                  </w:r>
                  <w:r>
                    <w:rPr>
                      <w:rFonts w:cs="Miriam" w:hint="cs"/>
                      <w:sz w:val="18"/>
                      <w:szCs w:val="18"/>
                      <w:rtl/>
                    </w:rPr>
                    <w:t>, מודעה</w:t>
                  </w:r>
                </w:p>
                <w:p w14:paraId="1F63D016" w14:textId="77777777" w:rsidR="00920DCA" w:rsidRDefault="00920DCA">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 הוראה</w:t>
                  </w:r>
                </w:p>
              </w:txbxContent>
            </v:textbox>
            <w10:anchorlock/>
          </v:rect>
        </w:pict>
      </w:r>
      <w:r>
        <w:rPr>
          <w:rStyle w:val="big-number"/>
          <w:rFonts w:cs="Miriam"/>
          <w:rtl/>
        </w:rPr>
        <w:t>15.</w:t>
      </w:r>
      <w:r>
        <w:rPr>
          <w:rStyle w:val="big-number"/>
          <w:rFonts w:cs="Miriam"/>
          <w:rtl/>
        </w:rPr>
        <w:tab/>
      </w:r>
      <w:r>
        <w:rPr>
          <w:rStyle w:val="default"/>
          <w:rFonts w:cs="FrankRuehl"/>
          <w:rtl/>
        </w:rPr>
        <w:t>צו</w:t>
      </w:r>
      <w:r>
        <w:rPr>
          <w:rStyle w:val="default"/>
          <w:rFonts w:cs="FrankRuehl" w:hint="cs"/>
          <w:rtl/>
        </w:rPr>
        <w:t xml:space="preserve">, מודעה או הוראה על פי תקנות אלה אפשר לתיתם </w:t>
      </w:r>
      <w:r>
        <w:rPr>
          <w:rStyle w:val="default"/>
          <w:rFonts w:cs="FrankRuehl"/>
          <w:rtl/>
        </w:rPr>
        <w:t>על</w:t>
      </w:r>
      <w:r>
        <w:rPr>
          <w:rStyle w:val="default"/>
          <w:rFonts w:cs="FrankRuehl" w:hint="cs"/>
          <w:rtl/>
        </w:rPr>
        <w:t xml:space="preserve"> ידי פרסום בפומבי או על ידי הצגתם על פני הרחוב, הדרך, התחנה, תחנת הדלק או על פ</w:t>
      </w:r>
      <w:r>
        <w:rPr>
          <w:rStyle w:val="default"/>
          <w:rFonts w:cs="FrankRuehl"/>
          <w:rtl/>
        </w:rPr>
        <w:t>נ</w:t>
      </w:r>
      <w:r>
        <w:rPr>
          <w:rStyle w:val="default"/>
          <w:rFonts w:cs="FrankRuehl" w:hint="cs"/>
          <w:rtl/>
        </w:rPr>
        <w:t>י המקום האחר שעליו הם חלים.</w:t>
      </w:r>
    </w:p>
    <w:p w14:paraId="59679497" w14:textId="77777777" w:rsidR="00920DCA" w:rsidRDefault="00920DCA">
      <w:pPr>
        <w:pStyle w:val="P00"/>
        <w:spacing w:before="72"/>
        <w:ind w:left="0" w:right="1134"/>
        <w:rPr>
          <w:rStyle w:val="default"/>
          <w:rFonts w:cs="FrankRuehl"/>
          <w:rtl/>
        </w:rPr>
      </w:pPr>
      <w:bookmarkStart w:id="15" w:name="Seif15"/>
      <w:bookmarkEnd w:id="15"/>
      <w:r>
        <w:rPr>
          <w:lang w:val="he-IL"/>
        </w:rPr>
        <w:pict w14:anchorId="5C1A938B">
          <v:rect id="_x0000_s1041" style="position:absolute;left:0;text-align:left;margin-left:464.5pt;margin-top:8.05pt;width:75.05pt;height:8pt;z-index:251663872" o:allowincell="f" filled="f" stroked="f" strokecolor="lime" strokeweight=".25pt">
            <v:textbox inset="0,0,0,0">
              <w:txbxContent>
                <w:p w14:paraId="55FBBD29" w14:textId="77777777" w:rsidR="00920DCA" w:rsidRDefault="00920DCA">
                  <w:pPr>
                    <w:spacing w:line="160" w:lineRule="exact"/>
                    <w:jc w:val="left"/>
                    <w:rPr>
                      <w:rFonts w:cs="Miriam"/>
                      <w:noProof/>
                      <w:sz w:val="18"/>
                      <w:szCs w:val="18"/>
                      <w:rtl/>
                    </w:rPr>
                  </w:pPr>
                  <w:r>
                    <w:rPr>
                      <w:rFonts w:cs="Miriam"/>
                      <w:sz w:val="18"/>
                      <w:szCs w:val="18"/>
                      <w:rtl/>
                    </w:rPr>
                    <w:t>הו</w:t>
                  </w:r>
                  <w:r>
                    <w:rPr>
                      <w:rFonts w:cs="Miriam" w:hint="cs"/>
                      <w:sz w:val="18"/>
                      <w:szCs w:val="18"/>
                      <w:rtl/>
                    </w:rPr>
                    <w:t>ראה כללית</w:t>
                  </w:r>
                </w:p>
              </w:txbxContent>
            </v:textbox>
            <w10:anchorlock/>
          </v:rect>
        </w:pict>
      </w:r>
      <w:r>
        <w:rPr>
          <w:rStyle w:val="big-number"/>
          <w:rFonts w:cs="Miriam"/>
          <w:rtl/>
        </w:rPr>
        <w:t>16.</w:t>
      </w:r>
      <w:r>
        <w:rPr>
          <w:rStyle w:val="big-number"/>
          <w:rFonts w:cs="Miriam"/>
          <w:rtl/>
        </w:rPr>
        <w:tab/>
      </w:r>
      <w:r>
        <w:rPr>
          <w:rStyle w:val="default"/>
          <w:rFonts w:cs="FrankRuehl"/>
          <w:rtl/>
        </w:rPr>
        <w:t>תק</w:t>
      </w:r>
      <w:r>
        <w:rPr>
          <w:rStyle w:val="default"/>
          <w:rFonts w:cs="FrankRuehl" w:hint="cs"/>
          <w:rtl/>
        </w:rPr>
        <w:t>נות אלה באות להוסיף ולא לגרוע מהוראות התקנות שהותקנו על פי פקודת התעבורה אלא אם נקבעה בתקנות אלה במפורש הוראה אחרת.</w:t>
      </w:r>
    </w:p>
    <w:p w14:paraId="75BC3ED7" w14:textId="77777777" w:rsidR="00920DCA" w:rsidRDefault="00920DCA">
      <w:pPr>
        <w:pStyle w:val="P00"/>
        <w:spacing w:before="72"/>
        <w:ind w:left="0" w:right="1134"/>
        <w:rPr>
          <w:rStyle w:val="default"/>
          <w:rFonts w:cs="FrankRuehl"/>
          <w:rtl/>
        </w:rPr>
      </w:pPr>
      <w:bookmarkStart w:id="16" w:name="Seif16"/>
      <w:bookmarkEnd w:id="16"/>
      <w:r>
        <w:rPr>
          <w:lang w:val="he-IL"/>
        </w:rPr>
        <w:pict w14:anchorId="029B1364">
          <v:rect id="_x0000_s1042" style="position:absolute;left:0;text-align:left;margin-left:464.5pt;margin-top:8.05pt;width:75.05pt;height:8pt;z-index:251664896" o:allowincell="f" filled="f" stroked="f" strokecolor="lime" strokeweight=".25pt">
            <v:textbox inset="0,0,0,0">
              <w:txbxContent>
                <w:p w14:paraId="254F4DD0" w14:textId="77777777" w:rsidR="00920DCA" w:rsidRDefault="00920DCA">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נות אלה יחולו בשע</w:t>
      </w:r>
      <w:r>
        <w:rPr>
          <w:rStyle w:val="default"/>
          <w:rFonts w:cs="FrankRuehl"/>
          <w:rtl/>
        </w:rPr>
        <w:t xml:space="preserve">ת </w:t>
      </w:r>
      <w:r>
        <w:rPr>
          <w:rStyle w:val="default"/>
          <w:rFonts w:cs="FrankRuehl" w:hint="cs"/>
          <w:rtl/>
        </w:rPr>
        <w:t>קרבות או תמרוני הגא.</w:t>
      </w:r>
    </w:p>
    <w:p w14:paraId="51C3C414" w14:textId="77777777" w:rsidR="00920DCA" w:rsidRDefault="00920DCA">
      <w:pPr>
        <w:pStyle w:val="P00"/>
        <w:spacing w:before="72"/>
        <w:ind w:left="0" w:right="1134"/>
        <w:rPr>
          <w:rStyle w:val="default"/>
          <w:rFonts w:cs="FrankRuehl"/>
          <w:rtl/>
        </w:rPr>
      </w:pPr>
      <w:bookmarkStart w:id="17" w:name="Seif17"/>
      <w:bookmarkEnd w:id="17"/>
      <w:r>
        <w:rPr>
          <w:lang w:val="he-IL"/>
        </w:rPr>
        <w:pict w14:anchorId="12439948">
          <v:rect id="_x0000_s1043" style="position:absolute;left:0;text-align:left;margin-left:464.5pt;margin-top:8.05pt;width:75.05pt;height:8pt;z-index:251665920" o:allowincell="f" filled="f" stroked="f" strokecolor="lime" strokeweight=".25pt">
            <v:textbox inset="0,0,0,0">
              <w:txbxContent>
                <w:p w14:paraId="49AD2CDA" w14:textId="77777777" w:rsidR="00920DCA" w:rsidRDefault="00920DCA">
                  <w:pPr>
                    <w:spacing w:line="160" w:lineRule="exact"/>
                    <w:jc w:val="left"/>
                    <w:rPr>
                      <w:rFonts w:cs="Miriam"/>
                      <w:noProof/>
                      <w:sz w:val="18"/>
                      <w:szCs w:val="18"/>
                      <w:rtl/>
                    </w:rPr>
                  </w:pPr>
                  <w:r>
                    <w:rPr>
                      <w:rFonts w:cs="Miriam"/>
                      <w:sz w:val="18"/>
                      <w:szCs w:val="18"/>
                      <w:rtl/>
                    </w:rPr>
                    <w:t>אי</w:t>
                  </w:r>
                  <w:r>
                    <w:rPr>
                      <w:rFonts w:cs="Miriam" w:hint="cs"/>
                      <w:sz w:val="18"/>
                      <w:szCs w:val="18"/>
                      <w:rtl/>
                    </w:rPr>
                    <w:t>-תחולה</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ראות תקנות אלה אינן חלות על רכב בטחון.</w:t>
      </w:r>
    </w:p>
    <w:p w14:paraId="5E460469" w14:textId="77777777" w:rsidR="00920DCA" w:rsidRDefault="00920DCA">
      <w:pPr>
        <w:pStyle w:val="P00"/>
        <w:spacing w:before="72"/>
        <w:ind w:left="0" w:right="1134"/>
        <w:rPr>
          <w:rStyle w:val="default"/>
          <w:rFonts w:cs="FrankRuehl"/>
          <w:rtl/>
        </w:rPr>
      </w:pPr>
      <w:bookmarkStart w:id="18" w:name="Seif18"/>
      <w:bookmarkEnd w:id="18"/>
      <w:r>
        <w:rPr>
          <w:lang w:val="he-IL"/>
        </w:rPr>
        <w:pict w14:anchorId="465C0A3E">
          <v:rect id="_x0000_s1044" style="position:absolute;left:0;text-align:left;margin-left:464.5pt;margin-top:8.05pt;width:75.05pt;height:8pt;z-index:251666944" o:allowincell="f" filled="f" stroked="f" strokecolor="lime" strokeweight=".25pt">
            <v:textbox inset="0,0,0,0">
              <w:txbxContent>
                <w:p w14:paraId="44D9F025" w14:textId="77777777" w:rsidR="00920DCA" w:rsidRDefault="00920DC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19.</w:t>
      </w:r>
      <w:r>
        <w:rPr>
          <w:rStyle w:val="big-number"/>
          <w:rFonts w:cs="Miriam"/>
          <w:rtl/>
        </w:rPr>
        <w:tab/>
      </w:r>
      <w:r>
        <w:rPr>
          <w:rStyle w:val="default"/>
          <w:rFonts w:cs="FrankRuehl"/>
          <w:rtl/>
        </w:rPr>
        <w:t>לת</w:t>
      </w:r>
      <w:r>
        <w:rPr>
          <w:rStyle w:val="default"/>
          <w:rFonts w:cs="FrankRuehl" w:hint="cs"/>
          <w:rtl/>
        </w:rPr>
        <w:t>קנות אלה ייקרא "תקנות ההתגוננות האזרחית (תעבורה בדרכים), תשי"ז</w:t>
      </w:r>
      <w:r>
        <w:rPr>
          <w:rStyle w:val="default"/>
          <w:rFonts w:cs="FrankRuehl"/>
          <w:rtl/>
        </w:rPr>
        <w:t>–1956".</w:t>
      </w:r>
    </w:p>
    <w:p w14:paraId="3F24257C" w14:textId="77777777" w:rsidR="00920DCA" w:rsidRDefault="00920DCA">
      <w:pPr>
        <w:pStyle w:val="P00"/>
        <w:spacing w:before="72"/>
        <w:ind w:left="0" w:right="1134"/>
        <w:rPr>
          <w:rStyle w:val="default"/>
          <w:rFonts w:cs="FrankRuehl"/>
          <w:rtl/>
        </w:rPr>
      </w:pPr>
    </w:p>
    <w:p w14:paraId="68BECAC1" w14:textId="77777777" w:rsidR="00920DCA" w:rsidRDefault="00920DCA">
      <w:pPr>
        <w:pStyle w:val="sig-0"/>
        <w:ind w:left="0" w:right="1134"/>
        <w:rPr>
          <w:rFonts w:cs="FrankRuehl"/>
          <w:sz w:val="26"/>
          <w:rtl/>
        </w:rPr>
      </w:pPr>
      <w:r>
        <w:rPr>
          <w:rFonts w:cs="FrankRuehl"/>
          <w:sz w:val="26"/>
          <w:rtl/>
        </w:rPr>
        <w:t>כ"</w:t>
      </w:r>
      <w:r>
        <w:rPr>
          <w:rFonts w:cs="FrankRuehl" w:hint="cs"/>
          <w:sz w:val="26"/>
          <w:rtl/>
        </w:rPr>
        <w:t>ד בחשון תשי"ז (29 באוקטובר 1956)</w:t>
      </w:r>
      <w:r>
        <w:rPr>
          <w:rFonts w:cs="FrankRuehl"/>
          <w:sz w:val="26"/>
          <w:rtl/>
        </w:rPr>
        <w:tab/>
        <w:t>ד</w:t>
      </w:r>
      <w:r>
        <w:rPr>
          <w:rFonts w:cs="FrankRuehl" w:hint="cs"/>
          <w:sz w:val="26"/>
          <w:rtl/>
        </w:rPr>
        <w:t>וד בן-גוריון</w:t>
      </w:r>
    </w:p>
    <w:p w14:paraId="7A753D9A" w14:textId="77777777" w:rsidR="00920DCA" w:rsidRDefault="00920DC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7EC947EF" w14:textId="77777777" w:rsidR="00920DCA" w:rsidRDefault="00920DCA">
      <w:pPr>
        <w:ind w:right="1134"/>
        <w:rPr>
          <w:rFonts w:cs="David"/>
          <w:sz w:val="24"/>
          <w:rtl/>
        </w:rPr>
      </w:pPr>
      <w:bookmarkStart w:id="19" w:name="LawPartEnd"/>
    </w:p>
    <w:bookmarkEnd w:id="19"/>
    <w:p w14:paraId="0AD999EF" w14:textId="77777777" w:rsidR="00920DCA" w:rsidRDefault="00920DCA">
      <w:pPr>
        <w:ind w:right="1134"/>
        <w:rPr>
          <w:rFonts w:cs="David"/>
          <w:sz w:val="24"/>
          <w:rtl/>
        </w:rPr>
      </w:pPr>
    </w:p>
    <w:sectPr w:rsidR="00920DCA">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2DBE" w14:textId="77777777" w:rsidR="00FB7B67" w:rsidRDefault="00FB7B67">
      <w:r>
        <w:separator/>
      </w:r>
    </w:p>
  </w:endnote>
  <w:endnote w:type="continuationSeparator" w:id="0">
    <w:p w14:paraId="0F44891D" w14:textId="77777777" w:rsidR="00FB7B67" w:rsidRDefault="00FB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AACE" w14:textId="77777777" w:rsidR="00920DCA" w:rsidRDefault="00920D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8A6672" w14:textId="77777777" w:rsidR="00920DCA" w:rsidRDefault="00920D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88F370" w14:textId="77777777" w:rsidR="00920DCA" w:rsidRDefault="00920D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323C" w14:textId="77777777" w:rsidR="00920DCA" w:rsidRDefault="00920D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0968">
      <w:rPr>
        <w:rFonts w:hAnsi="FrankRuehl" w:cs="FrankRuehl"/>
        <w:noProof/>
        <w:sz w:val="24"/>
        <w:szCs w:val="24"/>
        <w:rtl/>
      </w:rPr>
      <w:t>2</w:t>
    </w:r>
    <w:r>
      <w:rPr>
        <w:rFonts w:hAnsi="FrankRuehl" w:cs="FrankRuehl"/>
        <w:sz w:val="24"/>
        <w:szCs w:val="24"/>
        <w:rtl/>
      </w:rPr>
      <w:fldChar w:fldCharType="end"/>
    </w:r>
  </w:p>
  <w:p w14:paraId="483AEB4F" w14:textId="77777777" w:rsidR="00920DCA" w:rsidRDefault="00920D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62026E" w14:textId="77777777" w:rsidR="00920DCA" w:rsidRDefault="00920D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M:\0a-lishca\law\gideon-03-02-13\law01\125_010.doc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4ADD" w14:textId="77777777" w:rsidR="00920DCA" w:rsidRDefault="00920DCA">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1C803" w14:textId="77777777" w:rsidR="00FB7B67" w:rsidRDefault="00FB7B67">
      <w:r>
        <w:separator/>
      </w:r>
    </w:p>
  </w:footnote>
  <w:footnote w:type="continuationSeparator" w:id="0">
    <w:p w14:paraId="651C0E7C" w14:textId="77777777" w:rsidR="00FB7B67" w:rsidRDefault="00FB7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2779" w14:textId="77777777" w:rsidR="00920DCA" w:rsidRDefault="00920D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(תעבורה בדרכים), תשי"ז–1956</w:t>
    </w:r>
  </w:p>
  <w:p w14:paraId="4FA2217A" w14:textId="77777777" w:rsidR="00920DCA" w:rsidRDefault="00920D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EB1AF7" w14:textId="77777777" w:rsidR="00920DCA" w:rsidRDefault="00920D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1F30" w14:textId="77777777" w:rsidR="00920DCA" w:rsidRDefault="00920D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(תעבורה בדרכים), תשי"ז–1956</w:t>
    </w:r>
  </w:p>
  <w:p w14:paraId="6A36541E" w14:textId="77777777" w:rsidR="00920DCA" w:rsidRDefault="00920D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460161" w14:textId="77777777" w:rsidR="00920DCA" w:rsidRDefault="00920DCA">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3F5B" w14:textId="77777777" w:rsidR="00920DCA" w:rsidRDefault="00920DCA">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9CF"/>
    <w:rsid w:val="003A19CF"/>
    <w:rsid w:val="005725D2"/>
    <w:rsid w:val="006F0968"/>
    <w:rsid w:val="00920DCA"/>
    <w:rsid w:val="00DE75C9"/>
    <w:rsid w:val="00FB7B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747A1D1E"/>
  <w15:chartTrackingRefBased/>
  <w15:docId w15:val="{82950668-756E-4146-AC1B-4D136A95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649.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6574</CharactersWithSpaces>
  <SharedDoc>false</SharedDoc>
  <HLinks>
    <vt:vector size="120" baseType="variant">
      <vt:variant>
        <vt:i4>8192007</vt:i4>
      </vt:variant>
      <vt:variant>
        <vt:i4>114</vt:i4>
      </vt:variant>
      <vt:variant>
        <vt:i4>0</vt:i4>
      </vt:variant>
      <vt:variant>
        <vt:i4>5</vt:i4>
      </vt:variant>
      <vt:variant>
        <vt:lpwstr>http://www.nevo.co.il/Law_word/law06/TAK-0649.pdf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(תעבורה בדרכים), תשי"ז–1956</vt:lpwstr>
  </property>
  <property fmtid="{D5CDD505-2E9C-101B-9397-08002B2CF9AE}" pid="5" name="LAWNUMBER">
    <vt:lpwstr>0010</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תעבורה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27XגX</vt:lpwstr>
  </property>
</Properties>
</file>