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AE7D" w14:textId="77777777" w:rsidR="00086424" w:rsidRDefault="00086424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החניכות (העבדת נער והצגת תמצית החוק), תשנ"ו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1996</w:t>
      </w:r>
    </w:p>
    <w:p w14:paraId="5629D956" w14:textId="77777777" w:rsidR="00447CCA" w:rsidRPr="00447CCA" w:rsidRDefault="00447CCA" w:rsidP="00447CCA">
      <w:pPr>
        <w:spacing w:line="320" w:lineRule="auto"/>
        <w:jc w:val="left"/>
        <w:rPr>
          <w:rFonts w:cs="FrankRuehl"/>
          <w:szCs w:val="26"/>
          <w:rtl/>
        </w:rPr>
      </w:pPr>
    </w:p>
    <w:p w14:paraId="1E838F9C" w14:textId="77777777" w:rsidR="00845FE9" w:rsidRDefault="00845FE9" w:rsidP="00845FE9">
      <w:pPr>
        <w:spacing w:line="320" w:lineRule="auto"/>
        <w:jc w:val="left"/>
        <w:rPr>
          <w:rtl/>
        </w:rPr>
      </w:pPr>
    </w:p>
    <w:p w14:paraId="38292592" w14:textId="77777777" w:rsidR="00845FE9" w:rsidRDefault="00845FE9" w:rsidP="00845FE9">
      <w:pPr>
        <w:spacing w:line="320" w:lineRule="auto"/>
        <w:jc w:val="left"/>
        <w:rPr>
          <w:rFonts w:cs="FrankRuehl"/>
          <w:szCs w:val="26"/>
          <w:rtl/>
        </w:rPr>
      </w:pPr>
      <w:r w:rsidRPr="00845FE9">
        <w:rPr>
          <w:rFonts w:cs="Miriam"/>
          <w:szCs w:val="22"/>
          <w:rtl/>
        </w:rPr>
        <w:t>עבודה</w:t>
      </w:r>
      <w:r w:rsidRPr="00845FE9">
        <w:rPr>
          <w:rFonts w:cs="FrankRuehl"/>
          <w:szCs w:val="26"/>
          <w:rtl/>
        </w:rPr>
        <w:t xml:space="preserve"> – העסקת קבוצות מסוימות  – עבודת נוער</w:t>
      </w:r>
    </w:p>
    <w:p w14:paraId="1D9319F9" w14:textId="77777777" w:rsidR="00845FE9" w:rsidRDefault="00845FE9" w:rsidP="00845FE9">
      <w:pPr>
        <w:spacing w:line="320" w:lineRule="auto"/>
        <w:jc w:val="left"/>
        <w:rPr>
          <w:rFonts w:cs="FrankRuehl"/>
          <w:szCs w:val="26"/>
          <w:rtl/>
        </w:rPr>
      </w:pPr>
      <w:r w:rsidRPr="00845FE9">
        <w:rPr>
          <w:rFonts w:cs="Miriam"/>
          <w:szCs w:val="22"/>
          <w:rtl/>
        </w:rPr>
        <w:t>עבודה</w:t>
      </w:r>
      <w:r w:rsidRPr="00845FE9">
        <w:rPr>
          <w:rFonts w:cs="FrankRuehl"/>
          <w:szCs w:val="26"/>
          <w:rtl/>
        </w:rPr>
        <w:t xml:space="preserve"> – חניכות</w:t>
      </w:r>
    </w:p>
    <w:p w14:paraId="2F582752" w14:textId="77777777" w:rsidR="00447CCA" w:rsidRPr="00845FE9" w:rsidRDefault="00845FE9" w:rsidP="00845FE9">
      <w:pPr>
        <w:spacing w:line="320" w:lineRule="auto"/>
        <w:jc w:val="left"/>
        <w:rPr>
          <w:rFonts w:cs="Miriam"/>
          <w:szCs w:val="22"/>
          <w:rtl/>
        </w:rPr>
      </w:pPr>
      <w:r w:rsidRPr="00845FE9">
        <w:rPr>
          <w:rFonts w:cs="Miriam"/>
          <w:szCs w:val="22"/>
          <w:rtl/>
        </w:rPr>
        <w:t>רשויות ומשפט מנהלי</w:t>
      </w:r>
      <w:r w:rsidRPr="00845FE9">
        <w:rPr>
          <w:rFonts w:cs="FrankRuehl"/>
          <w:szCs w:val="26"/>
          <w:rtl/>
        </w:rPr>
        <w:t xml:space="preserve"> – חינוך – השכלה מקצועית – חניכות</w:t>
      </w:r>
    </w:p>
    <w:p w14:paraId="63E941AA" w14:textId="77777777" w:rsidR="00086424" w:rsidRDefault="0008642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86424" w14:paraId="176AC53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688FE8A" w14:textId="77777777" w:rsidR="00086424" w:rsidRDefault="000864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0999733" w14:textId="77777777" w:rsidR="00086424" w:rsidRDefault="00086424">
            <w:pPr>
              <w:spacing w:line="240" w:lineRule="auto"/>
              <w:rPr>
                <w:sz w:val="24"/>
              </w:rPr>
            </w:pPr>
            <w:hyperlink w:anchor="Seif0" w:tooltip="נוסח 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F4A59AB" w14:textId="77777777" w:rsidR="00086424" w:rsidRDefault="000864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נוסח הודעה</w:t>
            </w:r>
          </w:p>
        </w:tc>
        <w:tc>
          <w:tcPr>
            <w:tcW w:w="1247" w:type="dxa"/>
          </w:tcPr>
          <w:p w14:paraId="525EBC4D" w14:textId="77777777" w:rsidR="00086424" w:rsidRDefault="000864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86424" w14:paraId="042581A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61DAB3F" w14:textId="77777777" w:rsidR="00086424" w:rsidRDefault="000864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B3F73EA" w14:textId="77777777" w:rsidR="00086424" w:rsidRDefault="00086424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C4EC4BA" w14:textId="77777777" w:rsidR="00086424" w:rsidRDefault="000864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74DE02FC" w14:textId="77777777" w:rsidR="00086424" w:rsidRDefault="000864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86424" w14:paraId="3050CE4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DEB79C6" w14:textId="77777777" w:rsidR="00086424" w:rsidRDefault="000864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DAB6ACF" w14:textId="77777777" w:rsidR="00086424" w:rsidRDefault="00086424">
            <w:pPr>
              <w:spacing w:line="240" w:lineRule="auto"/>
              <w:rPr>
                <w:sz w:val="24"/>
              </w:rPr>
            </w:pPr>
            <w:hyperlink w:anchor="med0" w:tooltip="הודעה על העבדת נע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42D64C8" w14:textId="77777777" w:rsidR="00086424" w:rsidRDefault="000864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הודעה על העבדת נער</w:t>
            </w:r>
          </w:p>
        </w:tc>
        <w:tc>
          <w:tcPr>
            <w:tcW w:w="1247" w:type="dxa"/>
          </w:tcPr>
          <w:p w14:paraId="0C8047D8" w14:textId="77777777" w:rsidR="00086424" w:rsidRDefault="00086424">
            <w:pPr>
              <w:spacing w:line="240" w:lineRule="auto"/>
              <w:rPr>
                <w:sz w:val="24"/>
              </w:rPr>
            </w:pPr>
          </w:p>
        </w:tc>
      </w:tr>
    </w:tbl>
    <w:p w14:paraId="27059AF0" w14:textId="77777777" w:rsidR="00086424" w:rsidRDefault="00086424">
      <w:pPr>
        <w:pStyle w:val="big-header"/>
        <w:ind w:left="0" w:right="1134"/>
        <w:rPr>
          <w:rFonts w:cs="FrankRuehl"/>
          <w:sz w:val="32"/>
          <w:rtl/>
        </w:rPr>
      </w:pPr>
    </w:p>
    <w:p w14:paraId="1D159E50" w14:textId="77777777" w:rsidR="00086424" w:rsidRDefault="00086424" w:rsidP="00447CC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החניכות (העבדת נער והצגת תמצית החוק), תשנ"ו-</w:t>
      </w:r>
      <w:r>
        <w:rPr>
          <w:rFonts w:cs="FrankRuehl"/>
          <w:sz w:val="32"/>
          <w:rtl/>
        </w:rPr>
        <w:t>1996</w:t>
      </w:r>
      <w:r>
        <w:rPr>
          <w:rStyle w:val="default"/>
          <w:rtl/>
        </w:rPr>
        <w:footnoteReference w:customMarkFollows="1" w:id="1"/>
        <w:t>*</w:t>
      </w:r>
    </w:p>
    <w:p w14:paraId="61673495" w14:textId="77777777" w:rsidR="00086424" w:rsidRDefault="000864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11 ו-36 לחוק החניכות, תשי"ג-</w:t>
      </w:r>
      <w:r>
        <w:rPr>
          <w:rStyle w:val="default"/>
          <w:rFonts w:cs="FrankRuehl"/>
          <w:rtl/>
        </w:rPr>
        <w:t>1953 (</w:t>
      </w:r>
      <w:r>
        <w:rPr>
          <w:rStyle w:val="default"/>
          <w:rFonts w:cs="FrankRuehl" w:hint="cs"/>
          <w:rtl/>
        </w:rPr>
        <w:t>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ולאחר התייעצות עם מועצת החניכות, אני מתקינה תקנות אלה:</w:t>
      </w:r>
    </w:p>
    <w:p w14:paraId="4F5929F2" w14:textId="77777777" w:rsidR="00086424" w:rsidRDefault="000864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7500910">
          <v:rect id="_x0000_s1026" style="position:absolute;left:0;text-align:left;margin-left:464.5pt;margin-top:8.05pt;width:75.05pt;height:11.6pt;z-index:251657216" o:allowincell="f" filled="f" stroked="f" strokecolor="lime" strokeweight=".25pt">
            <v:textbox inset="0,0,0,0">
              <w:txbxContent>
                <w:p w14:paraId="5E7926D4" w14:textId="77777777" w:rsidR="00086424" w:rsidRDefault="000864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סח 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דעה לממונה על החניכות לפי סעיף 11 לחוק תהיה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טופס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בתוספת.</w:t>
      </w:r>
    </w:p>
    <w:p w14:paraId="2AAAFF62" w14:textId="77777777" w:rsidR="00086424" w:rsidRDefault="000864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44787837">
          <v:rect id="_x0000_s1027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14:paraId="146B038F" w14:textId="77777777" w:rsidR="00086424" w:rsidRDefault="000864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בט</w:t>
      </w:r>
      <w:r>
        <w:rPr>
          <w:rStyle w:val="default"/>
          <w:rFonts w:cs="FrankRuehl" w:hint="cs"/>
          <w:rtl/>
        </w:rPr>
        <w:t xml:space="preserve">לות </w:t>
      </w:r>
      <w:r>
        <w:rPr>
          <w:rStyle w:val="default"/>
          <w:rFonts w:cs="FrankRuehl"/>
          <w:rtl/>
        </w:rPr>
        <w:t>–</w:t>
      </w:r>
    </w:p>
    <w:p w14:paraId="7D141D9A" w14:textId="77777777" w:rsidR="00086424" w:rsidRDefault="000864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החניכות (טופס הצהרת חניכות), תשכ"ב-</w:t>
      </w:r>
      <w:r>
        <w:rPr>
          <w:rStyle w:val="default"/>
          <w:rFonts w:cs="FrankRuehl"/>
          <w:rtl/>
        </w:rPr>
        <w:t>1962;</w:t>
      </w:r>
    </w:p>
    <w:p w14:paraId="07C09655" w14:textId="77777777" w:rsidR="00086424" w:rsidRDefault="00086424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החניכות (העבדת נער והצגת תמצית החוק), תשי"ט-</w:t>
      </w:r>
      <w:r>
        <w:rPr>
          <w:rStyle w:val="default"/>
          <w:rFonts w:cs="FrankRuehl"/>
          <w:rtl/>
        </w:rPr>
        <w:t>1959.</w:t>
      </w:r>
    </w:p>
    <w:p w14:paraId="0253F840" w14:textId="77777777" w:rsidR="00086424" w:rsidRDefault="0008642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A6759A8" w14:textId="77777777" w:rsidR="00086424" w:rsidRDefault="00086424">
      <w:pPr>
        <w:pStyle w:val="page"/>
        <w:widowControl/>
        <w:ind w:right="1134"/>
        <w:jc w:val="center"/>
        <w:rPr>
          <w:rFonts w:cs="FrankRuehl"/>
          <w:b/>
          <w:bCs/>
          <w:position w:val="0"/>
          <w:sz w:val="26"/>
          <w:szCs w:val="26"/>
          <w:rtl/>
        </w:rPr>
      </w:pPr>
      <w:r>
        <w:rPr>
          <w:rFonts w:cs="FrankRuehl"/>
          <w:b/>
          <w:bCs/>
          <w:position w:val="0"/>
          <w:sz w:val="26"/>
          <w:szCs w:val="26"/>
          <w:rtl/>
        </w:rPr>
        <w:t>תו</w:t>
      </w:r>
      <w:r>
        <w:rPr>
          <w:rFonts w:cs="FrankRuehl" w:hint="cs"/>
          <w:b/>
          <w:bCs/>
          <w:position w:val="0"/>
          <w:sz w:val="26"/>
          <w:szCs w:val="26"/>
          <w:rtl/>
        </w:rPr>
        <w:t>ספת</w:t>
      </w:r>
    </w:p>
    <w:p w14:paraId="19E77AE5" w14:textId="77777777" w:rsidR="00086424" w:rsidRDefault="00086424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>
        <w:rPr>
          <w:rFonts w:cs="FrankRuehl"/>
          <w:sz w:val="24"/>
          <w:szCs w:val="24"/>
          <w:rtl/>
        </w:rPr>
        <w:t>(ת</w:t>
      </w:r>
      <w:r>
        <w:rPr>
          <w:rFonts w:cs="FrankRuehl" w:hint="cs"/>
          <w:sz w:val="24"/>
          <w:szCs w:val="24"/>
          <w:rtl/>
        </w:rPr>
        <w:t>קנה 1)</w:t>
      </w:r>
    </w:p>
    <w:p w14:paraId="60626D25" w14:textId="77777777" w:rsidR="00086424" w:rsidRDefault="000864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לכ</w:t>
      </w:r>
      <w:r>
        <w:rPr>
          <w:rStyle w:val="default"/>
          <w:rFonts w:cs="FrankRuehl" w:hint="cs"/>
          <w:rtl/>
        </w:rPr>
        <w:t>בוד</w:t>
      </w:r>
    </w:p>
    <w:p w14:paraId="3B0208FF" w14:textId="77777777" w:rsidR="00086424" w:rsidRDefault="000864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>רד העבודה והרווחה</w:t>
      </w:r>
    </w:p>
    <w:p w14:paraId="581FEF55" w14:textId="77777777" w:rsidR="00086424" w:rsidRDefault="000864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מונה המחוזי על החניכות</w:t>
      </w:r>
    </w:p>
    <w:p w14:paraId="5C2D81C5" w14:textId="77777777" w:rsidR="00086424" w:rsidRDefault="000864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מח</w:t>
      </w:r>
      <w:r>
        <w:rPr>
          <w:rStyle w:val="default"/>
          <w:rFonts w:cs="FrankRuehl" w:hint="cs"/>
          <w:rtl/>
        </w:rPr>
        <w:t xml:space="preserve">וז </w:t>
      </w:r>
    </w:p>
    <w:p w14:paraId="58D84000" w14:textId="77777777" w:rsidR="00086424" w:rsidRDefault="000864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ען </w:t>
      </w:r>
    </w:p>
    <w:p w14:paraId="7B1C2D3E" w14:textId="77777777" w:rsidR="00086424" w:rsidRDefault="00086424">
      <w:pPr>
        <w:pStyle w:val="medium2-header"/>
        <w:keepLines w:val="0"/>
        <w:spacing w:before="72"/>
        <w:ind w:left="0" w:right="1134"/>
        <w:rPr>
          <w:rFonts w:cs="FrankRuehl"/>
          <w:noProof/>
          <w:sz w:val="22"/>
          <w:szCs w:val="22"/>
          <w:rtl/>
        </w:rPr>
      </w:pPr>
      <w:bookmarkStart w:id="2" w:name="med0"/>
      <w:bookmarkEnd w:id="2"/>
      <w:r>
        <w:rPr>
          <w:rFonts w:cs="FrankRuehl"/>
          <w:noProof/>
          <w:sz w:val="22"/>
          <w:szCs w:val="22"/>
          <w:rtl/>
        </w:rPr>
        <w:t>הו</w:t>
      </w:r>
      <w:r>
        <w:rPr>
          <w:rFonts w:cs="FrankRuehl" w:hint="cs"/>
          <w:noProof/>
          <w:sz w:val="22"/>
          <w:szCs w:val="22"/>
          <w:rtl/>
        </w:rPr>
        <w:t>דעה על העבדת נער</w:t>
      </w:r>
    </w:p>
    <w:p w14:paraId="03009D49" w14:textId="77777777" w:rsidR="00086424" w:rsidRDefault="00086424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לפ</w:t>
      </w:r>
      <w:r>
        <w:rPr>
          <w:rFonts w:cs="FrankRuehl" w:hint="cs"/>
          <w:sz w:val="26"/>
          <w:rtl/>
        </w:rPr>
        <w:t>י חוק החניכות, תשי"ג-</w:t>
      </w:r>
      <w:r>
        <w:rPr>
          <w:rFonts w:cs="FrankRuehl"/>
          <w:sz w:val="26"/>
          <w:rtl/>
        </w:rPr>
        <w:t>1953</w:t>
      </w:r>
    </w:p>
    <w:p w14:paraId="499EB370" w14:textId="77777777" w:rsidR="00086424" w:rsidRDefault="000864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אנ</w:t>
      </w:r>
      <w:r>
        <w:rPr>
          <w:rStyle w:val="default"/>
          <w:rFonts w:cs="FrankRuehl" w:hint="cs"/>
          <w:rtl/>
        </w:rPr>
        <w:t xml:space="preserve">י מודיעכם בזה כי הנער שפרטיו האישיים מפורטים להלן נתקבל לנסיון לעבודה במפעלנו במקצוע </w:t>
      </w:r>
    </w:p>
    <w:p w14:paraId="6856B930" w14:textId="77777777" w:rsidR="00086424" w:rsidRDefault="000864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ום </w:t>
      </w:r>
    </w:p>
    <w:p w14:paraId="620B4DB0" w14:textId="77777777" w:rsidR="00086424" w:rsidRDefault="000864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רטים על הנער:</w:t>
      </w:r>
    </w:p>
    <w:p w14:paraId="66B03E50" w14:textId="77777777" w:rsidR="00086424" w:rsidRDefault="000864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המשפחה 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>פר פנקס העב</w:t>
      </w:r>
      <w:r>
        <w:rPr>
          <w:rStyle w:val="default"/>
          <w:rFonts w:cs="FrankRuehl"/>
          <w:rtl/>
        </w:rPr>
        <w:t>וד</w:t>
      </w:r>
      <w:r>
        <w:rPr>
          <w:rStyle w:val="default"/>
          <w:rFonts w:cs="FrankRuehl" w:hint="cs"/>
          <w:rtl/>
        </w:rPr>
        <w:t xml:space="preserve">ה </w:t>
      </w:r>
    </w:p>
    <w:p w14:paraId="12537A0D" w14:textId="77777777" w:rsidR="00086424" w:rsidRDefault="000864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פרטי 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נש</w:t>
      </w:r>
      <w:r>
        <w:rPr>
          <w:rStyle w:val="default"/>
          <w:rFonts w:cs="FrankRuehl" w:hint="cs"/>
          <w:rtl/>
        </w:rPr>
        <w:t>לח בידי שירות התעסוקה</w:t>
      </w:r>
    </w:p>
    <w:p w14:paraId="277E0949" w14:textId="77777777" w:rsidR="00086424" w:rsidRDefault="000864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האב 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סנ</w:t>
      </w:r>
      <w:r>
        <w:rPr>
          <w:rStyle w:val="default"/>
          <w:rFonts w:cs="FrankRuehl" w:hint="cs"/>
          <w:rtl/>
        </w:rPr>
        <w:t xml:space="preserve">יף </w:t>
      </w:r>
    </w:p>
    <w:p w14:paraId="2936F0B7" w14:textId="77777777" w:rsidR="00086424" w:rsidRDefault="000864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ריך הלידה 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נב</w:t>
      </w:r>
      <w:r>
        <w:rPr>
          <w:rStyle w:val="default"/>
          <w:rFonts w:cs="FrankRuehl" w:hint="cs"/>
          <w:rtl/>
        </w:rPr>
        <w:t>דק לבחירת מקצוע כן/לא</w:t>
      </w:r>
    </w:p>
    <w:p w14:paraId="3BBD62FD" w14:textId="77777777" w:rsidR="00086424" w:rsidRDefault="000864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14:paraId="6B8B5AD3" w14:textId="77777777" w:rsidR="00086424" w:rsidRDefault="000864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>תא</w:t>
      </w:r>
      <w:r>
        <w:rPr>
          <w:rStyle w:val="default"/>
          <w:rFonts w:cs="FrankRuehl" w:hint="cs"/>
          <w:rtl/>
        </w:rPr>
        <w:t>ריך               חתימת המעביד</w:t>
      </w:r>
      <w:r>
        <w:rPr>
          <w:rFonts w:cs="FrankRuehl"/>
          <w:sz w:val="26"/>
          <w:rtl/>
        </w:rPr>
        <w:t> </w:t>
      </w:r>
    </w:p>
    <w:p w14:paraId="5C284577" w14:textId="77777777" w:rsidR="00086424" w:rsidRDefault="0008642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FFDC6F7" w14:textId="77777777" w:rsidR="00086424" w:rsidRDefault="000864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ט באייר תשנ"ו (8 במאי 1996)                            אורה נמיר</w:t>
      </w:r>
    </w:p>
    <w:p w14:paraId="15C6B851" w14:textId="77777777" w:rsidR="00086424" w:rsidRDefault="00086424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רת העבודה והרווחה</w:t>
      </w:r>
    </w:p>
    <w:p w14:paraId="0399B2F4" w14:textId="77777777" w:rsidR="00086424" w:rsidRDefault="0008642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A72DE9B" w14:textId="77777777" w:rsidR="00086424" w:rsidRDefault="000864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3D2C157" w14:textId="77777777" w:rsidR="00086424" w:rsidRDefault="00086424">
      <w:pPr>
        <w:ind w:right="1134"/>
        <w:rPr>
          <w:rFonts w:cs="David"/>
          <w:sz w:val="24"/>
          <w:rtl/>
        </w:rPr>
      </w:pPr>
    </w:p>
    <w:sectPr w:rsidR="0008642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C0524" w14:textId="77777777" w:rsidR="000944C0" w:rsidRDefault="000944C0">
      <w:r>
        <w:separator/>
      </w:r>
    </w:p>
  </w:endnote>
  <w:endnote w:type="continuationSeparator" w:id="0">
    <w:p w14:paraId="0F1876E0" w14:textId="77777777" w:rsidR="000944C0" w:rsidRDefault="00094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7AD2C" w14:textId="77777777" w:rsidR="00086424" w:rsidRDefault="0008642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04B5E6C" w14:textId="77777777" w:rsidR="00086424" w:rsidRDefault="0008642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672008A" w14:textId="77777777" w:rsidR="00086424" w:rsidRDefault="0008642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C:\Yael\hakika\Revadim\p175_058.doc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ABA14" w14:textId="77777777" w:rsidR="00086424" w:rsidRDefault="0008642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45FE9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DE15839" w14:textId="77777777" w:rsidR="00086424" w:rsidRDefault="0008642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9025D13" w14:textId="77777777" w:rsidR="00086424" w:rsidRDefault="0008642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C:\Yael\hakika\Revadim\p175_058.doc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8A1CE" w14:textId="77777777" w:rsidR="000944C0" w:rsidRDefault="000944C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A534934" w14:textId="77777777" w:rsidR="000944C0" w:rsidRDefault="000944C0">
      <w:r>
        <w:continuationSeparator/>
      </w:r>
    </w:p>
  </w:footnote>
  <w:footnote w:id="1">
    <w:p w14:paraId="4A009BC1" w14:textId="77777777" w:rsidR="00086424" w:rsidRDefault="0008642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תשנ"ו מס' 5752</w:t>
        </w:r>
      </w:hyperlink>
      <w:r>
        <w:rPr>
          <w:rFonts w:cs="FrankRuehl" w:hint="cs"/>
          <w:rtl/>
        </w:rPr>
        <w:t xml:space="preserve"> מיום 26.5.1996 עמ' 898.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6B0B" w14:textId="77777777" w:rsidR="00086424" w:rsidRDefault="0008642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(העבדת נער והצגת תמצית החוק), תשנ"ו–1996</w:t>
    </w:r>
  </w:p>
  <w:p w14:paraId="6D655518" w14:textId="77777777" w:rsidR="00086424" w:rsidRDefault="0008642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37E5A39" w14:textId="77777777" w:rsidR="00086424" w:rsidRDefault="0008642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08B6C" w14:textId="77777777" w:rsidR="00086424" w:rsidRDefault="0008642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(העבדת נער והצגת תמצית החוק), תשנ"ו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14:paraId="31517771" w14:textId="77777777" w:rsidR="00086424" w:rsidRDefault="0008642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5FFACA" w14:textId="77777777" w:rsidR="00086424" w:rsidRDefault="0008642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6424"/>
    <w:rsid w:val="00086424"/>
    <w:rsid w:val="000944C0"/>
    <w:rsid w:val="000B1774"/>
    <w:rsid w:val="00447CCA"/>
    <w:rsid w:val="007C11AA"/>
    <w:rsid w:val="007D026E"/>
    <w:rsid w:val="00845FE9"/>
    <w:rsid w:val="0095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A5E7DBB"/>
  <w15:chartTrackingRefBased/>
  <w15:docId w15:val="{8CC7FA66-70DD-4ABC-81AD-6683B2B6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1324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eli</dc:creator>
  <cp:keywords/>
  <dc:description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(העבדת נער והצגת תמצית החוק), תשנ"ו-1996</vt:lpwstr>
  </property>
  <property fmtid="{D5CDD505-2E9C-101B-9397-08002B2CF9AE}" pid="5" name="LAWNUMBER">
    <vt:lpwstr>0058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11X;36X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