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E23" w:rsidRDefault="004B4E23">
      <w:pPr>
        <w:pStyle w:val="big-header"/>
        <w:ind w:left="0" w:right="1134"/>
      </w:pPr>
      <w:r>
        <w:rPr>
          <w:rFonts w:hint="cs"/>
          <w:rtl/>
        </w:rPr>
        <w:t>תקנות החשמל (מיתקני חשמל בבריכה במתח שאינו עולה על מתח נמוך), תשס"ג-2003</w:t>
      </w:r>
    </w:p>
    <w:p w:rsidR="00B8247C" w:rsidRDefault="00B8247C" w:rsidP="00B8247C">
      <w:pPr>
        <w:spacing w:line="320" w:lineRule="auto"/>
        <w:jc w:val="left"/>
        <w:rPr>
          <w:rStyle w:val="default"/>
          <w:sz w:val="22"/>
          <w:szCs w:val="22"/>
          <w:rtl/>
        </w:rPr>
      </w:pPr>
    </w:p>
    <w:p w:rsidR="00B8247C" w:rsidRPr="00B8247C" w:rsidRDefault="00B8247C" w:rsidP="00B8247C">
      <w:pPr>
        <w:spacing w:line="320" w:lineRule="auto"/>
        <w:jc w:val="left"/>
        <w:rPr>
          <w:rStyle w:val="default"/>
          <w:rFonts w:cs="Miriam"/>
          <w:sz w:val="22"/>
          <w:szCs w:val="22"/>
          <w:rtl/>
        </w:rPr>
      </w:pPr>
      <w:r w:rsidRPr="00B8247C">
        <w:rPr>
          <w:rStyle w:val="default"/>
          <w:rFonts w:cs="Miriam"/>
          <w:sz w:val="22"/>
          <w:szCs w:val="22"/>
          <w:rtl/>
        </w:rPr>
        <w:t>רשויות ומשפט מנהלי</w:t>
      </w:r>
      <w:r w:rsidRPr="00B8247C">
        <w:rPr>
          <w:rStyle w:val="default"/>
          <w:rFonts w:cs="FrankRuehl"/>
          <w:sz w:val="22"/>
          <w:rtl/>
        </w:rPr>
        <w:t xml:space="preserve"> – תשתיות – חשמל</w:t>
      </w:r>
    </w:p>
    <w:p w:rsidR="004B4E23" w:rsidRDefault="004B4E23">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2</w:t>
            </w:r>
          </w:p>
        </w:tc>
        <w:tc>
          <w:tcPr>
            <w:tcW w:w="567" w:type="dxa"/>
          </w:tcPr>
          <w:p w:rsidR="004B4E23" w:rsidRDefault="004B4E23">
            <w:pPr>
              <w:spacing w:line="240" w:lineRule="auto"/>
              <w:jc w:val="left"/>
              <w:rPr>
                <w:rFonts w:cs="Frankruhel" w:hint="cs"/>
                <w:sz w:val="24"/>
              </w:rPr>
            </w:pPr>
            <w:hyperlink w:anchor="Seif0" w:tooltip="הגדרות"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הגדרות</w:t>
            </w:r>
          </w:p>
        </w:tc>
        <w:tc>
          <w:tcPr>
            <w:tcW w:w="1247" w:type="dxa"/>
          </w:tcPr>
          <w:p w:rsidR="004B4E23" w:rsidRDefault="004B4E23">
            <w:pPr>
              <w:spacing w:line="240" w:lineRule="auto"/>
              <w:jc w:val="left"/>
              <w:rPr>
                <w:rFonts w:cs="Frankruhel" w:hint="cs"/>
                <w:sz w:val="24"/>
              </w:rPr>
            </w:pPr>
            <w:r>
              <w:rPr>
                <w:rFonts w:cs="Frankruhel"/>
                <w:sz w:val="24"/>
                <w:rtl/>
              </w:rPr>
              <w:t xml:space="preserve">סעיף 1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4</w:t>
            </w:r>
          </w:p>
        </w:tc>
        <w:tc>
          <w:tcPr>
            <w:tcW w:w="567" w:type="dxa"/>
          </w:tcPr>
          <w:p w:rsidR="004B4E23" w:rsidRDefault="004B4E23">
            <w:pPr>
              <w:spacing w:line="240" w:lineRule="auto"/>
              <w:jc w:val="left"/>
              <w:rPr>
                <w:rFonts w:cs="Frankruhel" w:hint="cs"/>
                <w:sz w:val="24"/>
              </w:rPr>
            </w:pPr>
            <w:hyperlink w:anchor="Seif1" w:tooltip="הגנות בפני חשמול"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הגנות בפני חשמול</w:t>
            </w:r>
          </w:p>
        </w:tc>
        <w:tc>
          <w:tcPr>
            <w:tcW w:w="1247" w:type="dxa"/>
          </w:tcPr>
          <w:p w:rsidR="004B4E23" w:rsidRDefault="004B4E23">
            <w:pPr>
              <w:spacing w:line="240" w:lineRule="auto"/>
              <w:jc w:val="left"/>
              <w:rPr>
                <w:rFonts w:cs="Frankruhel" w:hint="cs"/>
                <w:sz w:val="24"/>
              </w:rPr>
            </w:pPr>
            <w:r>
              <w:rPr>
                <w:rFonts w:cs="Frankruhel"/>
                <w:sz w:val="24"/>
                <w:rtl/>
              </w:rPr>
              <w:t xml:space="preserve">סעיף 2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4</w:t>
            </w:r>
          </w:p>
        </w:tc>
        <w:tc>
          <w:tcPr>
            <w:tcW w:w="567" w:type="dxa"/>
          </w:tcPr>
          <w:p w:rsidR="004B4E23" w:rsidRDefault="004B4E23">
            <w:pPr>
              <w:spacing w:line="240" w:lineRule="auto"/>
              <w:jc w:val="left"/>
              <w:rPr>
                <w:rFonts w:cs="Frankruhel" w:hint="cs"/>
                <w:sz w:val="24"/>
              </w:rPr>
            </w:pPr>
            <w:hyperlink w:anchor="Seif2" w:tooltip="השוואת פוטנציאלים"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השוואת פוטנציאלים</w:t>
            </w:r>
          </w:p>
        </w:tc>
        <w:tc>
          <w:tcPr>
            <w:tcW w:w="1247" w:type="dxa"/>
          </w:tcPr>
          <w:p w:rsidR="004B4E23" w:rsidRDefault="004B4E23">
            <w:pPr>
              <w:spacing w:line="240" w:lineRule="auto"/>
              <w:jc w:val="left"/>
              <w:rPr>
                <w:rFonts w:cs="Frankruhel" w:hint="cs"/>
                <w:sz w:val="24"/>
              </w:rPr>
            </w:pPr>
            <w:r>
              <w:rPr>
                <w:rFonts w:cs="Frankruhel"/>
                <w:sz w:val="24"/>
                <w:rtl/>
              </w:rPr>
              <w:t xml:space="preserve">סעיף 3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4</w:t>
            </w:r>
          </w:p>
        </w:tc>
        <w:tc>
          <w:tcPr>
            <w:tcW w:w="567" w:type="dxa"/>
          </w:tcPr>
          <w:p w:rsidR="004B4E23" w:rsidRDefault="004B4E23">
            <w:pPr>
              <w:spacing w:line="240" w:lineRule="auto"/>
              <w:jc w:val="left"/>
              <w:rPr>
                <w:rFonts w:cs="Frankruhel" w:hint="cs"/>
                <w:sz w:val="24"/>
              </w:rPr>
            </w:pPr>
            <w:hyperlink w:anchor="Seif3" w:tooltip="דוכן משקאות או מאכלים"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דוכן משקאות או מאכלים</w:t>
            </w:r>
          </w:p>
        </w:tc>
        <w:tc>
          <w:tcPr>
            <w:tcW w:w="1247" w:type="dxa"/>
          </w:tcPr>
          <w:p w:rsidR="004B4E23" w:rsidRDefault="004B4E23">
            <w:pPr>
              <w:spacing w:line="240" w:lineRule="auto"/>
              <w:jc w:val="left"/>
              <w:rPr>
                <w:rFonts w:cs="Frankruhel" w:hint="cs"/>
                <w:sz w:val="24"/>
              </w:rPr>
            </w:pPr>
            <w:r>
              <w:rPr>
                <w:rFonts w:cs="Frankruhel"/>
                <w:sz w:val="24"/>
                <w:rtl/>
              </w:rPr>
              <w:t xml:space="preserve">סעיף 4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4</w:t>
            </w:r>
          </w:p>
        </w:tc>
        <w:tc>
          <w:tcPr>
            <w:tcW w:w="567" w:type="dxa"/>
          </w:tcPr>
          <w:p w:rsidR="004B4E23" w:rsidRDefault="004B4E23">
            <w:pPr>
              <w:spacing w:line="240" w:lineRule="auto"/>
              <w:jc w:val="left"/>
              <w:rPr>
                <w:rFonts w:cs="Frankruhel" w:hint="cs"/>
                <w:sz w:val="24"/>
              </w:rPr>
            </w:pPr>
            <w:hyperlink w:anchor="Seif4" w:tooltip="מובל באזור 0 או 1"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מובל באזור 0 או 1</w:t>
            </w:r>
          </w:p>
        </w:tc>
        <w:tc>
          <w:tcPr>
            <w:tcW w:w="1247" w:type="dxa"/>
          </w:tcPr>
          <w:p w:rsidR="004B4E23" w:rsidRDefault="004B4E23">
            <w:pPr>
              <w:spacing w:line="240" w:lineRule="auto"/>
              <w:jc w:val="left"/>
              <w:rPr>
                <w:rFonts w:cs="Frankruhel" w:hint="cs"/>
                <w:sz w:val="24"/>
              </w:rPr>
            </w:pPr>
            <w:r>
              <w:rPr>
                <w:rFonts w:cs="Frankruhel"/>
                <w:sz w:val="24"/>
                <w:rtl/>
              </w:rPr>
              <w:t xml:space="preserve">סעיף 5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4</w:t>
            </w:r>
          </w:p>
        </w:tc>
        <w:tc>
          <w:tcPr>
            <w:tcW w:w="567" w:type="dxa"/>
          </w:tcPr>
          <w:p w:rsidR="004B4E23" w:rsidRDefault="004B4E23">
            <w:pPr>
              <w:spacing w:line="240" w:lineRule="auto"/>
              <w:jc w:val="left"/>
              <w:rPr>
                <w:rFonts w:cs="Frankruhel" w:hint="cs"/>
                <w:sz w:val="24"/>
              </w:rPr>
            </w:pPr>
            <w:hyperlink w:anchor="Seif5" w:tooltip="מובל מתכתי"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מובל מתכתי</w:t>
            </w:r>
          </w:p>
        </w:tc>
        <w:tc>
          <w:tcPr>
            <w:tcW w:w="1247" w:type="dxa"/>
          </w:tcPr>
          <w:p w:rsidR="004B4E23" w:rsidRDefault="004B4E23">
            <w:pPr>
              <w:spacing w:line="240" w:lineRule="auto"/>
              <w:jc w:val="left"/>
              <w:rPr>
                <w:rFonts w:cs="Frankruhel" w:hint="cs"/>
                <w:sz w:val="24"/>
              </w:rPr>
            </w:pPr>
            <w:r>
              <w:rPr>
                <w:rFonts w:cs="Frankruhel"/>
                <w:sz w:val="24"/>
                <w:rtl/>
              </w:rPr>
              <w:t xml:space="preserve">סעיף 6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4</w:t>
            </w:r>
          </w:p>
        </w:tc>
        <w:tc>
          <w:tcPr>
            <w:tcW w:w="567" w:type="dxa"/>
          </w:tcPr>
          <w:p w:rsidR="004B4E23" w:rsidRDefault="004B4E23">
            <w:pPr>
              <w:spacing w:line="240" w:lineRule="auto"/>
              <w:jc w:val="left"/>
              <w:rPr>
                <w:rFonts w:cs="Frankruhel" w:hint="cs"/>
                <w:sz w:val="24"/>
              </w:rPr>
            </w:pPr>
            <w:hyperlink w:anchor="Seif6" w:tooltip="קופסת הסתעפות"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קופסת הסתעפות</w:t>
            </w:r>
          </w:p>
        </w:tc>
        <w:tc>
          <w:tcPr>
            <w:tcW w:w="1247" w:type="dxa"/>
          </w:tcPr>
          <w:p w:rsidR="004B4E23" w:rsidRDefault="004B4E23">
            <w:pPr>
              <w:spacing w:line="240" w:lineRule="auto"/>
              <w:jc w:val="left"/>
              <w:rPr>
                <w:rFonts w:cs="Frankruhel" w:hint="cs"/>
                <w:sz w:val="24"/>
              </w:rPr>
            </w:pPr>
            <w:r>
              <w:rPr>
                <w:rFonts w:cs="Frankruhel"/>
                <w:sz w:val="24"/>
                <w:rtl/>
              </w:rPr>
              <w:t xml:space="preserve">סעיף 7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4</w:t>
            </w:r>
          </w:p>
        </w:tc>
        <w:tc>
          <w:tcPr>
            <w:tcW w:w="567" w:type="dxa"/>
          </w:tcPr>
          <w:p w:rsidR="004B4E23" w:rsidRDefault="004B4E23">
            <w:pPr>
              <w:spacing w:line="240" w:lineRule="auto"/>
              <w:jc w:val="left"/>
              <w:rPr>
                <w:rFonts w:cs="Frankruhel" w:hint="cs"/>
                <w:sz w:val="24"/>
              </w:rPr>
            </w:pPr>
            <w:hyperlink w:anchor="Seif7" w:tooltip="לוח חשמל, ציוד מיתוג ובתי תקע"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לוח חשמל, ציוד מיתוג ובתי תקע</w:t>
            </w:r>
          </w:p>
        </w:tc>
        <w:tc>
          <w:tcPr>
            <w:tcW w:w="1247" w:type="dxa"/>
          </w:tcPr>
          <w:p w:rsidR="004B4E23" w:rsidRDefault="004B4E23">
            <w:pPr>
              <w:spacing w:line="240" w:lineRule="auto"/>
              <w:jc w:val="left"/>
              <w:rPr>
                <w:rFonts w:cs="Frankruhel" w:hint="cs"/>
                <w:sz w:val="24"/>
              </w:rPr>
            </w:pPr>
            <w:r>
              <w:rPr>
                <w:rFonts w:cs="Frankruhel"/>
                <w:sz w:val="24"/>
                <w:rtl/>
              </w:rPr>
              <w:t xml:space="preserve">סעיף 8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5</w:t>
            </w:r>
          </w:p>
        </w:tc>
        <w:tc>
          <w:tcPr>
            <w:tcW w:w="567" w:type="dxa"/>
          </w:tcPr>
          <w:p w:rsidR="004B4E23" w:rsidRDefault="004B4E23">
            <w:pPr>
              <w:spacing w:line="240" w:lineRule="auto"/>
              <w:jc w:val="left"/>
              <w:rPr>
                <w:rFonts w:cs="Frankruhel" w:hint="cs"/>
                <w:sz w:val="24"/>
              </w:rPr>
            </w:pPr>
            <w:hyperlink w:anchor="Seif8" w:tooltip="תאורה תת מימית"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תאורה תת מימית</w:t>
            </w:r>
          </w:p>
        </w:tc>
        <w:tc>
          <w:tcPr>
            <w:tcW w:w="1247" w:type="dxa"/>
          </w:tcPr>
          <w:p w:rsidR="004B4E23" w:rsidRDefault="004B4E23">
            <w:pPr>
              <w:spacing w:line="240" w:lineRule="auto"/>
              <w:jc w:val="left"/>
              <w:rPr>
                <w:rFonts w:cs="Frankruhel" w:hint="cs"/>
                <w:sz w:val="24"/>
              </w:rPr>
            </w:pPr>
            <w:r>
              <w:rPr>
                <w:rFonts w:cs="Frankruhel"/>
                <w:sz w:val="24"/>
                <w:rtl/>
              </w:rPr>
              <w:t xml:space="preserve">סעיף 9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5</w:t>
            </w:r>
          </w:p>
        </w:tc>
        <w:tc>
          <w:tcPr>
            <w:tcW w:w="567" w:type="dxa"/>
          </w:tcPr>
          <w:p w:rsidR="004B4E23" w:rsidRDefault="004B4E23">
            <w:pPr>
              <w:spacing w:line="240" w:lineRule="auto"/>
              <w:jc w:val="left"/>
              <w:rPr>
                <w:rFonts w:cs="Frankruhel" w:hint="cs"/>
                <w:sz w:val="24"/>
              </w:rPr>
            </w:pPr>
            <w:hyperlink w:anchor="Seif9" w:tooltip="עמודי תאורה"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עמודי תאורה</w:t>
            </w:r>
          </w:p>
        </w:tc>
        <w:tc>
          <w:tcPr>
            <w:tcW w:w="1247" w:type="dxa"/>
          </w:tcPr>
          <w:p w:rsidR="004B4E23" w:rsidRDefault="004B4E23">
            <w:pPr>
              <w:spacing w:line="240" w:lineRule="auto"/>
              <w:jc w:val="left"/>
              <w:rPr>
                <w:rFonts w:cs="Frankruhel" w:hint="cs"/>
                <w:sz w:val="24"/>
              </w:rPr>
            </w:pPr>
            <w:r>
              <w:rPr>
                <w:rFonts w:cs="Frankruhel"/>
                <w:sz w:val="24"/>
                <w:rtl/>
              </w:rPr>
              <w:t xml:space="preserve">סעיף 10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5</w:t>
            </w:r>
          </w:p>
        </w:tc>
        <w:tc>
          <w:tcPr>
            <w:tcW w:w="567" w:type="dxa"/>
          </w:tcPr>
          <w:p w:rsidR="004B4E23" w:rsidRDefault="004B4E23">
            <w:pPr>
              <w:spacing w:line="240" w:lineRule="auto"/>
              <w:jc w:val="left"/>
              <w:rPr>
                <w:rFonts w:cs="Frankruhel" w:hint="cs"/>
                <w:sz w:val="24"/>
              </w:rPr>
            </w:pPr>
            <w:hyperlink w:anchor="Seif10" w:tooltip="מכשירי חשמל"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מכשירי חשמל</w:t>
            </w:r>
          </w:p>
        </w:tc>
        <w:tc>
          <w:tcPr>
            <w:tcW w:w="1247" w:type="dxa"/>
          </w:tcPr>
          <w:p w:rsidR="004B4E23" w:rsidRDefault="004B4E23">
            <w:pPr>
              <w:spacing w:line="240" w:lineRule="auto"/>
              <w:jc w:val="left"/>
              <w:rPr>
                <w:rFonts w:cs="Frankruhel" w:hint="cs"/>
                <w:sz w:val="24"/>
              </w:rPr>
            </w:pPr>
            <w:r>
              <w:rPr>
                <w:rFonts w:cs="Frankruhel"/>
                <w:sz w:val="24"/>
                <w:rtl/>
              </w:rPr>
              <w:t xml:space="preserve">סעיף 11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5</w:t>
            </w:r>
          </w:p>
        </w:tc>
        <w:tc>
          <w:tcPr>
            <w:tcW w:w="567" w:type="dxa"/>
          </w:tcPr>
          <w:p w:rsidR="004B4E23" w:rsidRDefault="004B4E23">
            <w:pPr>
              <w:spacing w:line="240" w:lineRule="auto"/>
              <w:jc w:val="left"/>
              <w:rPr>
                <w:rFonts w:cs="Frankruhel" w:hint="cs"/>
                <w:sz w:val="24"/>
              </w:rPr>
            </w:pPr>
            <w:hyperlink w:anchor="Seif11" w:tooltip="גוף חימום"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גוף חימום</w:t>
            </w:r>
          </w:p>
        </w:tc>
        <w:tc>
          <w:tcPr>
            <w:tcW w:w="1247" w:type="dxa"/>
          </w:tcPr>
          <w:p w:rsidR="004B4E23" w:rsidRDefault="004B4E23">
            <w:pPr>
              <w:spacing w:line="240" w:lineRule="auto"/>
              <w:jc w:val="left"/>
              <w:rPr>
                <w:rFonts w:cs="Frankruhel" w:hint="cs"/>
                <w:sz w:val="24"/>
              </w:rPr>
            </w:pPr>
            <w:r>
              <w:rPr>
                <w:rFonts w:cs="Frankruhel"/>
                <w:sz w:val="24"/>
                <w:rtl/>
              </w:rPr>
              <w:t xml:space="preserve">סעיף 12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5</w:t>
            </w:r>
          </w:p>
        </w:tc>
        <w:tc>
          <w:tcPr>
            <w:tcW w:w="567" w:type="dxa"/>
          </w:tcPr>
          <w:p w:rsidR="004B4E23" w:rsidRDefault="004B4E23">
            <w:pPr>
              <w:spacing w:line="240" w:lineRule="auto"/>
              <w:jc w:val="left"/>
              <w:rPr>
                <w:rFonts w:cs="Frankruhel" w:hint="cs"/>
                <w:sz w:val="24"/>
              </w:rPr>
            </w:pPr>
            <w:hyperlink w:anchor="Seif12" w:tooltip="שימוש בציוד ייעודי"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שימוש בציוד ייעודי</w:t>
            </w:r>
          </w:p>
        </w:tc>
        <w:tc>
          <w:tcPr>
            <w:tcW w:w="1247" w:type="dxa"/>
          </w:tcPr>
          <w:p w:rsidR="004B4E23" w:rsidRDefault="004B4E23">
            <w:pPr>
              <w:spacing w:line="240" w:lineRule="auto"/>
              <w:jc w:val="left"/>
              <w:rPr>
                <w:rFonts w:cs="Frankruhel" w:hint="cs"/>
                <w:sz w:val="24"/>
              </w:rPr>
            </w:pPr>
            <w:r>
              <w:rPr>
                <w:rFonts w:cs="Frankruhel"/>
                <w:sz w:val="24"/>
                <w:rtl/>
              </w:rPr>
              <w:t xml:space="preserve">סעיף 13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5</w:t>
            </w:r>
          </w:p>
        </w:tc>
        <w:tc>
          <w:tcPr>
            <w:tcW w:w="567" w:type="dxa"/>
          </w:tcPr>
          <w:p w:rsidR="004B4E23" w:rsidRDefault="004B4E23">
            <w:pPr>
              <w:spacing w:line="240" w:lineRule="auto"/>
              <w:jc w:val="left"/>
              <w:rPr>
                <w:rFonts w:cs="Frankruhel" w:hint="cs"/>
                <w:sz w:val="24"/>
              </w:rPr>
            </w:pPr>
            <w:hyperlink w:anchor="Seif13" w:tooltip="ציוד ייעודי לבריכה"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ציוד ייעודי לבריכה</w:t>
            </w:r>
          </w:p>
        </w:tc>
        <w:tc>
          <w:tcPr>
            <w:tcW w:w="1247" w:type="dxa"/>
          </w:tcPr>
          <w:p w:rsidR="004B4E23" w:rsidRDefault="004B4E23">
            <w:pPr>
              <w:spacing w:line="240" w:lineRule="auto"/>
              <w:jc w:val="left"/>
              <w:rPr>
                <w:rFonts w:cs="Frankruhel" w:hint="cs"/>
                <w:sz w:val="24"/>
              </w:rPr>
            </w:pPr>
            <w:r>
              <w:rPr>
                <w:rFonts w:cs="Frankruhel"/>
                <w:sz w:val="24"/>
                <w:rtl/>
              </w:rPr>
              <w:t xml:space="preserve">סעיף 14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5</w:t>
            </w:r>
          </w:p>
        </w:tc>
        <w:tc>
          <w:tcPr>
            <w:tcW w:w="567" w:type="dxa"/>
          </w:tcPr>
          <w:p w:rsidR="004B4E23" w:rsidRDefault="004B4E23">
            <w:pPr>
              <w:spacing w:line="240" w:lineRule="auto"/>
              <w:jc w:val="left"/>
              <w:rPr>
                <w:rFonts w:cs="Frankruhel" w:hint="cs"/>
                <w:sz w:val="24"/>
              </w:rPr>
            </w:pPr>
            <w:hyperlink w:anchor="Seif14" w:tooltip="בדיקת המיתקן"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בדיקת המיתקן</w:t>
            </w:r>
          </w:p>
        </w:tc>
        <w:tc>
          <w:tcPr>
            <w:tcW w:w="1247" w:type="dxa"/>
          </w:tcPr>
          <w:p w:rsidR="004B4E23" w:rsidRDefault="004B4E23">
            <w:pPr>
              <w:spacing w:line="240" w:lineRule="auto"/>
              <w:jc w:val="left"/>
              <w:rPr>
                <w:rFonts w:cs="Frankruhel" w:hint="cs"/>
                <w:sz w:val="24"/>
              </w:rPr>
            </w:pPr>
            <w:r>
              <w:rPr>
                <w:rFonts w:cs="Frankruhel"/>
                <w:sz w:val="24"/>
                <w:rtl/>
              </w:rPr>
              <w:t xml:space="preserve">סעיף 15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5</w:t>
            </w:r>
          </w:p>
        </w:tc>
        <w:tc>
          <w:tcPr>
            <w:tcW w:w="567" w:type="dxa"/>
          </w:tcPr>
          <w:p w:rsidR="004B4E23" w:rsidRDefault="004B4E23">
            <w:pPr>
              <w:spacing w:line="240" w:lineRule="auto"/>
              <w:jc w:val="left"/>
              <w:rPr>
                <w:rFonts w:cs="Frankruhel" w:hint="cs"/>
                <w:sz w:val="24"/>
              </w:rPr>
            </w:pPr>
            <w:hyperlink w:anchor="Seif15" w:tooltip="תחילה"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תחילה</w:t>
            </w:r>
          </w:p>
        </w:tc>
        <w:tc>
          <w:tcPr>
            <w:tcW w:w="1247" w:type="dxa"/>
          </w:tcPr>
          <w:p w:rsidR="004B4E23" w:rsidRDefault="004B4E23">
            <w:pPr>
              <w:spacing w:line="240" w:lineRule="auto"/>
              <w:jc w:val="left"/>
              <w:rPr>
                <w:rFonts w:cs="Frankruhel" w:hint="cs"/>
                <w:sz w:val="24"/>
              </w:rPr>
            </w:pPr>
            <w:r>
              <w:rPr>
                <w:rFonts w:cs="Frankruhel"/>
                <w:sz w:val="24"/>
                <w:rtl/>
              </w:rPr>
              <w:t xml:space="preserve">סעיף 16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6</w:t>
            </w:r>
          </w:p>
        </w:tc>
        <w:tc>
          <w:tcPr>
            <w:tcW w:w="567" w:type="dxa"/>
          </w:tcPr>
          <w:p w:rsidR="004B4E23" w:rsidRDefault="004B4E23">
            <w:pPr>
              <w:spacing w:line="240" w:lineRule="auto"/>
              <w:jc w:val="left"/>
              <w:rPr>
                <w:rFonts w:cs="Frankruhel" w:hint="cs"/>
                <w:sz w:val="24"/>
              </w:rPr>
            </w:pPr>
            <w:hyperlink w:anchor="Seif16" w:tooltip="תחולה"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תחולה</w:t>
            </w:r>
          </w:p>
        </w:tc>
        <w:tc>
          <w:tcPr>
            <w:tcW w:w="1247" w:type="dxa"/>
          </w:tcPr>
          <w:p w:rsidR="004B4E23" w:rsidRDefault="004B4E23">
            <w:pPr>
              <w:spacing w:line="240" w:lineRule="auto"/>
              <w:jc w:val="left"/>
              <w:rPr>
                <w:rFonts w:cs="Frankruhel" w:hint="cs"/>
                <w:sz w:val="24"/>
              </w:rPr>
            </w:pPr>
            <w:r>
              <w:rPr>
                <w:rFonts w:cs="Frankruhel"/>
                <w:sz w:val="24"/>
                <w:rtl/>
              </w:rPr>
              <w:t xml:space="preserve">סעיף 17 </w:t>
            </w:r>
          </w:p>
        </w:tc>
      </w:tr>
      <w:tr w:rsidR="004B4E23">
        <w:tblPrEx>
          <w:tblCellMar>
            <w:top w:w="0" w:type="dxa"/>
            <w:bottom w:w="0" w:type="dxa"/>
          </w:tblCellMar>
        </w:tblPrEx>
        <w:trPr>
          <w:jc w:val="right"/>
        </w:trPr>
        <w:tc>
          <w:tcPr>
            <w:tcW w:w="850" w:type="dxa"/>
          </w:tcPr>
          <w:p w:rsidR="004B4E23" w:rsidRDefault="004B4E23">
            <w:pPr>
              <w:spacing w:line="240" w:lineRule="auto"/>
              <w:jc w:val="left"/>
              <w:rPr>
                <w:rFonts w:cs="Frankruhel" w:hint="cs"/>
                <w:sz w:val="24"/>
              </w:rPr>
            </w:pPr>
            <w:r>
              <w:rPr>
                <w:rFonts w:cs="Frankruhel"/>
                <w:sz w:val="24"/>
                <w:rtl/>
              </w:rPr>
              <w:t>6</w:t>
            </w:r>
          </w:p>
        </w:tc>
        <w:tc>
          <w:tcPr>
            <w:tcW w:w="567" w:type="dxa"/>
          </w:tcPr>
          <w:p w:rsidR="004B4E23" w:rsidRDefault="004B4E23">
            <w:pPr>
              <w:spacing w:line="240" w:lineRule="auto"/>
              <w:jc w:val="left"/>
              <w:rPr>
                <w:rFonts w:cs="Frankruhel" w:hint="cs"/>
                <w:sz w:val="24"/>
              </w:rPr>
            </w:pPr>
            <w:hyperlink w:anchor="Seif17" w:tooltip="הוראת מעבר" w:history="1">
              <w:r>
                <w:rPr>
                  <w:rStyle w:val="Hyperlink"/>
                </w:rPr>
                <w:t>Go</w:t>
              </w:r>
            </w:hyperlink>
          </w:p>
        </w:tc>
        <w:tc>
          <w:tcPr>
            <w:tcW w:w="5669" w:type="dxa"/>
          </w:tcPr>
          <w:p w:rsidR="004B4E23" w:rsidRDefault="004B4E23">
            <w:pPr>
              <w:spacing w:line="240" w:lineRule="auto"/>
              <w:jc w:val="left"/>
              <w:rPr>
                <w:rFonts w:cs="Frankruhel"/>
                <w:sz w:val="24"/>
                <w:rtl/>
              </w:rPr>
            </w:pPr>
            <w:r>
              <w:rPr>
                <w:rFonts w:cs="Frankruhel"/>
                <w:sz w:val="24"/>
                <w:rtl/>
              </w:rPr>
              <w:t>הוראת מעבר</w:t>
            </w:r>
          </w:p>
        </w:tc>
        <w:tc>
          <w:tcPr>
            <w:tcW w:w="1247" w:type="dxa"/>
          </w:tcPr>
          <w:p w:rsidR="004B4E23" w:rsidRDefault="004B4E23">
            <w:pPr>
              <w:spacing w:line="240" w:lineRule="auto"/>
              <w:jc w:val="left"/>
              <w:rPr>
                <w:rFonts w:cs="Frankruhel" w:hint="cs"/>
                <w:sz w:val="24"/>
              </w:rPr>
            </w:pPr>
            <w:r>
              <w:rPr>
                <w:rFonts w:cs="Frankruhel"/>
                <w:sz w:val="24"/>
                <w:rtl/>
              </w:rPr>
              <w:t xml:space="preserve">סעיף 18 </w:t>
            </w:r>
          </w:p>
        </w:tc>
      </w:tr>
    </w:tbl>
    <w:p w:rsidR="004B4E23" w:rsidRDefault="004B4E23">
      <w:pPr>
        <w:pStyle w:val="big-header"/>
        <w:ind w:left="0" w:right="1134"/>
        <w:rPr>
          <w:rFonts w:hint="cs"/>
          <w:rtl/>
        </w:rPr>
      </w:pPr>
    </w:p>
    <w:p w:rsidR="004B4E23" w:rsidRDefault="004B4E23">
      <w:pPr>
        <w:pStyle w:val="big-header"/>
        <w:ind w:left="0" w:right="1134"/>
        <w:rPr>
          <w:rFonts w:hint="cs"/>
          <w:rtl/>
        </w:rPr>
      </w:pPr>
      <w:r>
        <w:rPr>
          <w:rtl/>
        </w:rPr>
        <w:br w:type="page"/>
      </w:r>
      <w:r>
        <w:rPr>
          <w:rFonts w:hint="cs"/>
          <w:rtl/>
        </w:rPr>
        <w:lastRenderedPageBreak/>
        <w:t>תשתיות</w:t>
      </w:r>
    </w:p>
    <w:p w:rsidR="004B4E23" w:rsidRDefault="004B4E23">
      <w:pPr>
        <w:pStyle w:val="big-header"/>
        <w:ind w:left="0" w:right="1134"/>
        <w:rPr>
          <w:rStyle w:val="default"/>
          <w:rFonts w:cs="FrankRuehl" w:hint="cs"/>
          <w:rtl/>
        </w:rPr>
      </w:pPr>
      <w:r>
        <w:rPr>
          <w:rFonts w:hint="cs"/>
          <w:rtl/>
        </w:rPr>
        <w:t>תקנות החשמל (מיתקני חשמל בבריכה במתח שאינו עולה על מתח נמוך), תשס"ג-2003</w:t>
      </w:r>
      <w:r>
        <w:rPr>
          <w:rStyle w:val="default"/>
          <w:sz w:val="22"/>
          <w:szCs w:val="22"/>
          <w:rtl/>
        </w:rPr>
        <w:footnoteReference w:customMarkFollows="1" w:id="1"/>
        <w:t>*</w:t>
      </w:r>
    </w:p>
    <w:p w:rsidR="004B4E23" w:rsidRDefault="004B4E23">
      <w:pPr>
        <w:pStyle w:val="P00"/>
        <w:spacing w:before="72"/>
        <w:ind w:left="0" w:right="1134"/>
        <w:rPr>
          <w:rStyle w:val="default"/>
          <w:rFonts w:cs="FrankRuehl" w:hint="cs"/>
          <w:rtl/>
        </w:rPr>
      </w:pPr>
      <w:r>
        <w:rPr>
          <w:rStyle w:val="default"/>
          <w:rFonts w:cs="FrankRuehl" w:hint="cs"/>
          <w:rtl/>
        </w:rPr>
        <w:tab/>
        <w:t xml:space="preserve">בתוקף סמכותי לפי סעיף 13 לחוק החשמל, התשי"ד-1954 (להלן </w:t>
      </w:r>
      <w:r>
        <w:rPr>
          <w:rStyle w:val="default"/>
          <w:rFonts w:cs="FrankRuehl"/>
          <w:rtl/>
        </w:rPr>
        <w:t>–</w:t>
      </w:r>
      <w:r>
        <w:rPr>
          <w:rStyle w:val="default"/>
          <w:rFonts w:cs="FrankRuehl" w:hint="cs"/>
          <w:rtl/>
        </w:rPr>
        <w:t xml:space="preserve"> החוק), ובאישור ועדת העבודה הרווחה והבריאות של הכנסת לפי סעיף 48(א) לחוק-יסוד: הממשלה, וסעיף 2(ב) לחוק העונשין, תשל"ז-1977, אני מתקין תקנות אלה:</w:t>
      </w:r>
    </w:p>
    <w:p w:rsidR="004B4E23" w:rsidRDefault="004B4E23">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א': פרשנות</w:t>
      </w:r>
    </w:p>
    <w:p w:rsidR="004B4E23" w:rsidRDefault="004B4E23">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4pt;z-index:251649024" o:allowincell="f" filled="f" stroked="f" strokecolor="lime" strokeweight=".25pt">
            <v:textbox style="mso-next-textbox:#_x0000_s1026" inset="0,0,0,0">
              <w:txbxContent>
                <w:p w:rsidR="004B4E23" w:rsidRDefault="004B4E23">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בתקנות אלה </w:t>
      </w:r>
      <w:r>
        <w:rPr>
          <w:rStyle w:val="default"/>
          <w:rFonts w:cs="FrankRuehl"/>
          <w:rtl/>
        </w:rPr>
        <w:t>–</w:t>
      </w:r>
    </w:p>
    <w:p w:rsidR="004B4E23" w:rsidRDefault="004B4E23">
      <w:pPr>
        <w:pStyle w:val="P00"/>
        <w:spacing w:before="72"/>
        <w:ind w:left="0" w:right="1134"/>
        <w:rPr>
          <w:rStyle w:val="default"/>
          <w:rFonts w:cs="FrankRuehl" w:hint="cs"/>
          <w:rtl/>
        </w:rPr>
      </w:pPr>
      <w:r>
        <w:rPr>
          <w:rStyle w:val="default"/>
          <w:rFonts w:cs="FrankRuehl" w:hint="cs"/>
          <w:rtl/>
        </w:rPr>
        <w:tab/>
        <w:t xml:space="preserve">"הארקת השיטה" </w:t>
      </w:r>
      <w:r>
        <w:rPr>
          <w:rStyle w:val="default"/>
          <w:rFonts w:cs="FrankRuehl"/>
          <w:rtl/>
        </w:rPr>
        <w:t>–</w:t>
      </w:r>
      <w:r>
        <w:rPr>
          <w:rStyle w:val="default"/>
          <w:rFonts w:cs="FrankRuehl" w:hint="cs"/>
          <w:rtl/>
        </w:rPr>
        <w:t xml:space="preserve"> הארקה במתגוון של נקודה אחת לפחות של אחד ממוליכי שיטת האספקה;</w:t>
      </w:r>
    </w:p>
    <w:p w:rsidR="004B4E23" w:rsidRDefault="004B4E23">
      <w:pPr>
        <w:pStyle w:val="P00"/>
        <w:spacing w:before="72"/>
        <w:ind w:left="0" w:right="1134"/>
        <w:rPr>
          <w:rStyle w:val="default"/>
          <w:rFonts w:cs="FrankRuehl" w:hint="cs"/>
          <w:rtl/>
        </w:rPr>
      </w:pPr>
      <w:r>
        <w:rPr>
          <w:rStyle w:val="default"/>
          <w:rFonts w:cs="FrankRuehl" w:hint="cs"/>
          <w:rtl/>
        </w:rPr>
        <w:tab/>
        <w:t xml:space="preserve">"אזור 0" </w:t>
      </w:r>
      <w:r>
        <w:rPr>
          <w:rStyle w:val="default"/>
          <w:rFonts w:cs="FrankRuehl"/>
          <w:rtl/>
        </w:rPr>
        <w:t>–</w:t>
      </w:r>
      <w:r>
        <w:rPr>
          <w:rStyle w:val="default"/>
          <w:rFonts w:cs="FrankRuehl" w:hint="cs"/>
          <w:rtl/>
        </w:rPr>
        <w:t xml:space="preserve"> החלל בפנים הבריכה, לרבות גומחות נגישות בדפנותיה, עד לגובה שפת הבריכה במפלס העליון שממנו גולשים המים החוצה כמתואר באיורים 1 עד 4 שבתוספת;</w:t>
      </w:r>
    </w:p>
    <w:p w:rsidR="004B4E23" w:rsidRDefault="004B4E23">
      <w:pPr>
        <w:pStyle w:val="P00"/>
        <w:spacing w:before="72"/>
        <w:ind w:left="0" w:right="1134"/>
        <w:rPr>
          <w:rStyle w:val="default"/>
          <w:rFonts w:cs="FrankRuehl" w:hint="cs"/>
          <w:rtl/>
        </w:rPr>
      </w:pPr>
      <w:r>
        <w:rPr>
          <w:rStyle w:val="default"/>
          <w:rFonts w:cs="FrankRuehl" w:hint="cs"/>
          <w:rtl/>
        </w:rPr>
        <w:tab/>
        <w:t xml:space="preserve">"אזור 1" </w:t>
      </w:r>
      <w:r>
        <w:rPr>
          <w:rStyle w:val="default"/>
          <w:rFonts w:cs="FrankRuehl"/>
          <w:rtl/>
        </w:rPr>
        <w:t>–</w:t>
      </w:r>
      <w:r>
        <w:rPr>
          <w:rStyle w:val="default"/>
          <w:rFonts w:cs="FrankRuehl" w:hint="cs"/>
          <w:rtl/>
        </w:rPr>
        <w:t xml:space="preserve"> החלל בגובה 2.5 מטרים מעל לכל אחד מאלה:</w:t>
      </w:r>
    </w:p>
    <w:p w:rsidR="004B4E23" w:rsidRDefault="004B4E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אזור 0;</w:t>
      </w:r>
    </w:p>
    <w:p w:rsidR="004B4E23" w:rsidRDefault="004B4E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רצועת שטח ברוחב 2 מטרים מסביב לשפת הבריכה;</w:t>
      </w:r>
    </w:p>
    <w:p w:rsidR="004B4E23" w:rsidRDefault="004B4E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מגדלי קפיצה, מקפצות ומגלשות לרבות רצועת שטח ברוחב 1.5 מטרים מסביב להם; גובה החלל יימדד מהמפלס שבו עשויים להימצא בני אדם כמתואר באיורים מס' 1 עד 4 שבתוספת;</w:t>
      </w:r>
    </w:p>
    <w:p w:rsidR="004B4E23" w:rsidRDefault="004B4E23">
      <w:pPr>
        <w:pStyle w:val="P00"/>
        <w:spacing w:before="72"/>
        <w:ind w:left="0" w:right="1134"/>
        <w:rPr>
          <w:rStyle w:val="default"/>
          <w:rFonts w:cs="FrankRuehl" w:hint="cs"/>
          <w:rtl/>
        </w:rPr>
      </w:pPr>
      <w:r>
        <w:rPr>
          <w:rStyle w:val="default"/>
          <w:rFonts w:cs="FrankRuehl" w:hint="cs"/>
          <w:rtl/>
        </w:rPr>
        <w:tab/>
        <w:t xml:space="preserve">"אזור 2" </w:t>
      </w:r>
      <w:r>
        <w:rPr>
          <w:rStyle w:val="default"/>
          <w:rFonts w:cs="FrankRuehl"/>
          <w:rtl/>
        </w:rPr>
        <w:t>–</w:t>
      </w:r>
      <w:r>
        <w:rPr>
          <w:rStyle w:val="default"/>
          <w:rFonts w:cs="FrankRuehl" w:hint="cs"/>
          <w:rtl/>
        </w:rPr>
        <w:t xml:space="preserve"> החלל בגובה 2.5 מטרים מעל לרצועת שטח ברוחב 1.5 מטרים מגבול אזור 1; גובה החלל יימדד מהמפלס שבו עשויים להימצא בני אדם כמתואר באיורים מס' 1 עד 4 שבתוספת;</w:t>
      </w:r>
    </w:p>
    <w:p w:rsidR="004B4E23" w:rsidRDefault="004B4E23">
      <w:pPr>
        <w:pStyle w:val="P00"/>
        <w:spacing w:before="72"/>
        <w:ind w:left="0" w:right="1134"/>
        <w:rPr>
          <w:rStyle w:val="default"/>
          <w:rFonts w:cs="FrankRuehl" w:hint="cs"/>
          <w:rtl/>
        </w:rPr>
      </w:pPr>
      <w:r>
        <w:rPr>
          <w:rStyle w:val="default"/>
          <w:rFonts w:cs="FrankRuehl" w:hint="cs"/>
          <w:rtl/>
        </w:rPr>
        <w:tab/>
        <w:t xml:space="preserve">"אחראי" </w:t>
      </w:r>
      <w:r>
        <w:rPr>
          <w:rStyle w:val="default"/>
          <w:rFonts w:cs="FrankRuehl"/>
          <w:rtl/>
        </w:rPr>
        <w:t>–</w:t>
      </w:r>
      <w:r>
        <w:rPr>
          <w:rStyle w:val="default"/>
          <w:rFonts w:cs="FrankRuehl" w:hint="cs"/>
          <w:rtl/>
        </w:rPr>
        <w:t xml:space="preserve"> אחראי על תפעול הבריכה;</w:t>
      </w:r>
    </w:p>
    <w:p w:rsidR="004B4E23" w:rsidRDefault="004B4E23">
      <w:pPr>
        <w:pStyle w:val="P00"/>
        <w:spacing w:before="72"/>
        <w:ind w:left="0" w:right="1134"/>
        <w:rPr>
          <w:rStyle w:val="default"/>
          <w:rFonts w:cs="FrankRuehl" w:hint="cs"/>
          <w:rtl/>
        </w:rPr>
      </w:pPr>
      <w:r>
        <w:rPr>
          <w:rStyle w:val="default"/>
          <w:rFonts w:cs="FrankRuehl" w:hint="cs"/>
          <w:rtl/>
        </w:rPr>
        <w:tab/>
        <w:t xml:space="preserve">"בידוד" </w:t>
      </w:r>
      <w:r>
        <w:rPr>
          <w:rStyle w:val="default"/>
          <w:rFonts w:cs="FrankRuehl"/>
          <w:rtl/>
        </w:rPr>
        <w:t>–</w:t>
      </w:r>
      <w:r>
        <w:rPr>
          <w:rStyle w:val="default"/>
          <w:rFonts w:cs="FrankRuehl" w:hint="cs"/>
          <w:rtl/>
        </w:rPr>
        <w:t xml:space="preserve"> חומר שמוליכותו החשמלית היא קטנה למעשה;</w:t>
      </w:r>
    </w:p>
    <w:p w:rsidR="004B4E23" w:rsidRDefault="004B4E23">
      <w:pPr>
        <w:pStyle w:val="P00"/>
        <w:spacing w:before="72"/>
        <w:ind w:left="0" w:right="1134"/>
        <w:rPr>
          <w:rStyle w:val="default"/>
          <w:rFonts w:cs="FrankRuehl" w:hint="cs"/>
          <w:rtl/>
        </w:rPr>
      </w:pPr>
      <w:r>
        <w:rPr>
          <w:rStyle w:val="default"/>
          <w:rFonts w:cs="FrankRuehl" w:hint="cs"/>
          <w:rtl/>
        </w:rPr>
        <w:tab/>
        <w:t xml:space="preserve">"בריכה" </w:t>
      </w:r>
      <w:r>
        <w:rPr>
          <w:rStyle w:val="default"/>
          <w:rFonts w:cs="FrankRuehl"/>
          <w:rtl/>
        </w:rPr>
        <w:t>–</w:t>
      </w:r>
      <w:r>
        <w:rPr>
          <w:rStyle w:val="default"/>
          <w:rFonts w:cs="FrankRuehl" w:hint="cs"/>
          <w:rtl/>
        </w:rPr>
        <w:t xml:space="preserve"> בריכת שחיה, בריכת נוי, מזרקה, מריכת מרפא וכיוצא באלה, לרבות אזור 0, אזור 1, ואזור 2 שבהן;</w:t>
      </w:r>
    </w:p>
    <w:p w:rsidR="004B4E23" w:rsidRDefault="004B4E23">
      <w:pPr>
        <w:pStyle w:val="P00"/>
        <w:spacing w:before="72"/>
        <w:ind w:left="0" w:right="1134"/>
        <w:rPr>
          <w:rStyle w:val="default"/>
          <w:rFonts w:cs="FrankRuehl" w:hint="cs"/>
          <w:rtl/>
        </w:rPr>
      </w:pPr>
      <w:r>
        <w:rPr>
          <w:rStyle w:val="default"/>
          <w:rFonts w:cs="FrankRuehl" w:hint="cs"/>
          <w:rtl/>
        </w:rPr>
        <w:tab/>
        <w:t xml:space="preserve">"גוף חימום" </w:t>
      </w:r>
      <w:r>
        <w:rPr>
          <w:rStyle w:val="default"/>
          <w:rFonts w:cs="FrankRuehl"/>
          <w:rtl/>
        </w:rPr>
        <w:t>–</w:t>
      </w:r>
      <w:r>
        <w:rPr>
          <w:rStyle w:val="default"/>
          <w:rFonts w:cs="FrankRuehl" w:hint="cs"/>
          <w:rtl/>
        </w:rPr>
        <w:t xml:space="preserve"> ציוד המיועד לצורכי חימום;</w:t>
      </w:r>
    </w:p>
    <w:p w:rsidR="004B4E23" w:rsidRDefault="004B4E23">
      <w:pPr>
        <w:pStyle w:val="P00"/>
        <w:spacing w:before="72"/>
        <w:ind w:left="0" w:right="1134"/>
        <w:rPr>
          <w:rStyle w:val="default"/>
          <w:rFonts w:cs="FrankRuehl" w:hint="cs"/>
          <w:sz w:val="26"/>
          <w:rtl/>
        </w:rPr>
      </w:pPr>
      <w:r>
        <w:rPr>
          <w:rStyle w:val="default"/>
          <w:rFonts w:cs="FrankRuehl" w:hint="cs"/>
          <w:rtl/>
        </w:rPr>
        <w:tab/>
        <w:t xml:space="preserve">"דרגת הגנה </w:t>
      </w:r>
      <w:r>
        <w:rPr>
          <w:rStyle w:val="default"/>
          <w:rFonts w:cs="FrankRuehl"/>
          <w:szCs w:val="20"/>
        </w:rPr>
        <w:t>IP XXX</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דרגת הגנה כמשמעותה בת"י 981;</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"הארקת יסוד" </w:t>
      </w:r>
      <w:r>
        <w:rPr>
          <w:rStyle w:val="default"/>
          <w:rFonts w:cs="FrankRuehl"/>
          <w:sz w:val="26"/>
          <w:rtl/>
        </w:rPr>
        <w:t>–</w:t>
      </w:r>
      <w:r>
        <w:rPr>
          <w:rStyle w:val="default"/>
          <w:rFonts w:cs="FrankRuehl" w:hint="cs"/>
          <w:sz w:val="26"/>
          <w:rtl/>
        </w:rPr>
        <w:t xml:space="preserve"> מערכת הכוללת אלקטרודת הארקת יסוד, טבעת גישור, פס השוואת פוטנציאלים ומוליך הארקה המחבר בין הטבעת לבין הפס האמורים;</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"הפרד מגן" </w:t>
      </w:r>
      <w:r>
        <w:rPr>
          <w:rStyle w:val="default"/>
          <w:rFonts w:cs="FrankRuehl"/>
          <w:sz w:val="26"/>
          <w:rtl/>
        </w:rPr>
        <w:t>–</w:t>
      </w:r>
      <w:r>
        <w:rPr>
          <w:rStyle w:val="default"/>
          <w:rFonts w:cs="FrankRuehl" w:hint="cs"/>
          <w:sz w:val="26"/>
          <w:rtl/>
        </w:rPr>
        <w:t xml:space="preserve"> אמצעי הגנה בפני חשמול המאופיין על ידי העדר הארקת השיטה וזינה בו זמנית של מכשיר אחד בלבד;</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"זרם דלף" </w:t>
      </w:r>
      <w:r>
        <w:rPr>
          <w:rStyle w:val="default"/>
          <w:rFonts w:cs="FrankRuehl"/>
          <w:sz w:val="26"/>
          <w:rtl/>
        </w:rPr>
        <w:t>–</w:t>
      </w:r>
      <w:r>
        <w:rPr>
          <w:rStyle w:val="default"/>
          <w:rFonts w:cs="FrankRuehl" w:hint="cs"/>
          <w:sz w:val="26"/>
          <w:rtl/>
        </w:rPr>
        <w:t xml:space="preserve"> זרם הדולף דרך בידוד או על פניו;</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"זרם העמסת יתר" </w:t>
      </w:r>
      <w:r>
        <w:rPr>
          <w:rStyle w:val="default"/>
          <w:rFonts w:cs="FrankRuehl"/>
          <w:sz w:val="26"/>
          <w:rtl/>
        </w:rPr>
        <w:t>–</w:t>
      </w:r>
      <w:r>
        <w:rPr>
          <w:rStyle w:val="default"/>
          <w:rFonts w:cs="FrankRuehl" w:hint="cs"/>
          <w:sz w:val="26"/>
          <w:rtl/>
        </w:rPr>
        <w:t xml:space="preserve"> זרם יתר במעגל שאין בו תקלה והנגרם על ידי העמסת יתר;</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"זרם חילופין" </w:t>
      </w:r>
      <w:r>
        <w:rPr>
          <w:rStyle w:val="default"/>
          <w:rFonts w:cs="FrankRuehl"/>
          <w:sz w:val="26"/>
          <w:rtl/>
        </w:rPr>
        <w:t>–</w:t>
      </w:r>
      <w:r>
        <w:rPr>
          <w:rStyle w:val="default"/>
          <w:rFonts w:cs="FrankRuehl" w:hint="cs"/>
          <w:sz w:val="26"/>
          <w:rtl/>
        </w:rPr>
        <w:t xml:space="preserve"> זרם שהמשרעת שלו משתנה לפי תדר הרשת;</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"זרם ישר" </w:t>
      </w:r>
      <w:r>
        <w:rPr>
          <w:rStyle w:val="default"/>
          <w:rFonts w:cs="FrankRuehl"/>
          <w:sz w:val="26"/>
          <w:rtl/>
        </w:rPr>
        <w:t>–</w:t>
      </w:r>
      <w:r>
        <w:rPr>
          <w:rStyle w:val="default"/>
          <w:rFonts w:cs="FrankRuehl" w:hint="cs"/>
          <w:sz w:val="26"/>
          <w:rtl/>
        </w:rPr>
        <w:t xml:space="preserve"> זרם שהמשרעת שלו אינה משתנה בזמן ושיעור תכולת האדוות שבו אינה עולה על 10 אחוזים;</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"זרם יתר" </w:t>
      </w:r>
      <w:r>
        <w:rPr>
          <w:rStyle w:val="default"/>
          <w:rFonts w:cs="FrankRuehl"/>
          <w:sz w:val="26"/>
          <w:rtl/>
        </w:rPr>
        <w:t>–</w:t>
      </w:r>
      <w:r>
        <w:rPr>
          <w:rStyle w:val="default"/>
          <w:rFonts w:cs="FrankRuehl" w:hint="cs"/>
          <w:sz w:val="26"/>
          <w:rtl/>
        </w:rPr>
        <w:t xml:space="preserve"> זרם העולה על הזרם הנומילני; זרם יתר יכול שיהיה זרם העמסת יתר או זרם קצר;</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"זרם נומינלי" </w:t>
      </w:r>
      <w:r>
        <w:rPr>
          <w:rStyle w:val="default"/>
          <w:rFonts w:cs="FrankRuehl"/>
          <w:sz w:val="26"/>
          <w:rtl/>
        </w:rPr>
        <w:t>–</w:t>
      </w:r>
      <w:r>
        <w:rPr>
          <w:rStyle w:val="default"/>
          <w:rFonts w:cs="FrankRuehl" w:hint="cs"/>
          <w:sz w:val="26"/>
          <w:rtl/>
        </w:rPr>
        <w:t xml:space="preserve"> זרם אשר בעבורו תוכנן הציוד;</w:t>
      </w:r>
    </w:p>
    <w:p w:rsidR="004B4E23" w:rsidRDefault="004B4E23">
      <w:pPr>
        <w:pStyle w:val="P00"/>
        <w:spacing w:before="72"/>
        <w:ind w:left="0" w:right="1134"/>
        <w:rPr>
          <w:rStyle w:val="default"/>
          <w:rFonts w:cs="FrankRuehl" w:hint="cs"/>
          <w:sz w:val="26"/>
          <w:rtl/>
        </w:rPr>
      </w:pPr>
      <w:r>
        <w:rPr>
          <w:rStyle w:val="default"/>
          <w:rFonts w:cs="FrankRuehl" w:hint="cs"/>
          <w:sz w:val="26"/>
          <w:rtl/>
        </w:rPr>
        <w:lastRenderedPageBreak/>
        <w:tab/>
        <w:t xml:space="preserve">"זרם קצר" </w:t>
      </w:r>
      <w:r>
        <w:rPr>
          <w:rStyle w:val="default"/>
          <w:rFonts w:cs="FrankRuehl"/>
          <w:sz w:val="26"/>
          <w:rtl/>
        </w:rPr>
        <w:t>–</w:t>
      </w:r>
      <w:r>
        <w:rPr>
          <w:rStyle w:val="default"/>
          <w:rFonts w:cs="FrankRuehl" w:hint="cs"/>
          <w:sz w:val="26"/>
          <w:rtl/>
        </w:rPr>
        <w:t xml:space="preserve"> זרם יתר המופיע כתוצאה מקצר;</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"חי" </w:t>
      </w:r>
      <w:r>
        <w:rPr>
          <w:rStyle w:val="default"/>
          <w:rFonts w:cs="FrankRuehl"/>
          <w:sz w:val="26"/>
          <w:rtl/>
        </w:rPr>
        <w:t>–</w:t>
      </w:r>
      <w:r>
        <w:rPr>
          <w:rStyle w:val="default"/>
          <w:rFonts w:cs="FrankRuehl" w:hint="cs"/>
          <w:sz w:val="26"/>
          <w:rtl/>
        </w:rPr>
        <w:t xml:space="preserve"> מצב של מוליך כשהוא מחובר למקור של מתח חשמלי באופן גלווני או השראתי או כשהוא טעון חשמל;</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"טבעת גישור" </w:t>
      </w:r>
      <w:r>
        <w:rPr>
          <w:rStyle w:val="default"/>
          <w:rFonts w:cs="FrankRuehl"/>
          <w:sz w:val="26"/>
          <w:rtl/>
        </w:rPr>
        <w:t>–</w:t>
      </w:r>
      <w:r>
        <w:rPr>
          <w:rStyle w:val="default"/>
          <w:rFonts w:cs="FrankRuehl" w:hint="cs"/>
          <w:sz w:val="26"/>
          <w:rtl/>
        </w:rPr>
        <w:t xml:space="preserve"> טבעת מתכתית המגשרת בין חלקי אלקטרודת הארקת יסוד והיא חלק ממנה;</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"כבל עילי" </w:t>
      </w:r>
      <w:r>
        <w:rPr>
          <w:rStyle w:val="default"/>
          <w:rFonts w:cs="FrankRuehl"/>
          <w:sz w:val="26"/>
          <w:rtl/>
        </w:rPr>
        <w:t>–</w:t>
      </w:r>
      <w:r>
        <w:rPr>
          <w:rStyle w:val="default"/>
          <w:rFonts w:cs="FrankRuehl" w:hint="cs"/>
          <w:sz w:val="26"/>
          <w:rtl/>
        </w:rPr>
        <w:t xml:space="preserve"> כבל התלוי על תיל נושא או הכולל בתוכו תיל נושא;</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"לוח חשמל" </w:t>
      </w:r>
      <w:r>
        <w:rPr>
          <w:rStyle w:val="default"/>
          <w:rFonts w:cs="FrankRuehl"/>
          <w:sz w:val="26"/>
          <w:rtl/>
        </w:rPr>
        <w:t>–</w:t>
      </w:r>
      <w:r>
        <w:rPr>
          <w:rStyle w:val="default"/>
          <w:rFonts w:cs="FrankRuehl" w:hint="cs"/>
          <w:sz w:val="26"/>
          <w:rtl/>
        </w:rPr>
        <w:t xml:space="preserve"> מסד והציוד המורכב עליו לפיקוד ולפיקוח על המיתקן;</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"מבדד" </w:t>
      </w:r>
      <w:r>
        <w:rPr>
          <w:rStyle w:val="default"/>
          <w:rFonts w:cs="FrankRuehl"/>
          <w:sz w:val="26"/>
          <w:rtl/>
        </w:rPr>
        <w:t>–</w:t>
      </w:r>
      <w:r>
        <w:rPr>
          <w:rStyle w:val="default"/>
          <w:rFonts w:cs="FrankRuehl" w:hint="cs"/>
          <w:sz w:val="26"/>
          <w:rtl/>
        </w:rPr>
        <w:t xml:space="preserve"> אבזר העשוי מחומר בידוד הנועד לחיזוק ונשיאה מכניים של רשת;</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"מבטח" </w:t>
      </w:r>
      <w:r>
        <w:rPr>
          <w:rStyle w:val="default"/>
          <w:rFonts w:cs="FrankRuehl"/>
          <w:sz w:val="26"/>
          <w:rtl/>
        </w:rPr>
        <w:t>–</w:t>
      </w:r>
      <w:r>
        <w:rPr>
          <w:rStyle w:val="default"/>
          <w:rFonts w:cs="FrankRuehl" w:hint="cs"/>
          <w:sz w:val="26"/>
          <w:rtl/>
        </w:rPr>
        <w:t xml:space="preserve"> אבזר הגנה להפסקה אוטומטית של זרם יתר במעגל או קו; מבטח יכול שיהיה נתיך או מספק אוטומטי;</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"מובל" </w:t>
      </w:r>
      <w:r>
        <w:rPr>
          <w:rStyle w:val="default"/>
          <w:rFonts w:cs="FrankRuehl"/>
          <w:sz w:val="26"/>
          <w:rtl/>
        </w:rPr>
        <w:t>–</w:t>
      </w:r>
      <w:r>
        <w:rPr>
          <w:rStyle w:val="default"/>
          <w:rFonts w:cs="FrankRuehl" w:hint="cs"/>
          <w:sz w:val="26"/>
          <w:rtl/>
        </w:rPr>
        <w:t xml:space="preserve"> התקן הנושא או העוטף מוליך או כבל;</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"מוליך" </w:t>
      </w:r>
      <w:r>
        <w:rPr>
          <w:rStyle w:val="default"/>
          <w:rFonts w:cs="FrankRuehl"/>
          <w:sz w:val="26"/>
          <w:rtl/>
        </w:rPr>
        <w:t>–</w:t>
      </w:r>
      <w:r>
        <w:rPr>
          <w:rStyle w:val="default"/>
          <w:rFonts w:cs="FrankRuehl" w:hint="cs"/>
          <w:sz w:val="26"/>
          <w:rtl/>
        </w:rPr>
        <w:t xml:space="preserve"> גוף המיועד להעברת זרם חשמלי;</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"מוליך השוואת פוטנציאלים" </w:t>
      </w:r>
      <w:r>
        <w:rPr>
          <w:rStyle w:val="default"/>
          <w:rFonts w:cs="FrankRuehl"/>
          <w:sz w:val="26"/>
          <w:rtl/>
        </w:rPr>
        <w:t>–</w:t>
      </w:r>
      <w:r>
        <w:rPr>
          <w:rStyle w:val="default"/>
          <w:rFonts w:cs="FrankRuehl" w:hint="cs"/>
          <w:sz w:val="26"/>
          <w:rtl/>
        </w:rPr>
        <w:t xml:space="preserve"> מוליך המחבר את השירותים המתכתיים הלא חשמליים של המבנה אל פס השוואת פוטנציאלים או אל פס הארקה;</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"מזרקה" </w:t>
      </w:r>
      <w:r>
        <w:rPr>
          <w:rStyle w:val="default"/>
          <w:rFonts w:cs="FrankRuehl"/>
          <w:sz w:val="26"/>
          <w:rtl/>
        </w:rPr>
        <w:t>–</w:t>
      </w:r>
      <w:r>
        <w:rPr>
          <w:rStyle w:val="default"/>
          <w:rFonts w:cs="FrankRuehl" w:hint="cs"/>
          <w:sz w:val="26"/>
          <w:rtl/>
        </w:rPr>
        <w:t xml:space="preserve"> בריכת מים המיועדת למטרת נוי כמתואר באיור 4 שבתוספת;</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"מיתקן" </w:t>
      </w:r>
      <w:r>
        <w:rPr>
          <w:rStyle w:val="default"/>
          <w:rFonts w:cs="FrankRuehl"/>
          <w:sz w:val="26"/>
          <w:rtl/>
        </w:rPr>
        <w:t>–</w:t>
      </w:r>
      <w:r>
        <w:rPr>
          <w:rStyle w:val="default"/>
          <w:rFonts w:cs="FrankRuehl" w:hint="cs"/>
          <w:sz w:val="26"/>
          <w:rtl/>
        </w:rPr>
        <w:t xml:space="preserve"> מיתקן חשמלי כהגדרתו בחוק;</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"מעגל" </w:t>
      </w:r>
      <w:r>
        <w:rPr>
          <w:rStyle w:val="default"/>
          <w:rFonts w:cs="FrankRuehl"/>
          <w:sz w:val="26"/>
          <w:rtl/>
        </w:rPr>
        <w:t>–</w:t>
      </w:r>
      <w:r>
        <w:rPr>
          <w:rStyle w:val="default"/>
          <w:rFonts w:cs="FrankRuehl" w:hint="cs"/>
          <w:sz w:val="26"/>
          <w:rtl/>
        </w:rPr>
        <w:t xml:space="preserve"> מספר מוליכים, על אבזריהם, המוגנים באמצעות מבטח משותף;</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"מערכת השוואת פוטנציאלים" </w:t>
      </w:r>
      <w:r>
        <w:rPr>
          <w:rStyle w:val="default"/>
          <w:rFonts w:cs="FrankRuehl"/>
          <w:sz w:val="26"/>
          <w:rtl/>
        </w:rPr>
        <w:t>–</w:t>
      </w:r>
      <w:r>
        <w:rPr>
          <w:rStyle w:val="default"/>
          <w:rFonts w:cs="FrankRuehl" w:hint="cs"/>
          <w:sz w:val="26"/>
          <w:rtl/>
        </w:rPr>
        <w:t xml:space="preserve"> חיבור גלווני בין מכשירים, חלקי מכשירים או חלקי מבנה מתכתיים אל פס השוואת פוטנציאלים ראשי;</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"מפסק מגן" </w:t>
      </w:r>
      <w:r>
        <w:rPr>
          <w:rStyle w:val="default"/>
          <w:rFonts w:cs="FrankRuehl"/>
          <w:sz w:val="26"/>
          <w:rtl/>
        </w:rPr>
        <w:t>–</w:t>
      </w:r>
      <w:r>
        <w:rPr>
          <w:rStyle w:val="default"/>
          <w:rFonts w:cs="FrankRuehl" w:hint="cs"/>
          <w:sz w:val="26"/>
          <w:rtl/>
        </w:rPr>
        <w:t xml:space="preserve"> מפסק המיועד לנתק אוטומטית מיתקן המוגן על ידו ממקור הזינה, במקרה של הופעת זרם דלף לאדמה;</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"מפעיל" </w:t>
      </w:r>
      <w:r>
        <w:rPr>
          <w:rStyle w:val="default"/>
          <w:rFonts w:cs="FrankRuehl"/>
          <w:sz w:val="26"/>
          <w:rtl/>
        </w:rPr>
        <w:t>–</w:t>
      </w:r>
      <w:r>
        <w:rPr>
          <w:rStyle w:val="default"/>
          <w:rFonts w:cs="FrankRuehl" w:hint="cs"/>
          <w:sz w:val="26"/>
          <w:rtl/>
        </w:rPr>
        <w:t xml:space="preserve"> אדם שהודרך על ידי האחראי בדבר הוראות הבטיחות ותפעול הבריכה;</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"מקור זינה" </w:t>
      </w:r>
      <w:r>
        <w:rPr>
          <w:rStyle w:val="default"/>
          <w:rFonts w:cs="FrankRuehl"/>
          <w:sz w:val="26"/>
          <w:rtl/>
        </w:rPr>
        <w:t>–</w:t>
      </w:r>
      <w:r>
        <w:rPr>
          <w:rStyle w:val="default"/>
          <w:rFonts w:cs="FrankRuehl" w:hint="cs"/>
          <w:sz w:val="26"/>
          <w:rtl/>
        </w:rPr>
        <w:t xml:space="preserve"> גנרטור, שנאי, ממיר, מיישר זרם, תא ראשוני או מצבר, הכל לפי הענין;</w:t>
      </w:r>
    </w:p>
    <w:p w:rsidR="004B4E23" w:rsidRDefault="004B4E23">
      <w:pPr>
        <w:pStyle w:val="P00"/>
        <w:spacing w:before="72"/>
        <w:ind w:left="0" w:right="1134"/>
        <w:rPr>
          <w:rStyle w:val="default"/>
          <w:rFonts w:cs="FrankRuehl" w:hint="cs"/>
          <w:sz w:val="26"/>
          <w:rtl/>
        </w:rPr>
      </w:pPr>
      <w:r>
        <w:rPr>
          <w:rStyle w:val="default"/>
          <w:rFonts w:cs="FrankRuehl" w:hint="cs"/>
          <w:sz w:val="26"/>
          <w:rtl/>
        </w:rPr>
        <w:tab/>
        <w:t>"מתח בטיחות נמוך מאוד" (</w:t>
      </w:r>
      <w:r>
        <w:rPr>
          <w:rStyle w:val="default"/>
          <w:rFonts w:cs="FrankRuehl"/>
          <w:szCs w:val="20"/>
        </w:rPr>
        <w:t>Safety Extra Low Voltage (SELV)</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מתח השורר בין שני מוליכים באותה שיטת אספקה, שאינו עולה על </w:t>
      </w:r>
      <w:r>
        <w:rPr>
          <w:rStyle w:val="default"/>
          <w:rFonts w:cs="FrankRuehl"/>
          <w:sz w:val="26"/>
          <w:rtl/>
        </w:rPr>
        <w:t>–</w:t>
      </w:r>
    </w:p>
    <w:p w:rsidR="004B4E23" w:rsidRDefault="004B4E23">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12 וולט בזרם חילופין;</w:t>
      </w:r>
    </w:p>
    <w:p w:rsidR="004B4E23" w:rsidRDefault="004B4E23">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30 וולט בזרם ישר;</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"מתח נמוך" </w:t>
      </w:r>
      <w:r>
        <w:rPr>
          <w:rStyle w:val="default"/>
          <w:rFonts w:cs="FrankRuehl"/>
          <w:sz w:val="26"/>
          <w:rtl/>
        </w:rPr>
        <w:t>–</w:t>
      </w:r>
      <w:r>
        <w:rPr>
          <w:rStyle w:val="default"/>
          <w:rFonts w:cs="FrankRuehl" w:hint="cs"/>
          <w:sz w:val="26"/>
          <w:rtl/>
        </w:rPr>
        <w:t xml:space="preserve"> מתח העולה על 50 וולט בזרם חילופין או 120 וולט בזרם ישר ואינו עולה על 1,000 וולט בזרם חילופין או 1,500 וולט בזרם ישר בין שני מוליכים כלשהם באותה שיטת אספקה, זולת אם נאמר אחרת בתקנות אלה;</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"פס השוואת פוטנציאלים" </w:t>
      </w:r>
      <w:r>
        <w:rPr>
          <w:rStyle w:val="default"/>
          <w:rFonts w:cs="FrankRuehl"/>
          <w:sz w:val="26"/>
          <w:rtl/>
        </w:rPr>
        <w:t>–</w:t>
      </w:r>
      <w:r>
        <w:rPr>
          <w:rStyle w:val="default"/>
          <w:rFonts w:cs="FrankRuehl" w:hint="cs"/>
          <w:sz w:val="26"/>
          <w:rtl/>
        </w:rPr>
        <w:t xml:space="preserve"> פס שאליו מתחברים מוליכי הארקה ומוליכי חיבור; פס זה יכול לשמש גם כפס הארקה;</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"פס השוואת פוטנציאלים ראשי" </w:t>
      </w:r>
      <w:r>
        <w:rPr>
          <w:rStyle w:val="default"/>
          <w:rFonts w:cs="FrankRuehl"/>
          <w:sz w:val="26"/>
          <w:rtl/>
        </w:rPr>
        <w:t>–</w:t>
      </w:r>
      <w:r>
        <w:rPr>
          <w:rStyle w:val="default"/>
          <w:rFonts w:cs="FrankRuehl" w:hint="cs"/>
          <w:sz w:val="26"/>
          <w:rtl/>
        </w:rPr>
        <w:t xml:space="preserve"> פס השוואת פוטנציאלים שמחובר ישירות להארקת יסוד;</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"ציוד" </w:t>
      </w:r>
      <w:r>
        <w:rPr>
          <w:rStyle w:val="default"/>
          <w:rFonts w:cs="FrankRuehl"/>
          <w:sz w:val="26"/>
          <w:rtl/>
        </w:rPr>
        <w:t>–</w:t>
      </w:r>
      <w:r>
        <w:rPr>
          <w:rStyle w:val="default"/>
          <w:rFonts w:cs="FrankRuehl" w:hint="cs"/>
          <w:sz w:val="26"/>
          <w:rtl/>
        </w:rPr>
        <w:t xml:space="preserve"> פריטים המהווים חלק ממיתקן;</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"ציוד ייעודי" </w:t>
      </w:r>
      <w:r>
        <w:rPr>
          <w:rStyle w:val="default"/>
          <w:rFonts w:cs="FrankRuehl"/>
          <w:sz w:val="26"/>
          <w:rtl/>
        </w:rPr>
        <w:t>–</w:t>
      </w:r>
      <w:r>
        <w:rPr>
          <w:rStyle w:val="default"/>
          <w:rFonts w:cs="FrankRuehl" w:hint="cs"/>
          <w:sz w:val="26"/>
          <w:rtl/>
        </w:rPr>
        <w:t xml:space="preserve"> ציוד השייך למיתקנים בבריכות, כגון משאבות ופילטרים מיוחדים;</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"ציוד מיתוג" </w:t>
      </w:r>
      <w:r>
        <w:rPr>
          <w:rStyle w:val="default"/>
          <w:rFonts w:cs="FrankRuehl"/>
          <w:sz w:val="26"/>
          <w:rtl/>
        </w:rPr>
        <w:t>–</w:t>
      </w:r>
      <w:r>
        <w:rPr>
          <w:rStyle w:val="default"/>
          <w:rFonts w:cs="FrankRuehl" w:hint="cs"/>
          <w:sz w:val="26"/>
          <w:rtl/>
        </w:rPr>
        <w:t xml:space="preserve"> ציוד המיועד להפעלת ציוד או ניתוקו ממקור זינה;</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"קופסת הסתעפות" </w:t>
      </w:r>
      <w:r>
        <w:rPr>
          <w:rStyle w:val="default"/>
          <w:rFonts w:cs="FrankRuehl"/>
          <w:sz w:val="26"/>
          <w:rtl/>
        </w:rPr>
        <w:t>–</w:t>
      </w:r>
      <w:r>
        <w:rPr>
          <w:rStyle w:val="default"/>
          <w:rFonts w:cs="FrankRuehl" w:hint="cs"/>
          <w:sz w:val="26"/>
          <w:rtl/>
        </w:rPr>
        <w:t xml:space="preserve"> קופסה המיועדת לחיבורים בין מוליכים המותקנים במובל, או המשמשת אמצעי חיבור בין קטעי מערכת מובלים, להשחלת מוליכים או להטיית התוואי המובל;</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"רשת" </w:t>
      </w:r>
      <w:r>
        <w:rPr>
          <w:rStyle w:val="default"/>
          <w:rFonts w:cs="FrankRuehl"/>
          <w:sz w:val="26"/>
          <w:rtl/>
        </w:rPr>
        <w:t>–</w:t>
      </w:r>
      <w:r>
        <w:rPr>
          <w:rStyle w:val="default"/>
          <w:rFonts w:cs="FrankRuehl" w:hint="cs"/>
          <w:sz w:val="26"/>
          <w:rtl/>
        </w:rPr>
        <w:t xml:space="preserve"> מערכת מוליכים המותקנים על מבדדים, או כבל עילי, שחלקו יכול להיות תת-קרקעי או צרור מוליכי רשת אווירית מבודדת ואבזרים הקשורים בפעולתם, לרבות החיבור למבנה עד להדקי הכניסה למבטח שבכניסה למבנה;</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"שיטת אספקה" </w:t>
      </w:r>
      <w:r>
        <w:rPr>
          <w:rStyle w:val="default"/>
          <w:rFonts w:cs="FrankRuehl"/>
          <w:sz w:val="26"/>
          <w:rtl/>
        </w:rPr>
        <w:t>–</w:t>
      </w:r>
      <w:r>
        <w:rPr>
          <w:rStyle w:val="default"/>
          <w:rFonts w:cs="FrankRuehl" w:hint="cs"/>
          <w:sz w:val="26"/>
          <w:rtl/>
        </w:rPr>
        <w:t xml:space="preserve"> אספקת חשמל המאופיינת על ידי סוג הזרם, התדר, מספר המוליכים והמתחים בין המוליכים ובין המוליכים לאדמה, וצורת חיבור נקודת הכוכב או התווך להארקה;</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"תיל" </w:t>
      </w:r>
      <w:r>
        <w:rPr>
          <w:rStyle w:val="default"/>
          <w:rFonts w:cs="FrankRuehl"/>
          <w:sz w:val="26"/>
          <w:rtl/>
        </w:rPr>
        <w:t>–</w:t>
      </w:r>
      <w:r>
        <w:rPr>
          <w:rStyle w:val="default"/>
          <w:rFonts w:cs="FrankRuehl" w:hint="cs"/>
          <w:sz w:val="26"/>
          <w:rtl/>
        </w:rPr>
        <w:t xml:space="preserve"> רכיב מתכתי יחיד בעל חתך עגול;</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"תיל נושא" </w:t>
      </w:r>
      <w:r>
        <w:rPr>
          <w:rStyle w:val="default"/>
          <w:rFonts w:cs="FrankRuehl"/>
          <w:sz w:val="26"/>
          <w:rtl/>
        </w:rPr>
        <w:t>–</w:t>
      </w:r>
      <w:r>
        <w:rPr>
          <w:rStyle w:val="default"/>
          <w:rFonts w:cs="FrankRuehl" w:hint="cs"/>
          <w:sz w:val="26"/>
          <w:rtl/>
        </w:rPr>
        <w:t xml:space="preserve"> תיל עשוי מתכת או חומר אחר שווה ערך מבחינה מכנית למתכת מרופה לפי ת"י 65 "מוליכים בכבלים מבודדים";</w:t>
      </w:r>
    </w:p>
    <w:p w:rsidR="004B4E23" w:rsidRDefault="004B4E23">
      <w:pPr>
        <w:pStyle w:val="P00"/>
        <w:spacing w:before="72"/>
        <w:ind w:left="0" w:right="1134"/>
        <w:rPr>
          <w:rStyle w:val="default"/>
          <w:rFonts w:cs="FrankRuehl" w:hint="cs"/>
          <w:sz w:val="26"/>
          <w:rtl/>
        </w:rPr>
      </w:pPr>
      <w:r>
        <w:rPr>
          <w:rStyle w:val="default"/>
          <w:rFonts w:cs="FrankRuehl" w:hint="cs"/>
          <w:sz w:val="26"/>
          <w:rtl/>
        </w:rPr>
        <w:tab/>
        <w:t xml:space="preserve">"תקן" </w:t>
      </w:r>
      <w:r>
        <w:rPr>
          <w:rStyle w:val="default"/>
          <w:rFonts w:cs="FrankRuehl"/>
          <w:sz w:val="26"/>
          <w:rtl/>
        </w:rPr>
        <w:t>–</w:t>
      </w:r>
      <w:r>
        <w:rPr>
          <w:rStyle w:val="default"/>
          <w:rFonts w:cs="FrankRuehl" w:hint="cs"/>
          <w:sz w:val="26"/>
          <w:rtl/>
        </w:rPr>
        <w:t xml:space="preserve"> תקן ישראלי (ת"י) כהגדרתו בסעיף 6(א) לחוק התקנים, התשי"ג-1953, או תקן רשמי כהגדרתו בסעיף 8(א) לחוק האמור, שכולם הופקדו לעיון הציבור בספריית מכון התקנים, רח' חיים לבנון 42, תל אביב ובמרכז המידע של חברת החשמל לישראל בע"מ, אתר תחנת הכוח, חיפה, או תקן אחר שאישר המנהל.</w:t>
      </w:r>
    </w:p>
    <w:p w:rsidR="004B4E23" w:rsidRDefault="004B4E23">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ב': מניעת חשמול</w:t>
      </w:r>
    </w:p>
    <w:p w:rsidR="004B4E23" w:rsidRDefault="004B4E23">
      <w:pPr>
        <w:pStyle w:val="P00"/>
        <w:spacing w:before="72"/>
        <w:ind w:left="0" w:right="1134"/>
        <w:rPr>
          <w:rStyle w:val="default"/>
          <w:rFonts w:cs="FrankRuehl" w:hint="cs"/>
          <w:rtl/>
        </w:rPr>
      </w:pPr>
      <w:bookmarkStart w:id="1" w:name="Seif1"/>
      <w:bookmarkEnd w:id="1"/>
      <w:r>
        <w:rPr>
          <w:rFonts w:cs="Miriam"/>
          <w:szCs w:val="32"/>
          <w:rtl/>
          <w:lang w:val="he-IL"/>
        </w:rPr>
        <w:pict>
          <v:shapetype id="_x0000_t202" coordsize="21600,21600" o:spt="202" path="m,l,21600r21600,l21600,xe">
            <v:stroke joinstyle="miter"/>
            <v:path gradientshapeok="t" o:connecttype="rect"/>
          </v:shapetype>
          <v:shape id="_x0000_s1126" type="#_x0000_t202" style="position:absolute;left:0;text-align:left;margin-left:470.25pt;margin-top:4.95pt;width:1in;height:13.7pt;z-index:251650048" filled="f" stroked="f">
            <v:textbox inset="1mm,,1mm">
              <w:txbxContent>
                <w:p w:rsidR="004B4E23" w:rsidRDefault="004B4E23">
                  <w:pPr>
                    <w:spacing w:line="160" w:lineRule="exact"/>
                    <w:jc w:val="left"/>
                    <w:rPr>
                      <w:rFonts w:cs="Miriam" w:hint="cs"/>
                      <w:szCs w:val="18"/>
                      <w:rtl/>
                    </w:rPr>
                  </w:pPr>
                  <w:r>
                    <w:rPr>
                      <w:rFonts w:cs="Miriam" w:hint="cs"/>
                      <w:szCs w:val="18"/>
                      <w:rtl/>
                    </w:rPr>
                    <w:t>הגנות בפני חשמול</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מיתקן בבריכה יותקן ויוגן לפי הוראות אלה:</w:t>
      </w:r>
    </w:p>
    <w:p w:rsidR="004B4E23" w:rsidRDefault="004B4E2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באזור 0 ובאזור 1 </w:t>
      </w:r>
      <w:r>
        <w:rPr>
          <w:rStyle w:val="default"/>
          <w:rFonts w:cs="FrankRuehl"/>
          <w:rtl/>
        </w:rPr>
        <w:t>–</w:t>
      </w:r>
    </w:p>
    <w:p w:rsidR="004B4E23" w:rsidRDefault="004B4E23">
      <w:pPr>
        <w:pStyle w:val="P00"/>
        <w:spacing w:before="72"/>
        <w:ind w:left="1021" w:right="1134"/>
        <w:rPr>
          <w:rStyle w:val="default"/>
          <w:rFonts w:cs="FrankRuehl" w:hint="cs"/>
          <w:sz w:val="26"/>
          <w:rtl/>
        </w:rPr>
      </w:pPr>
      <w:r>
        <w:rPr>
          <w:rStyle w:val="default"/>
          <w:rFonts w:cs="FrankRuehl" w:hint="cs"/>
          <w:rtl/>
        </w:rPr>
        <w:t>(א)</w:t>
      </w:r>
      <w:r>
        <w:rPr>
          <w:rStyle w:val="default"/>
          <w:rFonts w:cs="FrankRuehl" w:hint="cs"/>
          <w:rtl/>
        </w:rPr>
        <w:tab/>
        <w:t>יוזן המיתקן במתח בטיחות נמוך מאוד (</w:t>
      </w:r>
      <w:r>
        <w:rPr>
          <w:rStyle w:val="default"/>
          <w:rFonts w:cs="FrankRuehl"/>
          <w:szCs w:val="20"/>
        </w:rPr>
        <w:t>SELV</w:t>
      </w:r>
      <w:r>
        <w:rPr>
          <w:rStyle w:val="default"/>
          <w:rFonts w:cs="FrankRuehl" w:hint="cs"/>
          <w:sz w:val="26"/>
          <w:rtl/>
        </w:rPr>
        <w:t>), ובלבד שמקור הזינה ימוקם מחוץ לאזורים האמורים.</w:t>
      </w:r>
    </w:p>
    <w:p w:rsidR="004B4E23" w:rsidRDefault="004B4E23">
      <w:pPr>
        <w:pStyle w:val="P00"/>
        <w:spacing w:before="72"/>
        <w:ind w:left="1021" w:right="1134"/>
        <w:rPr>
          <w:rStyle w:val="default"/>
          <w:rFonts w:cs="FrankRuehl" w:hint="cs"/>
          <w:sz w:val="26"/>
          <w:rtl/>
        </w:rPr>
      </w:pPr>
      <w:r>
        <w:rPr>
          <w:rStyle w:val="default"/>
          <w:rFonts w:cs="FrankRuehl" w:hint="cs"/>
          <w:sz w:val="26"/>
          <w:rtl/>
        </w:rPr>
        <w:t>(ב)</w:t>
      </w:r>
      <w:r>
        <w:rPr>
          <w:rStyle w:val="default"/>
          <w:rFonts w:cs="FrankRuehl" w:hint="cs"/>
          <w:sz w:val="26"/>
          <w:rtl/>
        </w:rPr>
        <w:tab/>
        <w:t>יוגן הציוד בהתאם לאחת הדרישות שלהלן:</w:t>
      </w:r>
    </w:p>
    <w:p w:rsidR="004B4E23" w:rsidRDefault="004B4E23">
      <w:pPr>
        <w:pStyle w:val="P00"/>
        <w:spacing w:before="72"/>
        <w:ind w:left="1474"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הגנה בפני מגע בחלק חי באמצעות כיסויים בעלי דרגת הגנה </w:t>
      </w:r>
      <w:r>
        <w:rPr>
          <w:rStyle w:val="default"/>
          <w:rFonts w:cs="FrankRuehl"/>
          <w:szCs w:val="20"/>
        </w:rPr>
        <w:t>IP 2X</w:t>
      </w:r>
      <w:r>
        <w:rPr>
          <w:rStyle w:val="default"/>
          <w:rFonts w:cs="FrankRuehl" w:hint="cs"/>
          <w:sz w:val="26"/>
          <w:rtl/>
        </w:rPr>
        <w:t>;</w:t>
      </w:r>
    </w:p>
    <w:p w:rsidR="004B4E23" w:rsidRDefault="004B4E23">
      <w:pPr>
        <w:pStyle w:val="P00"/>
        <w:spacing w:before="72"/>
        <w:ind w:left="1474" w:right="1134"/>
        <w:rPr>
          <w:rStyle w:val="default"/>
          <w:rFonts w:cs="FrankRuehl" w:hint="cs"/>
          <w:sz w:val="26"/>
          <w:rtl/>
        </w:rPr>
      </w:pPr>
      <w:r>
        <w:rPr>
          <w:rStyle w:val="default"/>
          <w:rFonts w:cs="FrankRuehl" w:hint="cs"/>
          <w:sz w:val="26"/>
          <w:rtl/>
        </w:rPr>
        <w:t>(2)</w:t>
      </w:r>
      <w:r>
        <w:rPr>
          <w:rStyle w:val="default"/>
          <w:rFonts w:cs="FrankRuehl" w:hint="cs"/>
          <w:sz w:val="26"/>
          <w:rtl/>
        </w:rPr>
        <w:tab/>
        <w:t>בידוד העומד במתח של 500 וולט בזרם חילופין, למשך 60 שניות לפחות.</w:t>
      </w:r>
    </w:p>
    <w:p w:rsidR="004B4E23" w:rsidRDefault="004B4E2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באזור 2 </w:t>
      </w:r>
      <w:r>
        <w:rPr>
          <w:rStyle w:val="default"/>
          <w:rFonts w:cs="FrankRuehl"/>
          <w:rtl/>
        </w:rPr>
        <w:t>–</w:t>
      </w:r>
    </w:p>
    <w:p w:rsidR="004B4E23" w:rsidRDefault="004B4E2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יוזן המיתקן במתח בטיחות נמוך מאוד (</w:t>
      </w:r>
      <w:r>
        <w:rPr>
          <w:rStyle w:val="default"/>
          <w:rFonts w:cs="FrankRuehl"/>
        </w:rPr>
        <w:t>SELV</w:t>
      </w:r>
      <w:r>
        <w:rPr>
          <w:rStyle w:val="default"/>
          <w:rFonts w:cs="FrankRuehl" w:hint="cs"/>
          <w:rtl/>
        </w:rPr>
        <w:t>) והציוד יוגן כנדרש בפסקה (1);</w:t>
      </w:r>
    </w:p>
    <w:p w:rsidR="004B4E23" w:rsidRDefault="004B4E2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כל מעגל סופי יוגן באמצעות מפסק מגן, בפני זרם דלף העולה על 0.030 אמפר;</w:t>
      </w:r>
    </w:p>
    <w:p w:rsidR="004B4E23" w:rsidRDefault="004B4E2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הציוד יוזן בהפרד מגן כנדרש בתקנות החשמל (הארקות ואמצעי הגנה בפני חשמול במתח שאינו עולה על 1,000 וולט), התשנ"א-1991; השימוש בציוד המוזן בהפרד מגן מותר רק כשאין בני אדם בבריכה;</w:t>
      </w:r>
    </w:p>
    <w:p w:rsidR="004B4E23" w:rsidRDefault="004B4E2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מקור זינה למתח בטיחות נמוך מאוד (</w:t>
      </w:r>
      <w:r>
        <w:rPr>
          <w:rStyle w:val="default"/>
          <w:rFonts w:cs="FrankRuehl"/>
        </w:rPr>
        <w:t>SELV</w:t>
      </w:r>
      <w:r>
        <w:rPr>
          <w:rStyle w:val="default"/>
          <w:rFonts w:cs="FrankRuehl" w:hint="cs"/>
          <w:rtl/>
        </w:rPr>
        <w:t>) או להפרד מגן ימוקם מחוץ לאזור 0, אזור 1 ואזור 2.</w:t>
      </w:r>
    </w:p>
    <w:p w:rsidR="004B4E23" w:rsidRDefault="004B4E23">
      <w:pPr>
        <w:pStyle w:val="P00"/>
        <w:spacing w:before="72"/>
        <w:ind w:left="0" w:right="1134"/>
        <w:rPr>
          <w:rStyle w:val="default"/>
          <w:rFonts w:cs="FrankRuehl" w:hint="cs"/>
          <w:rtl/>
        </w:rPr>
      </w:pPr>
      <w:bookmarkStart w:id="2" w:name="Seif2"/>
      <w:bookmarkEnd w:id="2"/>
      <w:r>
        <w:rPr>
          <w:rFonts w:cs="Miriam"/>
          <w:szCs w:val="32"/>
          <w:rtl/>
          <w:lang w:val="he-IL"/>
        </w:rPr>
        <w:pict>
          <v:shape id="_x0000_s1127" type="#_x0000_t202" style="position:absolute;left:0;text-align:left;margin-left:470.25pt;margin-top:2.6pt;width:1in;height:24.55pt;z-index:251651072" filled="f" stroked="f">
            <v:textbox inset="1mm,,1mm">
              <w:txbxContent>
                <w:p w:rsidR="004B4E23" w:rsidRDefault="004B4E23">
                  <w:pPr>
                    <w:spacing w:line="160" w:lineRule="exact"/>
                    <w:jc w:val="left"/>
                    <w:rPr>
                      <w:rFonts w:cs="Miriam" w:hint="cs"/>
                      <w:szCs w:val="18"/>
                      <w:rtl/>
                    </w:rPr>
                  </w:pPr>
                  <w:r>
                    <w:rPr>
                      <w:rFonts w:cs="Miriam" w:hint="cs"/>
                      <w:szCs w:val="18"/>
                      <w:rtl/>
                    </w:rPr>
                    <w:t>השוואת פוטנציאלים</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בבריכה העשויה בטון מזוין או מתכת יחולו הוראות תקנות החשמל (הארקות יסוד), התשמ"א-1981, והיא תצויד בפס השוואת פוטנציאלים.</w:t>
      </w:r>
    </w:p>
    <w:p w:rsidR="004B4E23" w:rsidRDefault="004B4E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במשטחים מחומר מוליך או בטון הנמצאים בתחום אזור 1 תונח רשת מתכתית אשר תחובר למערכת השוואת פוטנציאלים.</w:t>
      </w:r>
    </w:p>
    <w:p w:rsidR="004B4E23" w:rsidRDefault="004B4E2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חלק מתכתי נגיש של הבריכה ושל המיתקן הנמצא באזור 0, באזור 1 או באזור 2 יחובר באופן גלווני למערכת השוואת פוטנציאלים.</w:t>
      </w:r>
    </w:p>
    <w:p w:rsidR="004B4E23" w:rsidRDefault="004B4E23">
      <w:pPr>
        <w:pStyle w:val="P00"/>
        <w:spacing w:before="72"/>
        <w:ind w:left="0" w:right="1134"/>
        <w:rPr>
          <w:rStyle w:val="default"/>
          <w:rFonts w:cs="FrankRuehl" w:hint="cs"/>
          <w:rtl/>
        </w:rPr>
      </w:pPr>
      <w:bookmarkStart w:id="3" w:name="Seif3"/>
      <w:bookmarkEnd w:id="3"/>
      <w:r>
        <w:rPr>
          <w:rFonts w:cs="Miriam"/>
          <w:szCs w:val="32"/>
          <w:rtl/>
          <w:lang w:val="he-IL"/>
        </w:rPr>
        <w:pict>
          <v:shape id="_x0000_s1128" type="#_x0000_t202" style="position:absolute;left:0;text-align:left;margin-left:470.25pt;margin-top:3.7pt;width:1in;height:24.9pt;z-index:251652096" filled="f" stroked="f">
            <v:textbox inset="1mm,,1mm">
              <w:txbxContent>
                <w:p w:rsidR="004B4E23" w:rsidRDefault="004B4E23">
                  <w:pPr>
                    <w:spacing w:line="160" w:lineRule="exact"/>
                    <w:jc w:val="left"/>
                    <w:rPr>
                      <w:rFonts w:cs="Miriam" w:hint="cs"/>
                      <w:szCs w:val="18"/>
                      <w:rtl/>
                    </w:rPr>
                  </w:pPr>
                  <w:r>
                    <w:rPr>
                      <w:rFonts w:cs="Miriam" w:hint="cs"/>
                      <w:szCs w:val="18"/>
                      <w:rtl/>
                    </w:rPr>
                    <w:t>דוכן משקאות או מאכלים</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לא ימוקם דוכן למשקאות או למאכלים הכולל ציוד באזור 0 או באזור 1.</w:t>
      </w:r>
    </w:p>
    <w:p w:rsidR="004B4E23" w:rsidRDefault="004B4E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באזור 2 יכול שימוקם דוכן משקאות או מאכלים הכולל ציוד, ובלבד שציוד זה יימצא במרחק העולה על 2 מטרים מהקו החיצוני של הדלפק שאליו יש גישה לקהל.</w:t>
      </w:r>
    </w:p>
    <w:p w:rsidR="004B4E23" w:rsidRDefault="004B4E23">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ג': מובל במיתקן</w:t>
      </w:r>
    </w:p>
    <w:p w:rsidR="004B4E23" w:rsidRDefault="004B4E23">
      <w:pPr>
        <w:pStyle w:val="P00"/>
        <w:spacing w:before="72"/>
        <w:ind w:left="0" w:right="1134"/>
        <w:rPr>
          <w:rStyle w:val="default"/>
          <w:rFonts w:cs="FrankRuehl" w:hint="cs"/>
          <w:rtl/>
        </w:rPr>
      </w:pPr>
      <w:bookmarkStart w:id="4" w:name="Seif4"/>
      <w:bookmarkEnd w:id="4"/>
      <w:r>
        <w:rPr>
          <w:rFonts w:cs="Miriam"/>
          <w:szCs w:val="32"/>
          <w:rtl/>
          <w:lang w:val="he-IL"/>
        </w:rPr>
        <w:pict>
          <v:shape id="_x0000_s1129" type="#_x0000_t202" style="position:absolute;left:0;text-align:left;margin-left:470.25pt;margin-top:2.45pt;width:1in;height:22.65pt;z-index:251653120" filled="f" stroked="f">
            <v:textbox inset="1mm,,1mm">
              <w:txbxContent>
                <w:p w:rsidR="004B4E23" w:rsidRDefault="004B4E23">
                  <w:pPr>
                    <w:spacing w:line="160" w:lineRule="exact"/>
                    <w:jc w:val="left"/>
                    <w:rPr>
                      <w:rFonts w:cs="Miriam" w:hint="cs"/>
                      <w:szCs w:val="18"/>
                      <w:rtl/>
                    </w:rPr>
                  </w:pPr>
                  <w:r>
                    <w:rPr>
                      <w:rFonts w:cs="Miriam" w:hint="cs"/>
                      <w:szCs w:val="18"/>
                      <w:rtl/>
                    </w:rPr>
                    <w:t>מובל באזור 0 או 1</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לא ימוקם מובל המשמש לתיול חשמלי באזור 0 או באזור 1, אלא אם כן הוא מזין ציוד הנמצא באותו אזור או שהוא מותקן בקיר כשמעליו שכבת בטון בעובי 5 ס"מ לפחות.</w:t>
      </w:r>
    </w:p>
    <w:p w:rsidR="004B4E23" w:rsidRDefault="004B4E23">
      <w:pPr>
        <w:pStyle w:val="P00"/>
        <w:spacing w:before="72"/>
        <w:ind w:left="0" w:right="1134"/>
        <w:rPr>
          <w:rStyle w:val="default"/>
          <w:rFonts w:cs="FrankRuehl" w:hint="cs"/>
          <w:sz w:val="26"/>
          <w:rtl/>
        </w:rPr>
      </w:pPr>
      <w:bookmarkStart w:id="5" w:name="Seif5"/>
      <w:bookmarkEnd w:id="5"/>
      <w:r>
        <w:rPr>
          <w:rFonts w:cs="Miriam"/>
          <w:szCs w:val="32"/>
          <w:rtl/>
          <w:lang w:val="he-IL"/>
        </w:rPr>
        <w:pict>
          <v:shape id="_x0000_s1130" type="#_x0000_t202" style="position:absolute;left:0;text-align:left;margin-left:470.25pt;margin-top:3.1pt;width:1in;height:15.5pt;z-index:251654144" filled="f" stroked="f">
            <v:textbox inset="1mm,,1mm">
              <w:txbxContent>
                <w:p w:rsidR="004B4E23" w:rsidRDefault="004B4E23">
                  <w:pPr>
                    <w:spacing w:line="160" w:lineRule="exact"/>
                    <w:jc w:val="left"/>
                    <w:rPr>
                      <w:rFonts w:cs="Miriam" w:hint="cs"/>
                      <w:szCs w:val="18"/>
                      <w:rtl/>
                    </w:rPr>
                  </w:pPr>
                  <w:r>
                    <w:rPr>
                      <w:rFonts w:cs="Miriam" w:hint="cs"/>
                      <w:szCs w:val="18"/>
                      <w:rtl/>
                    </w:rPr>
                    <w:t>מובל מתכתי</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מובל מתכתי המותקן באזור 0, באזור 1 או באזור 2 יחובר באופן גלווני למוליך השוואת הפוטנציאלים (</w:t>
      </w:r>
      <w:r>
        <w:rPr>
          <w:rStyle w:val="default"/>
          <w:rFonts w:cs="FrankRuehl"/>
          <w:szCs w:val="20"/>
        </w:rPr>
        <w:t>PE</w:t>
      </w:r>
      <w:r>
        <w:rPr>
          <w:rStyle w:val="default"/>
          <w:rFonts w:cs="FrankRuehl" w:hint="cs"/>
          <w:sz w:val="26"/>
          <w:rtl/>
        </w:rPr>
        <w:t>), אלא אם כן מעליו שכבת בטון בעובי 5 ס"מ לפחות.</w:t>
      </w:r>
    </w:p>
    <w:p w:rsidR="004B4E23" w:rsidRDefault="004B4E23">
      <w:pPr>
        <w:pStyle w:val="P00"/>
        <w:spacing w:before="72"/>
        <w:ind w:left="0" w:right="1134"/>
        <w:rPr>
          <w:rStyle w:val="default"/>
          <w:rFonts w:cs="FrankRuehl" w:hint="cs"/>
          <w:rtl/>
        </w:rPr>
      </w:pPr>
      <w:bookmarkStart w:id="6" w:name="Seif6"/>
      <w:bookmarkEnd w:id="6"/>
      <w:r>
        <w:rPr>
          <w:rFonts w:cs="Miriam"/>
          <w:szCs w:val="32"/>
          <w:rtl/>
          <w:lang w:val="he-IL"/>
        </w:rPr>
        <w:pict>
          <v:shape id="_x0000_s1131" type="#_x0000_t202" style="position:absolute;left:0;text-align:left;margin-left:470.25pt;margin-top:4.65pt;width:1in;height:17.8pt;z-index:251655168" filled="f" stroked="f">
            <v:textbox inset="1mm,,1mm">
              <w:txbxContent>
                <w:p w:rsidR="004B4E23" w:rsidRDefault="004B4E23">
                  <w:pPr>
                    <w:spacing w:line="160" w:lineRule="exact"/>
                    <w:jc w:val="left"/>
                    <w:rPr>
                      <w:rFonts w:cs="Miriam" w:hint="cs"/>
                      <w:szCs w:val="18"/>
                      <w:rtl/>
                    </w:rPr>
                  </w:pPr>
                  <w:r>
                    <w:rPr>
                      <w:rFonts w:cs="Miriam" w:hint="cs"/>
                      <w:szCs w:val="18"/>
                      <w:rtl/>
                    </w:rPr>
                    <w:t>קופסת הסתעפות</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קופסת הסתעפות במערכת מובל לא תמוקם באזור 0.</w:t>
      </w:r>
    </w:p>
    <w:p w:rsidR="004B4E23" w:rsidRDefault="004B4E23">
      <w:pPr>
        <w:pStyle w:val="P00"/>
        <w:spacing w:before="72"/>
        <w:ind w:left="0" w:right="1134"/>
        <w:rPr>
          <w:rStyle w:val="default"/>
          <w:rFonts w:cs="FrankRuehl" w:hint="cs"/>
          <w:sz w:val="26"/>
          <w:rtl/>
        </w:rPr>
      </w:pPr>
      <w:r>
        <w:rPr>
          <w:rStyle w:val="default"/>
          <w:rFonts w:cs="FrankRuehl" w:hint="cs"/>
          <w:rtl/>
        </w:rPr>
        <w:tab/>
        <w:t>(ב)</w:t>
      </w:r>
      <w:r>
        <w:rPr>
          <w:rStyle w:val="default"/>
          <w:rFonts w:cs="FrankRuehl" w:hint="cs"/>
          <w:rtl/>
        </w:rPr>
        <w:tab/>
        <w:t>מותר למקם קופסת הסתעפות במערכת מובל באזור 1, ובלבד שהיא משמשת מעגל במתח בטיחות נמוך מאוד (</w:t>
      </w:r>
      <w:r>
        <w:rPr>
          <w:rStyle w:val="default"/>
          <w:rFonts w:cs="FrankRuehl"/>
          <w:szCs w:val="20"/>
        </w:rPr>
        <w:t>SELV</w:t>
      </w:r>
      <w:r>
        <w:rPr>
          <w:rStyle w:val="default"/>
          <w:rFonts w:cs="FrankRuehl" w:hint="cs"/>
          <w:sz w:val="26"/>
          <w:rtl/>
        </w:rPr>
        <w:t>) הממוקם באזור 0 או באזור 1.</w:t>
      </w:r>
    </w:p>
    <w:p w:rsidR="004B4E23" w:rsidRDefault="004B4E23">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ד': ציוד במיתקן</w:t>
      </w:r>
    </w:p>
    <w:p w:rsidR="004B4E23" w:rsidRDefault="004B4E23">
      <w:pPr>
        <w:pStyle w:val="P00"/>
        <w:spacing w:before="72"/>
        <w:ind w:left="0" w:right="1134"/>
        <w:rPr>
          <w:rStyle w:val="default"/>
          <w:rFonts w:cs="FrankRuehl" w:hint="cs"/>
          <w:rtl/>
        </w:rPr>
      </w:pPr>
      <w:bookmarkStart w:id="7" w:name="Seif7"/>
      <w:bookmarkEnd w:id="7"/>
      <w:r>
        <w:rPr>
          <w:rFonts w:cs="Miriam"/>
          <w:szCs w:val="32"/>
          <w:rtl/>
          <w:lang w:val="he-IL"/>
        </w:rPr>
        <w:pict>
          <v:shape id="_x0000_s1153" type="#_x0000_t202" style="position:absolute;left:0;text-align:left;margin-left:470.25pt;margin-top:4.95pt;width:1in;height:22.4pt;z-index:251656192" filled="f" stroked="f">
            <v:textbox inset="1mm,,1mm">
              <w:txbxContent>
                <w:p w:rsidR="004B4E23" w:rsidRDefault="004B4E23">
                  <w:pPr>
                    <w:spacing w:line="160" w:lineRule="exact"/>
                    <w:jc w:val="left"/>
                    <w:rPr>
                      <w:rFonts w:cs="Miriam" w:hint="cs"/>
                      <w:szCs w:val="18"/>
                      <w:rtl/>
                    </w:rPr>
                  </w:pPr>
                  <w:r>
                    <w:rPr>
                      <w:rFonts w:cs="Miriam" w:hint="cs"/>
                      <w:szCs w:val="18"/>
                      <w:rtl/>
                    </w:rPr>
                    <w:t>לוח חשמל, ציוד מיתוג ובתי תקע</w:t>
                  </w:r>
                </w:p>
              </w:txbxContent>
            </v:textbox>
            <w10:anchorlock/>
          </v:shape>
        </w:pict>
      </w:r>
      <w:r>
        <w:rPr>
          <w:rStyle w:val="default"/>
          <w:rFonts w:cs="Miriam" w:hint="cs"/>
          <w:sz w:val="32"/>
          <w:szCs w:val="32"/>
          <w:rtl/>
        </w:rPr>
        <w:t>8</w:t>
      </w:r>
      <w:r>
        <w:rPr>
          <w:rStyle w:val="default"/>
          <w:rFonts w:cs="FrankRuehl" w:hint="cs"/>
          <w:rtl/>
        </w:rPr>
        <w:t>.</w:t>
      </w:r>
      <w:r>
        <w:rPr>
          <w:rStyle w:val="default"/>
          <w:rFonts w:cs="FrankRuehl" w:hint="cs"/>
          <w:rtl/>
        </w:rPr>
        <w:tab/>
        <w:t>(א)</w:t>
      </w:r>
      <w:r>
        <w:rPr>
          <w:rStyle w:val="default"/>
          <w:rFonts w:cs="FrankRuehl" w:hint="cs"/>
          <w:rtl/>
        </w:rPr>
        <w:tab/>
        <w:t>לא ימוקמו לוח חשמל, ציוד מיתוג ובתי תקע באזור 0 או באזור 1.</w:t>
      </w:r>
    </w:p>
    <w:p w:rsidR="004B4E23" w:rsidRDefault="004B4E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באזור 2 </w:t>
      </w:r>
      <w:r>
        <w:rPr>
          <w:rStyle w:val="default"/>
          <w:rFonts w:cs="FrankRuehl"/>
          <w:rtl/>
        </w:rPr>
        <w:t>–</w:t>
      </w:r>
    </w:p>
    <w:p w:rsidR="004B4E23" w:rsidRDefault="004B4E2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מותר להתקין לוח חשמל, מפסק ובית תקע במעגלים המוגנים כאמור בתקנה 2(2);</w:t>
      </w:r>
    </w:p>
    <w:p w:rsidR="004B4E23" w:rsidRDefault="004B4E2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במעגל המוגן בשיטת הפרד מגן לא יותקן יותר מבית תקע אחד; בית התקע האמור יהיה בלא חיבור להארקה;</w:t>
      </w:r>
    </w:p>
    <w:p w:rsidR="004B4E23" w:rsidRDefault="004B4E2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מותר להתקין בתי תקע, ובלבד שיהיו מסוג תעשייתי בהתאם לתקן הישראלי ת"י 1109 </w:t>
      </w:r>
      <w:r>
        <w:rPr>
          <w:rStyle w:val="default"/>
          <w:rFonts w:cs="FrankRuehl"/>
          <w:rtl/>
        </w:rPr>
        <w:t>–</w:t>
      </w:r>
      <w:r>
        <w:rPr>
          <w:rStyle w:val="default"/>
          <w:rFonts w:cs="FrankRuehl" w:hint="cs"/>
          <w:rtl/>
        </w:rPr>
        <w:t xml:space="preserve"> "תקעים ובתי תקע ומערכות חיבור לשימוש בתעשיה".</w:t>
      </w:r>
    </w:p>
    <w:p w:rsidR="004B4E23" w:rsidRDefault="004B4E23">
      <w:pPr>
        <w:pStyle w:val="P00"/>
        <w:spacing w:before="72"/>
        <w:ind w:left="0" w:right="1134"/>
        <w:rPr>
          <w:rStyle w:val="default"/>
          <w:rFonts w:cs="FrankRuehl" w:hint="cs"/>
          <w:rtl/>
        </w:rPr>
      </w:pPr>
      <w:bookmarkStart w:id="8" w:name="Seif8"/>
      <w:bookmarkEnd w:id="8"/>
      <w:r>
        <w:rPr>
          <w:rFonts w:cs="Miriam"/>
          <w:szCs w:val="32"/>
          <w:rtl/>
          <w:lang w:val="he-IL"/>
        </w:rPr>
        <w:pict>
          <v:shape id="_x0000_s1154" type="#_x0000_t202" style="position:absolute;left:0;text-align:left;margin-left:470.25pt;margin-top:5.65pt;width:1in;height:16.8pt;z-index:251657216" filled="f" stroked="f">
            <v:textbox inset="1mm,,1mm">
              <w:txbxContent>
                <w:p w:rsidR="004B4E23" w:rsidRDefault="004B4E23">
                  <w:pPr>
                    <w:spacing w:line="160" w:lineRule="exact"/>
                    <w:jc w:val="left"/>
                    <w:rPr>
                      <w:rFonts w:cs="Miriam" w:hint="cs"/>
                      <w:szCs w:val="18"/>
                      <w:rtl/>
                    </w:rPr>
                  </w:pPr>
                  <w:r>
                    <w:rPr>
                      <w:rFonts w:cs="Miriam" w:hint="cs"/>
                      <w:szCs w:val="18"/>
                      <w:rtl/>
                    </w:rPr>
                    <w:t>תאורה תת מימית</w:t>
                  </w:r>
                </w:p>
              </w:txbxContent>
            </v:textbox>
            <w10:anchorlock/>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 xml:space="preserve">גופי תאורה הטבולים במים או הבאים במגע ישיר עם מים יתאימו לדרישות תקן ישראלי ת"י 20 חלק 2.18 </w:t>
      </w:r>
      <w:r>
        <w:rPr>
          <w:rStyle w:val="default"/>
          <w:rFonts w:cs="FrankRuehl"/>
          <w:rtl/>
        </w:rPr>
        <w:t>–</w:t>
      </w:r>
      <w:r>
        <w:rPr>
          <w:rStyle w:val="default"/>
          <w:rFonts w:cs="FrankRuehl" w:hint="cs"/>
          <w:rtl/>
        </w:rPr>
        <w:t xml:space="preserve"> "מנורות: מנורות לבריכות שחיה ולשימושים דומים", ויוזנו כאמור בתקנה 2(1)(א).</w:t>
      </w:r>
    </w:p>
    <w:p w:rsidR="004B4E23" w:rsidRDefault="004B4E2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גופי תאורה תת-מימית הממוקמים מאחורי אשנבים אטומים למים ואשר הגישה אליהם אפשרית רק ממנהרה או מתעלה שמחוץ למים, יוזנו ממעגלים המוגנים כמפורט בתקנה 2(2); מיתקני התאורה יתוכננו ויבוצעו כך שלא תהיה אפשרות של גישה אליהם מהבריכה וכן שלא ייווצר מגע בין חלק חשמלי לבין מסגרת האשנב.</w:t>
      </w:r>
    </w:p>
    <w:p w:rsidR="004B4E23" w:rsidRDefault="004B4E23">
      <w:pPr>
        <w:pStyle w:val="P00"/>
        <w:spacing w:before="72"/>
        <w:ind w:left="0" w:right="1134"/>
        <w:rPr>
          <w:rStyle w:val="default"/>
          <w:rFonts w:cs="FrankRuehl" w:hint="cs"/>
          <w:rtl/>
        </w:rPr>
      </w:pPr>
      <w:bookmarkStart w:id="9" w:name="Seif9"/>
      <w:bookmarkEnd w:id="9"/>
      <w:r>
        <w:rPr>
          <w:rFonts w:cs="Miriam"/>
          <w:szCs w:val="32"/>
          <w:rtl/>
          <w:lang w:val="he-IL"/>
        </w:rPr>
        <w:pict>
          <v:shape id="_x0000_s1155" type="#_x0000_t202" style="position:absolute;left:0;text-align:left;margin-left:470.25pt;margin-top:3.55pt;width:1in;height:16.8pt;z-index:251658240" filled="f" stroked="f">
            <v:textbox inset="1mm,,1mm">
              <w:txbxContent>
                <w:p w:rsidR="004B4E23" w:rsidRDefault="004B4E23">
                  <w:pPr>
                    <w:spacing w:line="160" w:lineRule="exact"/>
                    <w:jc w:val="left"/>
                    <w:rPr>
                      <w:rFonts w:cs="Miriam" w:hint="cs"/>
                      <w:szCs w:val="18"/>
                      <w:rtl/>
                    </w:rPr>
                  </w:pPr>
                  <w:r>
                    <w:rPr>
                      <w:rFonts w:cs="Miriam" w:hint="cs"/>
                      <w:szCs w:val="18"/>
                      <w:rtl/>
                    </w:rPr>
                    <w:t>עמודי תאורה</w:t>
                  </w:r>
                </w:p>
              </w:txbxContent>
            </v:textbox>
            <w10:anchorlock/>
          </v:shape>
        </w:pict>
      </w:r>
      <w:r>
        <w:rPr>
          <w:rStyle w:val="default"/>
          <w:rFonts w:cs="Miriam" w:hint="cs"/>
          <w:sz w:val="32"/>
          <w:szCs w:val="32"/>
          <w:rtl/>
        </w:rPr>
        <w:t>10</w:t>
      </w:r>
      <w:r>
        <w:rPr>
          <w:rStyle w:val="default"/>
          <w:rFonts w:cs="FrankRuehl" w:hint="cs"/>
          <w:rtl/>
        </w:rPr>
        <w:t>.</w:t>
      </w:r>
      <w:r>
        <w:rPr>
          <w:rStyle w:val="default"/>
          <w:rFonts w:cs="FrankRuehl" w:hint="cs"/>
          <w:rtl/>
        </w:rPr>
        <w:tab/>
        <w:t>לא ימוקמו עמודי תאורה באזור 0, באזור 1 או באזור 2.</w:t>
      </w:r>
    </w:p>
    <w:p w:rsidR="004B4E23" w:rsidRDefault="004B4E23">
      <w:pPr>
        <w:pStyle w:val="P00"/>
        <w:spacing w:before="72"/>
        <w:ind w:left="0" w:right="1134"/>
        <w:rPr>
          <w:rStyle w:val="default"/>
          <w:rFonts w:cs="FrankRuehl" w:hint="cs"/>
          <w:rtl/>
        </w:rPr>
      </w:pPr>
      <w:bookmarkStart w:id="10" w:name="Seif10"/>
      <w:bookmarkEnd w:id="10"/>
      <w:r>
        <w:rPr>
          <w:rFonts w:cs="Miriam"/>
          <w:szCs w:val="32"/>
          <w:rtl/>
          <w:lang w:val="he-IL"/>
        </w:rPr>
        <w:pict>
          <v:shape id="_x0000_s1156" type="#_x0000_t202" style="position:absolute;left:0;text-align:left;margin-left:470.25pt;margin-top:6pt;width:1in;height:16.8pt;z-index:251659264" filled="f" stroked="f">
            <v:textbox inset="1mm,,1mm">
              <w:txbxContent>
                <w:p w:rsidR="004B4E23" w:rsidRDefault="004B4E23">
                  <w:pPr>
                    <w:spacing w:line="160" w:lineRule="exact"/>
                    <w:jc w:val="left"/>
                    <w:rPr>
                      <w:rFonts w:cs="Miriam" w:hint="cs"/>
                      <w:szCs w:val="18"/>
                      <w:rtl/>
                    </w:rPr>
                  </w:pPr>
                  <w:r>
                    <w:rPr>
                      <w:rFonts w:cs="Miriam" w:hint="cs"/>
                      <w:szCs w:val="18"/>
                      <w:rtl/>
                    </w:rPr>
                    <w:t>מכשירי חשמל</w:t>
                  </w:r>
                </w:p>
              </w:txbxContent>
            </v:textbox>
            <w10:anchorlock/>
          </v:shape>
        </w:pict>
      </w:r>
      <w:r>
        <w:rPr>
          <w:rStyle w:val="default"/>
          <w:rFonts w:cs="Miriam" w:hint="cs"/>
          <w:sz w:val="32"/>
          <w:szCs w:val="32"/>
          <w:rtl/>
        </w:rPr>
        <w:t>11</w:t>
      </w:r>
      <w:r>
        <w:rPr>
          <w:rStyle w:val="default"/>
          <w:rFonts w:cs="FrankRuehl" w:hint="cs"/>
          <w:rtl/>
        </w:rPr>
        <w:t>.</w:t>
      </w:r>
      <w:r>
        <w:rPr>
          <w:rStyle w:val="default"/>
          <w:rFonts w:cs="FrankRuehl" w:hint="cs"/>
          <w:rtl/>
        </w:rPr>
        <w:tab/>
        <w:t>מכשירים חשמליים אוטומטיים להנפקת מאכלים או משקאות חמים או קרים לא ימוקמו באזור 0, באזור 1 או באזור 2.</w:t>
      </w:r>
    </w:p>
    <w:p w:rsidR="004B4E23" w:rsidRDefault="004B4E23">
      <w:pPr>
        <w:pStyle w:val="P00"/>
        <w:spacing w:before="72"/>
        <w:ind w:left="0" w:right="1134"/>
        <w:rPr>
          <w:rStyle w:val="default"/>
          <w:rFonts w:cs="FrankRuehl" w:hint="cs"/>
          <w:rtl/>
        </w:rPr>
      </w:pPr>
      <w:bookmarkStart w:id="11" w:name="Seif11"/>
      <w:bookmarkEnd w:id="11"/>
      <w:r>
        <w:rPr>
          <w:rFonts w:cs="Miriam"/>
          <w:szCs w:val="32"/>
          <w:rtl/>
          <w:lang w:val="he-IL"/>
        </w:rPr>
        <w:pict>
          <v:shape id="_x0000_s1158" type="#_x0000_t202" style="position:absolute;left:0;text-align:left;margin-left:470.25pt;margin-top:6.7pt;width:1in;height:16.8pt;z-index:251660288" filled="f" stroked="f">
            <v:textbox inset="1mm,,1mm">
              <w:txbxContent>
                <w:p w:rsidR="004B4E23" w:rsidRDefault="004B4E23">
                  <w:pPr>
                    <w:spacing w:line="160" w:lineRule="exact"/>
                    <w:jc w:val="left"/>
                    <w:rPr>
                      <w:rFonts w:cs="Miriam" w:hint="cs"/>
                      <w:szCs w:val="18"/>
                      <w:rtl/>
                    </w:rPr>
                  </w:pPr>
                  <w:r>
                    <w:rPr>
                      <w:rFonts w:cs="Miriam" w:hint="cs"/>
                      <w:szCs w:val="18"/>
                      <w:rtl/>
                    </w:rPr>
                    <w:t>גוף חימום</w:t>
                  </w:r>
                </w:p>
              </w:txbxContent>
            </v:textbox>
            <w10:anchorlock/>
          </v:shape>
        </w:pict>
      </w:r>
      <w:r>
        <w:rPr>
          <w:rStyle w:val="default"/>
          <w:rFonts w:cs="Miriam" w:hint="cs"/>
          <w:sz w:val="32"/>
          <w:szCs w:val="32"/>
          <w:rtl/>
        </w:rPr>
        <w:t>12</w:t>
      </w:r>
      <w:r>
        <w:rPr>
          <w:rStyle w:val="default"/>
          <w:rFonts w:cs="FrankRuehl" w:hint="cs"/>
          <w:rtl/>
        </w:rPr>
        <w:t>.</w:t>
      </w:r>
      <w:r>
        <w:rPr>
          <w:rStyle w:val="default"/>
          <w:rFonts w:cs="FrankRuehl" w:hint="cs"/>
          <w:rtl/>
        </w:rPr>
        <w:tab/>
        <w:t>גוף חימום קבוע הממוקם באזור 0 או באזור 1 יוזן באחת השיטות שלהלן בהתקנה קבועה:</w:t>
      </w:r>
    </w:p>
    <w:p w:rsidR="004B4E23" w:rsidRDefault="004B4E23">
      <w:pPr>
        <w:pStyle w:val="P00"/>
        <w:spacing w:before="72"/>
        <w:ind w:left="624" w:right="1134"/>
        <w:rPr>
          <w:rStyle w:val="default"/>
          <w:rFonts w:cs="FrankRuehl" w:hint="cs"/>
          <w:sz w:val="26"/>
          <w:rtl/>
        </w:rPr>
      </w:pPr>
      <w:r>
        <w:rPr>
          <w:rStyle w:val="default"/>
          <w:rFonts w:cs="FrankRuehl" w:hint="cs"/>
          <w:rtl/>
        </w:rPr>
        <w:t>(1)</w:t>
      </w:r>
      <w:r>
        <w:rPr>
          <w:rStyle w:val="default"/>
          <w:rFonts w:cs="FrankRuehl" w:hint="cs"/>
          <w:rtl/>
        </w:rPr>
        <w:tab/>
        <w:t>מתח בטיחות נמוך מאוד (</w:t>
      </w:r>
      <w:r>
        <w:rPr>
          <w:rStyle w:val="default"/>
          <w:rFonts w:cs="FrankRuehl"/>
          <w:szCs w:val="20"/>
        </w:rPr>
        <w:t>SELV</w:t>
      </w:r>
      <w:r>
        <w:rPr>
          <w:rStyle w:val="default"/>
          <w:rFonts w:cs="FrankRuehl" w:hint="cs"/>
          <w:sz w:val="26"/>
          <w:rtl/>
        </w:rPr>
        <w:t>);</w:t>
      </w:r>
    </w:p>
    <w:p w:rsidR="004B4E23" w:rsidRDefault="004B4E23">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על אף האמור בתקנה 2(1), במתח נמוך, ובלבד שנתקיימו כל אלה:</w:t>
      </w:r>
    </w:p>
    <w:p w:rsidR="004B4E23" w:rsidRDefault="004B4E23">
      <w:pPr>
        <w:pStyle w:val="P00"/>
        <w:spacing w:before="72"/>
        <w:ind w:left="1021" w:right="1134"/>
        <w:rPr>
          <w:rStyle w:val="default"/>
          <w:rFonts w:cs="FrankRuehl" w:hint="cs"/>
          <w:sz w:val="26"/>
          <w:rtl/>
        </w:rPr>
      </w:pPr>
      <w:r>
        <w:rPr>
          <w:rStyle w:val="default"/>
          <w:rFonts w:cs="FrankRuehl" w:hint="cs"/>
          <w:sz w:val="26"/>
          <w:rtl/>
        </w:rPr>
        <w:t>(א)</w:t>
      </w:r>
      <w:r>
        <w:rPr>
          <w:rStyle w:val="default"/>
          <w:rFonts w:cs="FrankRuehl" w:hint="cs"/>
          <w:sz w:val="26"/>
          <w:rtl/>
        </w:rPr>
        <w:tab/>
        <w:t>המעגל יוגן באמצעות מפסק מגן הפועל בזרם דלף לאדמה שאינו עולה על 0.030 אמפר;</w:t>
      </w:r>
    </w:p>
    <w:p w:rsidR="004B4E23" w:rsidRDefault="004B4E23">
      <w:pPr>
        <w:pStyle w:val="P00"/>
        <w:spacing w:before="72"/>
        <w:ind w:left="1021" w:right="1134"/>
        <w:rPr>
          <w:rStyle w:val="default"/>
          <w:rFonts w:cs="FrankRuehl" w:hint="cs"/>
          <w:sz w:val="26"/>
          <w:rtl/>
        </w:rPr>
      </w:pPr>
      <w:r>
        <w:rPr>
          <w:rStyle w:val="default"/>
          <w:rFonts w:cs="FrankRuehl" w:hint="cs"/>
          <w:sz w:val="26"/>
          <w:rtl/>
        </w:rPr>
        <w:t>(ב)</w:t>
      </w:r>
      <w:r>
        <w:rPr>
          <w:rStyle w:val="default"/>
          <w:rFonts w:cs="FrankRuehl" w:hint="cs"/>
          <w:sz w:val="26"/>
          <w:rtl/>
        </w:rPr>
        <w:tab/>
        <w:t>סביב גוף החימום יותקן מעטה מתכתי המחובר באופן גלווני לפס השוואת הפוטנציאלים.</w:t>
      </w:r>
    </w:p>
    <w:p w:rsidR="004B4E23" w:rsidRDefault="004B4E23">
      <w:pPr>
        <w:pStyle w:val="P00"/>
        <w:spacing w:before="72"/>
        <w:ind w:left="0" w:right="1134"/>
        <w:rPr>
          <w:rStyle w:val="default"/>
          <w:rFonts w:cs="FrankRuehl" w:hint="cs"/>
          <w:sz w:val="26"/>
          <w:rtl/>
        </w:rPr>
      </w:pPr>
      <w:bookmarkStart w:id="12" w:name="Seif12"/>
      <w:bookmarkEnd w:id="12"/>
      <w:r>
        <w:rPr>
          <w:rFonts w:cs="Miriam"/>
          <w:szCs w:val="32"/>
          <w:rtl/>
          <w:lang w:val="he-IL"/>
        </w:rPr>
        <w:pict>
          <v:shape id="_x0000_s1159" type="#_x0000_t202" style="position:absolute;left:0;text-align:left;margin-left:470.25pt;margin-top:7.1pt;width:1in;height:22.4pt;z-index:251661312" filled="f" stroked="f">
            <v:textbox inset="1mm,0,1mm,0">
              <w:txbxContent>
                <w:p w:rsidR="004B4E23" w:rsidRDefault="004B4E23">
                  <w:pPr>
                    <w:spacing w:line="160" w:lineRule="exact"/>
                    <w:jc w:val="left"/>
                    <w:rPr>
                      <w:rFonts w:cs="Miriam" w:hint="cs"/>
                      <w:szCs w:val="18"/>
                      <w:rtl/>
                    </w:rPr>
                  </w:pPr>
                  <w:r>
                    <w:rPr>
                      <w:rFonts w:cs="Miriam" w:hint="cs"/>
                      <w:szCs w:val="18"/>
                      <w:rtl/>
                    </w:rPr>
                    <w:t>שימוש בציוד ייעודי</w:t>
                  </w:r>
                </w:p>
              </w:txbxContent>
            </v:textbox>
            <w10:anchorlock/>
          </v:shape>
        </w:pict>
      </w:r>
      <w:r>
        <w:rPr>
          <w:rStyle w:val="default"/>
          <w:rFonts w:cs="Miriam" w:hint="cs"/>
          <w:sz w:val="32"/>
          <w:szCs w:val="32"/>
          <w:rtl/>
        </w:rPr>
        <w:t>13</w:t>
      </w:r>
      <w:r>
        <w:rPr>
          <w:rStyle w:val="default"/>
          <w:rFonts w:cs="FrankRuehl" w:hint="cs"/>
          <w:sz w:val="26"/>
          <w:rtl/>
        </w:rPr>
        <w:t>.</w:t>
      </w:r>
      <w:r>
        <w:rPr>
          <w:rStyle w:val="default"/>
          <w:rFonts w:cs="FrankRuehl" w:hint="cs"/>
          <w:sz w:val="26"/>
          <w:rtl/>
        </w:rPr>
        <w:tab/>
        <w:t>(א)</w:t>
      </w:r>
      <w:r>
        <w:rPr>
          <w:rStyle w:val="default"/>
          <w:rFonts w:cs="FrankRuehl" w:hint="cs"/>
          <w:sz w:val="26"/>
          <w:rtl/>
        </w:rPr>
        <w:tab/>
        <w:t>על אף האמור בתקנה 2(1), יכול אדם להשתמש בציוד ייעודי המוזן במתח נמוך באזור 0, ובלבד שאין בני אדם באזור 0 או באזור 1; הציוד יוזן באמצעות בית תקע המוזן ממעגל שמוגן באמצעות מפסק מגן הפועל בזרם דלף לאדמה שאינו עולה על 0.030 אמפר.</w:t>
      </w:r>
    </w:p>
    <w:p w:rsidR="004B4E23" w:rsidRDefault="004B4E23">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האחראי יפיץ לכל המפעילים נוסח של הוראות בטיחות הקיימות בתקנות אלה, בדבר איסור הפעלת הציוד האמור בתקנת משנה (א) כאשר נמצאים בני אדם באזור 0 או באזור 1, למעט המפעילים.</w:t>
      </w:r>
    </w:p>
    <w:p w:rsidR="004B4E23" w:rsidRDefault="004B4E23">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בקרבת בית תקע המיועד לזינת ציוד כאמור בתקנת משנה (א) יותקן שלט קריא ובר-קיימא בנוסח: "סכנה: אין להפעיל את הציוד בבריכה כאשר בני אדם נמצאים בה או בקרבתה".</w:t>
      </w:r>
    </w:p>
    <w:p w:rsidR="004B4E23" w:rsidRDefault="004B4E23">
      <w:pPr>
        <w:pStyle w:val="P00"/>
        <w:spacing w:before="72"/>
        <w:ind w:left="0" w:right="1134"/>
        <w:rPr>
          <w:rStyle w:val="default"/>
          <w:rFonts w:cs="FrankRuehl" w:hint="cs"/>
          <w:sz w:val="26"/>
          <w:rtl/>
        </w:rPr>
      </w:pPr>
      <w:bookmarkStart w:id="13" w:name="Seif13"/>
      <w:bookmarkEnd w:id="13"/>
      <w:r>
        <w:rPr>
          <w:rFonts w:cs="Miriam"/>
          <w:szCs w:val="32"/>
          <w:rtl/>
          <w:lang w:val="he-IL"/>
        </w:rPr>
        <w:pict>
          <v:shape id="_x0000_s1160" type="#_x0000_t202" style="position:absolute;left:0;text-align:left;margin-left:470.25pt;margin-top:4.05pt;width:1in;height:22.4pt;z-index:251662336" filled="f" stroked="f">
            <v:textbox inset="1mm,,1mm">
              <w:txbxContent>
                <w:p w:rsidR="004B4E23" w:rsidRDefault="004B4E23">
                  <w:pPr>
                    <w:spacing w:line="160" w:lineRule="exact"/>
                    <w:jc w:val="left"/>
                    <w:rPr>
                      <w:rFonts w:cs="Miriam" w:hint="cs"/>
                      <w:szCs w:val="18"/>
                      <w:rtl/>
                    </w:rPr>
                  </w:pPr>
                  <w:r>
                    <w:rPr>
                      <w:rFonts w:cs="Miriam" w:hint="cs"/>
                      <w:szCs w:val="18"/>
                      <w:rtl/>
                    </w:rPr>
                    <w:t>ציוד ייעודי לבריכה</w:t>
                  </w:r>
                </w:p>
              </w:txbxContent>
            </v:textbox>
            <w10:anchorlock/>
          </v:shape>
        </w:pict>
      </w:r>
      <w:r>
        <w:rPr>
          <w:rStyle w:val="default"/>
          <w:rFonts w:cs="Miriam" w:hint="cs"/>
          <w:sz w:val="32"/>
          <w:szCs w:val="32"/>
          <w:rtl/>
        </w:rPr>
        <w:t>14</w:t>
      </w:r>
      <w:r>
        <w:rPr>
          <w:rStyle w:val="default"/>
          <w:rFonts w:cs="FrankRuehl" w:hint="cs"/>
          <w:sz w:val="26"/>
          <w:rtl/>
        </w:rPr>
        <w:t>.</w:t>
      </w:r>
      <w:r>
        <w:rPr>
          <w:rStyle w:val="default"/>
          <w:rFonts w:cs="FrankRuehl" w:hint="cs"/>
          <w:sz w:val="26"/>
          <w:rtl/>
        </w:rPr>
        <w:tab/>
        <w:t>על אף האמור בתקנה 2(1), יכול שבאזור 1 יותקן ציוד ייעודי הניזון במתח נמוך, כגון משאבת סחרור (ג'קוזי) או מסנן, ובלבד שיתקיימו תנאים מצטברים כדלקמן:</w:t>
      </w:r>
    </w:p>
    <w:p w:rsidR="004B4E23" w:rsidRDefault="004B4E23">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הציוד מותקן בתוך גומחה או מבנה בעל חוזק מכני מזערי של </w:t>
      </w:r>
      <w:r>
        <w:rPr>
          <w:rStyle w:val="default"/>
          <w:rFonts w:cs="FrankRuehl"/>
          <w:szCs w:val="20"/>
        </w:rPr>
        <w:t>IP XXX</w:t>
      </w:r>
      <w:r>
        <w:rPr>
          <w:rStyle w:val="default"/>
          <w:rFonts w:cs="FrankRuehl" w:hint="cs"/>
          <w:sz w:val="26"/>
          <w:rtl/>
        </w:rPr>
        <w:t xml:space="preserve"> לפי ת"י 981;</w:t>
      </w:r>
    </w:p>
    <w:p w:rsidR="004B4E23" w:rsidRDefault="004B4E23">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הגישה לגומחה או למבנה היא דרך דלת בעלת אמצעי נעילה מתאים, שפתיחתה תגרום להפסקת הזינה של הציוד;</w:t>
      </w:r>
    </w:p>
    <w:p w:rsidR="004B4E23" w:rsidRDefault="004B4E23">
      <w:pPr>
        <w:pStyle w:val="P00"/>
        <w:spacing w:before="72"/>
        <w:ind w:left="624" w:right="1134"/>
        <w:rPr>
          <w:rStyle w:val="default"/>
          <w:rFonts w:cs="FrankRuehl" w:hint="cs"/>
          <w:sz w:val="26"/>
          <w:rtl/>
        </w:rPr>
      </w:pPr>
      <w:r>
        <w:rPr>
          <w:rStyle w:val="default"/>
          <w:rFonts w:cs="FrankRuehl" w:hint="cs"/>
          <w:sz w:val="26"/>
          <w:rtl/>
        </w:rPr>
        <w:t>(3)</w:t>
      </w:r>
      <w:r>
        <w:rPr>
          <w:rStyle w:val="default"/>
          <w:rFonts w:cs="FrankRuehl" w:hint="cs"/>
          <w:sz w:val="26"/>
          <w:rtl/>
        </w:rPr>
        <w:tab/>
        <w:t xml:space="preserve">מערך אספקת החשמל לציוד האמור יהיה במבנה סוג </w:t>
      </w:r>
      <w:r>
        <w:rPr>
          <w:rStyle w:val="default"/>
          <w:rFonts w:cs="FrankRuehl"/>
          <w:szCs w:val="20"/>
        </w:rPr>
        <w:t>II</w:t>
      </w:r>
      <w:r>
        <w:rPr>
          <w:rStyle w:val="default"/>
          <w:rFonts w:cs="FrankRuehl" w:hint="cs"/>
          <w:sz w:val="26"/>
          <w:rtl/>
        </w:rPr>
        <w:t xml:space="preserve"> כמוגדר בתקן ישראלי ת"י 900 </w:t>
      </w:r>
      <w:r>
        <w:rPr>
          <w:rStyle w:val="default"/>
          <w:rFonts w:cs="FrankRuehl"/>
          <w:sz w:val="26"/>
          <w:rtl/>
        </w:rPr>
        <w:t>–</w:t>
      </w:r>
      <w:r>
        <w:rPr>
          <w:rStyle w:val="default"/>
          <w:rFonts w:cs="FrankRuehl" w:hint="cs"/>
          <w:sz w:val="26"/>
          <w:rtl/>
        </w:rPr>
        <w:t xml:space="preserve"> "בטיחות מכשירי חשמל לשימוש ביתי ולשימושים דומים: דרישות כלליות";</w:t>
      </w:r>
    </w:p>
    <w:p w:rsidR="004B4E23" w:rsidRDefault="004B4E23">
      <w:pPr>
        <w:pStyle w:val="P00"/>
        <w:spacing w:before="72"/>
        <w:ind w:left="624" w:right="1134"/>
        <w:rPr>
          <w:rStyle w:val="default"/>
          <w:rFonts w:cs="FrankRuehl" w:hint="cs"/>
          <w:sz w:val="26"/>
          <w:rtl/>
        </w:rPr>
      </w:pPr>
      <w:r>
        <w:rPr>
          <w:rStyle w:val="default"/>
          <w:rFonts w:cs="FrankRuehl" w:hint="cs"/>
          <w:sz w:val="26"/>
          <w:rtl/>
        </w:rPr>
        <w:t>(4)</w:t>
      </w:r>
      <w:r>
        <w:rPr>
          <w:rStyle w:val="default"/>
          <w:rFonts w:cs="FrankRuehl" w:hint="cs"/>
          <w:sz w:val="26"/>
          <w:rtl/>
        </w:rPr>
        <w:tab/>
        <w:t xml:space="preserve">הציוד יהיה בדרגת הגנה </w:t>
      </w:r>
      <w:r>
        <w:rPr>
          <w:rStyle w:val="default"/>
          <w:rFonts w:cs="FrankRuehl"/>
          <w:szCs w:val="20"/>
        </w:rPr>
        <w:t>IP 55X</w:t>
      </w:r>
      <w:r>
        <w:rPr>
          <w:rStyle w:val="default"/>
          <w:rFonts w:cs="FrankRuehl" w:hint="cs"/>
          <w:sz w:val="26"/>
          <w:rtl/>
        </w:rPr>
        <w:t xml:space="preserve"> לפחות;</w:t>
      </w:r>
    </w:p>
    <w:p w:rsidR="004B4E23" w:rsidRDefault="004B4E23">
      <w:pPr>
        <w:pStyle w:val="P00"/>
        <w:spacing w:before="72"/>
        <w:ind w:left="624" w:right="1134"/>
        <w:rPr>
          <w:rStyle w:val="default"/>
          <w:rFonts w:cs="FrankRuehl" w:hint="cs"/>
          <w:sz w:val="26"/>
          <w:rtl/>
        </w:rPr>
      </w:pPr>
      <w:r>
        <w:rPr>
          <w:rStyle w:val="default"/>
          <w:rFonts w:cs="FrankRuehl" w:hint="cs"/>
          <w:sz w:val="26"/>
          <w:rtl/>
        </w:rPr>
        <w:t>(5)</w:t>
      </w:r>
      <w:r>
        <w:rPr>
          <w:rStyle w:val="default"/>
          <w:rFonts w:cs="FrankRuehl" w:hint="cs"/>
          <w:sz w:val="26"/>
          <w:rtl/>
        </w:rPr>
        <w:tab/>
        <w:t>הציוד יוזן ממעגל בהתאם לאמור בתקנה 2(2)(ב) ו-(ג).</w:t>
      </w:r>
    </w:p>
    <w:p w:rsidR="004B4E23" w:rsidRDefault="004B4E23">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ה': הוראות שונות</w:t>
      </w:r>
    </w:p>
    <w:p w:rsidR="004B4E23" w:rsidRDefault="004B4E23">
      <w:pPr>
        <w:pStyle w:val="P00"/>
        <w:spacing w:before="72"/>
        <w:ind w:left="0" w:right="1134"/>
        <w:rPr>
          <w:rStyle w:val="default"/>
          <w:rFonts w:cs="FrankRuehl" w:hint="cs"/>
          <w:sz w:val="26"/>
          <w:rtl/>
        </w:rPr>
      </w:pPr>
      <w:bookmarkStart w:id="14" w:name="Seif14"/>
      <w:bookmarkEnd w:id="14"/>
      <w:r>
        <w:rPr>
          <w:rFonts w:cs="Miriam"/>
          <w:szCs w:val="32"/>
          <w:rtl/>
          <w:lang w:val="he-IL"/>
        </w:rPr>
        <w:pict>
          <v:shape id="_x0000_s1161" type="#_x0000_t202" style="position:absolute;left:0;text-align:left;margin-left:470.25pt;margin-top:3.35pt;width:1in;height:16.8pt;z-index:251663360" filled="f" stroked="f">
            <v:textbox inset="1mm,,1mm">
              <w:txbxContent>
                <w:p w:rsidR="004B4E23" w:rsidRDefault="004B4E23">
                  <w:pPr>
                    <w:spacing w:line="160" w:lineRule="exact"/>
                    <w:jc w:val="left"/>
                    <w:rPr>
                      <w:rFonts w:cs="Miriam" w:hint="cs"/>
                      <w:szCs w:val="18"/>
                      <w:rtl/>
                    </w:rPr>
                  </w:pPr>
                  <w:r>
                    <w:rPr>
                      <w:rFonts w:cs="Miriam" w:hint="cs"/>
                      <w:szCs w:val="18"/>
                      <w:rtl/>
                    </w:rPr>
                    <w:t>בדיקת המיתקן</w:t>
                  </w:r>
                </w:p>
              </w:txbxContent>
            </v:textbox>
            <w10:anchorlock/>
          </v:shape>
        </w:pict>
      </w:r>
      <w:r>
        <w:rPr>
          <w:rStyle w:val="default"/>
          <w:rFonts w:cs="Miriam" w:hint="cs"/>
          <w:sz w:val="32"/>
          <w:szCs w:val="32"/>
          <w:rtl/>
        </w:rPr>
        <w:t>15</w:t>
      </w:r>
      <w:r>
        <w:rPr>
          <w:rStyle w:val="default"/>
          <w:rFonts w:cs="FrankRuehl" w:hint="cs"/>
          <w:sz w:val="26"/>
          <w:rtl/>
        </w:rPr>
        <w:t>.</w:t>
      </w:r>
      <w:r>
        <w:rPr>
          <w:rStyle w:val="default"/>
          <w:rFonts w:cs="FrankRuehl" w:hint="cs"/>
          <w:sz w:val="26"/>
          <w:rtl/>
        </w:rPr>
        <w:tab/>
        <w:t>התאמתו של מיתקן בבריכה לדרישות תקנות אלה תיבדק טרם הפעלתו הראשונה, ואחת לשש שנים לאחר הפעלתו.</w:t>
      </w:r>
    </w:p>
    <w:p w:rsidR="004B4E23" w:rsidRDefault="004B4E23">
      <w:pPr>
        <w:pStyle w:val="P00"/>
        <w:spacing w:before="72"/>
        <w:ind w:left="0" w:right="1134"/>
        <w:rPr>
          <w:rStyle w:val="default"/>
          <w:rFonts w:cs="FrankRuehl" w:hint="cs"/>
          <w:sz w:val="26"/>
          <w:rtl/>
        </w:rPr>
      </w:pPr>
      <w:bookmarkStart w:id="15" w:name="Seif15"/>
      <w:bookmarkEnd w:id="15"/>
      <w:r>
        <w:rPr>
          <w:rFonts w:cs="Miriam"/>
          <w:szCs w:val="32"/>
          <w:rtl/>
          <w:lang w:val="he-IL"/>
        </w:rPr>
        <w:pict>
          <v:shape id="_x0000_s1162" type="#_x0000_t202" style="position:absolute;left:0;text-align:left;margin-left:470.25pt;margin-top:4pt;width:1in;height:16.8pt;z-index:251664384" filled="f" stroked="f">
            <v:textbox inset="1mm,,1mm">
              <w:txbxContent>
                <w:p w:rsidR="004B4E23" w:rsidRDefault="004B4E23">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16</w:t>
      </w:r>
      <w:r>
        <w:rPr>
          <w:rStyle w:val="default"/>
          <w:rFonts w:cs="FrankRuehl" w:hint="cs"/>
          <w:sz w:val="26"/>
          <w:rtl/>
        </w:rPr>
        <w:t>.</w:t>
      </w:r>
      <w:r>
        <w:rPr>
          <w:rStyle w:val="default"/>
          <w:rFonts w:cs="FrankRuehl" w:hint="cs"/>
          <w:sz w:val="26"/>
          <w:rtl/>
        </w:rPr>
        <w:tab/>
        <w:t>תחילתן של תקנות אלה שישה חודשים מיום פרסומן, אך מותר לפעול לפיהן מיום פרסומן.</w:t>
      </w:r>
    </w:p>
    <w:p w:rsidR="004B4E23" w:rsidRDefault="004B4E23">
      <w:pPr>
        <w:pStyle w:val="P00"/>
        <w:spacing w:before="72"/>
        <w:ind w:left="0" w:right="1134"/>
        <w:rPr>
          <w:rStyle w:val="default"/>
          <w:rFonts w:cs="FrankRuehl" w:hint="cs"/>
          <w:sz w:val="26"/>
          <w:rtl/>
        </w:rPr>
      </w:pPr>
      <w:bookmarkStart w:id="16" w:name="Seif16"/>
      <w:bookmarkEnd w:id="16"/>
      <w:r>
        <w:rPr>
          <w:rFonts w:cs="Miriam"/>
          <w:szCs w:val="32"/>
          <w:rtl/>
          <w:lang w:val="he-IL"/>
        </w:rPr>
        <w:pict>
          <v:shape id="_x0000_s1163" type="#_x0000_t202" style="position:absolute;left:0;text-align:left;margin-left:470.25pt;margin-top:4.7pt;width:1in;height:16.8pt;z-index:251665408" filled="f" stroked="f">
            <v:textbox inset="1mm,,1mm">
              <w:txbxContent>
                <w:p w:rsidR="004B4E23" w:rsidRDefault="004B4E23">
                  <w:pPr>
                    <w:spacing w:line="160" w:lineRule="exact"/>
                    <w:jc w:val="left"/>
                    <w:rPr>
                      <w:rFonts w:cs="Miriam" w:hint="cs"/>
                      <w:szCs w:val="18"/>
                      <w:rtl/>
                    </w:rPr>
                  </w:pPr>
                  <w:r>
                    <w:rPr>
                      <w:rFonts w:cs="Miriam" w:hint="cs"/>
                      <w:szCs w:val="18"/>
                      <w:rtl/>
                    </w:rPr>
                    <w:t>תחולה</w:t>
                  </w:r>
                </w:p>
              </w:txbxContent>
            </v:textbox>
            <w10:anchorlock/>
          </v:shape>
        </w:pict>
      </w:r>
      <w:r>
        <w:rPr>
          <w:rStyle w:val="default"/>
          <w:rFonts w:cs="Miriam" w:hint="cs"/>
          <w:sz w:val="32"/>
          <w:szCs w:val="32"/>
          <w:rtl/>
        </w:rPr>
        <w:t>17</w:t>
      </w:r>
      <w:r>
        <w:rPr>
          <w:rStyle w:val="default"/>
          <w:rFonts w:cs="FrankRuehl" w:hint="cs"/>
          <w:sz w:val="26"/>
          <w:rtl/>
        </w:rPr>
        <w:t>.</w:t>
      </w:r>
      <w:r>
        <w:rPr>
          <w:rStyle w:val="default"/>
          <w:rFonts w:cs="FrankRuehl" w:hint="cs"/>
          <w:sz w:val="26"/>
          <w:rtl/>
        </w:rPr>
        <w:tab/>
        <w:t>תקנות אלה יחולו על כל מיתקן שיותקן בבריכה לאחר תחילתן.</w:t>
      </w:r>
    </w:p>
    <w:p w:rsidR="004B4E23" w:rsidRDefault="004B4E23">
      <w:pPr>
        <w:pStyle w:val="P00"/>
        <w:spacing w:before="72"/>
        <w:ind w:left="0" w:right="1134"/>
        <w:rPr>
          <w:rStyle w:val="default"/>
          <w:rFonts w:cs="FrankRuehl" w:hint="cs"/>
          <w:sz w:val="26"/>
          <w:rtl/>
        </w:rPr>
      </w:pPr>
      <w:bookmarkStart w:id="17" w:name="Seif17"/>
      <w:bookmarkEnd w:id="17"/>
      <w:r>
        <w:rPr>
          <w:rFonts w:cs="Miriam"/>
          <w:szCs w:val="32"/>
          <w:rtl/>
          <w:lang w:val="he-IL"/>
        </w:rPr>
        <w:pict>
          <v:shape id="_x0000_s1164" type="#_x0000_t202" style="position:absolute;left:0;text-align:left;margin-left:470.25pt;margin-top:1.55pt;width:1in;height:16.8pt;z-index:251666432" filled="f" stroked="f">
            <v:textbox inset="1mm,,1mm">
              <w:txbxContent>
                <w:p w:rsidR="004B4E23" w:rsidRDefault="004B4E23">
                  <w:pPr>
                    <w:spacing w:line="160" w:lineRule="exact"/>
                    <w:jc w:val="left"/>
                    <w:rPr>
                      <w:rFonts w:cs="Miriam" w:hint="cs"/>
                      <w:szCs w:val="18"/>
                      <w:rtl/>
                    </w:rPr>
                  </w:pPr>
                  <w:r>
                    <w:rPr>
                      <w:rFonts w:cs="Miriam" w:hint="cs"/>
                      <w:szCs w:val="18"/>
                      <w:rtl/>
                    </w:rPr>
                    <w:t>הוראת מעבר</w:t>
                  </w:r>
                </w:p>
              </w:txbxContent>
            </v:textbox>
            <w10:anchorlock/>
          </v:shape>
        </w:pict>
      </w:r>
      <w:r>
        <w:rPr>
          <w:rStyle w:val="default"/>
          <w:rFonts w:cs="Miriam" w:hint="cs"/>
          <w:sz w:val="32"/>
          <w:szCs w:val="32"/>
          <w:rtl/>
        </w:rPr>
        <w:t>18</w:t>
      </w:r>
      <w:r>
        <w:rPr>
          <w:rStyle w:val="default"/>
          <w:rFonts w:cs="FrankRuehl" w:hint="cs"/>
          <w:sz w:val="26"/>
          <w:rtl/>
        </w:rPr>
        <w:t>.</w:t>
      </w:r>
      <w:r>
        <w:rPr>
          <w:rStyle w:val="default"/>
          <w:rFonts w:cs="FrankRuehl" w:hint="cs"/>
          <w:sz w:val="26"/>
          <w:rtl/>
        </w:rPr>
        <w:tab/>
        <w:t>מיתקן הקיים בבריכה ערב תחילתן של תקנות אלה יותאם לדרישות התקנות בתוך חמש שנים מיום תחילתן.</w:t>
      </w:r>
    </w:p>
    <w:p w:rsidR="004B4E23" w:rsidRDefault="004B4E23">
      <w:pPr>
        <w:pStyle w:val="P00"/>
        <w:spacing w:before="72"/>
        <w:ind w:left="0" w:right="1134"/>
        <w:rPr>
          <w:rStyle w:val="default"/>
          <w:rFonts w:cs="FrankRuehl" w:hint="cs"/>
          <w:sz w:val="26"/>
          <w:rtl/>
        </w:rPr>
      </w:pPr>
    </w:p>
    <w:p w:rsidR="004B4E23" w:rsidRDefault="004B4E23">
      <w:pPr>
        <w:pStyle w:val="P00"/>
        <w:spacing w:before="72"/>
        <w:ind w:left="0" w:right="1134"/>
        <w:jc w:val="center"/>
        <w:rPr>
          <w:rStyle w:val="default"/>
          <w:rFonts w:cs="FrankRuehl" w:hint="cs"/>
          <w:b/>
          <w:bCs/>
          <w:sz w:val="26"/>
          <w:rtl/>
        </w:rPr>
      </w:pPr>
      <w:r>
        <w:rPr>
          <w:rStyle w:val="default"/>
          <w:rFonts w:cs="FrankRuehl" w:hint="cs"/>
          <w:b/>
          <w:bCs/>
          <w:sz w:val="26"/>
          <w:rtl/>
        </w:rPr>
        <w:t>תוספת</w:t>
      </w:r>
    </w:p>
    <w:p w:rsidR="004B4E23" w:rsidRDefault="004B4E23">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rsidR="004B4E23" w:rsidRDefault="004B4E2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איור 1 </w:t>
      </w:r>
      <w:r>
        <w:rPr>
          <w:rStyle w:val="default"/>
          <w:rFonts w:cs="FrankRuehl"/>
          <w:b/>
          <w:bCs/>
          <w:sz w:val="22"/>
          <w:szCs w:val="22"/>
          <w:rtl/>
        </w:rPr>
        <w:t>–</w:t>
      </w:r>
      <w:r>
        <w:rPr>
          <w:rStyle w:val="default"/>
          <w:rFonts w:cs="FrankRuehl" w:hint="cs"/>
          <w:b/>
          <w:bCs/>
          <w:sz w:val="22"/>
          <w:szCs w:val="22"/>
          <w:rtl/>
        </w:rPr>
        <w:t xml:space="preserve"> הבריכה מתחת למפלס הקרקע</w:t>
      </w:r>
    </w:p>
    <w:p w:rsidR="004B4E23" w:rsidRDefault="0008407F" w:rsidP="0008407F">
      <w:pPr>
        <w:pStyle w:val="P00"/>
        <w:spacing w:before="72"/>
        <w:ind w:left="0" w:right="1134"/>
        <w:jc w:val="center"/>
        <w:rPr>
          <w:rStyle w:val="default"/>
          <w:rFonts w:cs="FrankRuehl"/>
          <w:sz w:val="26"/>
          <w:rtl/>
        </w:rPr>
      </w:pPr>
      <w:r w:rsidRPr="00FA0D6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61.2pt;height:143.1pt;visibility:visible">
            <v:imagedata r:id="rId6" o:title=""/>
          </v:shape>
        </w:pict>
      </w:r>
    </w:p>
    <w:p w:rsidR="0008407F" w:rsidRDefault="0008407F">
      <w:pPr>
        <w:pStyle w:val="P00"/>
        <w:spacing w:before="72"/>
        <w:ind w:left="0" w:right="1134"/>
        <w:rPr>
          <w:rStyle w:val="default"/>
          <w:rFonts w:cs="FrankRuehl" w:hint="cs"/>
          <w:sz w:val="26"/>
          <w:rtl/>
        </w:rPr>
      </w:pPr>
    </w:p>
    <w:p w:rsidR="004B4E23" w:rsidRDefault="004B4E2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איור 2 </w:t>
      </w:r>
      <w:r>
        <w:rPr>
          <w:rStyle w:val="default"/>
          <w:rFonts w:cs="FrankRuehl"/>
          <w:b/>
          <w:bCs/>
          <w:sz w:val="22"/>
          <w:szCs w:val="22"/>
          <w:rtl/>
        </w:rPr>
        <w:t>–</w:t>
      </w:r>
      <w:r>
        <w:rPr>
          <w:rStyle w:val="default"/>
          <w:rFonts w:cs="FrankRuehl" w:hint="cs"/>
          <w:b/>
          <w:bCs/>
          <w:sz w:val="22"/>
          <w:szCs w:val="22"/>
          <w:rtl/>
        </w:rPr>
        <w:t xml:space="preserve"> הבריכה מעל מפלס הקרקע</w:t>
      </w:r>
    </w:p>
    <w:p w:rsidR="004B4E23" w:rsidRDefault="0008407F" w:rsidP="0008407F">
      <w:pPr>
        <w:pStyle w:val="P00"/>
        <w:spacing w:before="72"/>
        <w:ind w:left="0" w:right="1134"/>
        <w:jc w:val="center"/>
        <w:rPr>
          <w:rStyle w:val="default"/>
          <w:rFonts w:cs="FrankRuehl"/>
          <w:sz w:val="26"/>
          <w:rtl/>
        </w:rPr>
      </w:pPr>
      <w:r w:rsidRPr="00FA0D67">
        <w:pict>
          <v:shape id="_x0000_i1026" type="#_x0000_t75" style="width:365.4pt;height:148.2pt;visibility:visible">
            <v:imagedata r:id="rId7" o:title=""/>
          </v:shape>
        </w:pict>
      </w:r>
    </w:p>
    <w:p w:rsidR="0008407F" w:rsidRDefault="0008407F">
      <w:pPr>
        <w:pStyle w:val="P00"/>
        <w:spacing w:before="72"/>
        <w:ind w:left="0" w:right="1134"/>
        <w:rPr>
          <w:rStyle w:val="default"/>
          <w:rFonts w:cs="FrankRuehl" w:hint="cs"/>
          <w:sz w:val="26"/>
          <w:rtl/>
        </w:rPr>
      </w:pPr>
    </w:p>
    <w:p w:rsidR="004B4E23" w:rsidRDefault="004B4E2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איור 3 </w:t>
      </w:r>
      <w:r>
        <w:rPr>
          <w:rStyle w:val="default"/>
          <w:rFonts w:cs="FrankRuehl"/>
          <w:b/>
          <w:bCs/>
          <w:sz w:val="22"/>
          <w:szCs w:val="22"/>
          <w:rtl/>
        </w:rPr>
        <w:t>–</w:t>
      </w:r>
      <w:r>
        <w:rPr>
          <w:rStyle w:val="default"/>
          <w:rFonts w:cs="FrankRuehl" w:hint="cs"/>
          <w:b/>
          <w:bCs/>
          <w:sz w:val="22"/>
          <w:szCs w:val="22"/>
          <w:rtl/>
        </w:rPr>
        <w:t xml:space="preserve"> מבט על בריכה עם מחיצות קבועות</w:t>
      </w:r>
    </w:p>
    <w:p w:rsidR="004B4E23" w:rsidRDefault="0008407F" w:rsidP="0008407F">
      <w:pPr>
        <w:pStyle w:val="P00"/>
        <w:spacing w:before="72"/>
        <w:ind w:left="0" w:right="1134"/>
        <w:jc w:val="center"/>
        <w:rPr>
          <w:rStyle w:val="default"/>
          <w:rFonts w:cs="FrankRuehl" w:hint="cs"/>
          <w:sz w:val="26"/>
          <w:rtl/>
        </w:rPr>
      </w:pPr>
      <w:r w:rsidRPr="0008407F">
        <w:rPr>
          <w:rStyle w:val="default"/>
          <w:rFonts w:cs="FrankRuehl" w:hint="cs"/>
          <w:sz w:val="26"/>
        </w:rPr>
        <w:pict>
          <v:shape id="_x0000_i1027" type="#_x0000_t75" style="width:365.1pt;height:193.2pt">
            <v:imagedata r:id="rId8" o:title=""/>
          </v:shape>
        </w:pict>
      </w:r>
    </w:p>
    <w:p w:rsidR="0008407F" w:rsidRDefault="0008407F">
      <w:pPr>
        <w:pStyle w:val="P00"/>
        <w:spacing w:before="72"/>
        <w:ind w:left="0" w:right="1134"/>
        <w:rPr>
          <w:rStyle w:val="default"/>
          <w:rFonts w:cs="FrankRuehl" w:hint="cs"/>
          <w:sz w:val="26"/>
          <w:rtl/>
        </w:rPr>
      </w:pPr>
    </w:p>
    <w:p w:rsidR="004B4E23" w:rsidRDefault="004B4E2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 xml:space="preserve">איור 4 </w:t>
      </w:r>
      <w:r>
        <w:rPr>
          <w:rStyle w:val="default"/>
          <w:rFonts w:cs="FrankRuehl"/>
          <w:b/>
          <w:bCs/>
          <w:sz w:val="22"/>
          <w:szCs w:val="22"/>
          <w:rtl/>
        </w:rPr>
        <w:t>–</w:t>
      </w:r>
      <w:r>
        <w:rPr>
          <w:rStyle w:val="default"/>
          <w:rFonts w:cs="FrankRuehl" w:hint="cs"/>
          <w:b/>
          <w:bCs/>
          <w:sz w:val="22"/>
          <w:szCs w:val="22"/>
          <w:rtl/>
        </w:rPr>
        <w:t xml:space="preserve"> דוגמה להגדרת אזורים בבריכת מים מדורגת</w:t>
      </w:r>
    </w:p>
    <w:p w:rsidR="004B4E23" w:rsidRDefault="0008407F" w:rsidP="0008407F">
      <w:pPr>
        <w:pStyle w:val="P00"/>
        <w:spacing w:before="72"/>
        <w:ind w:left="0" w:right="1134"/>
        <w:jc w:val="center"/>
        <w:rPr>
          <w:rStyle w:val="default"/>
          <w:rFonts w:cs="FrankRuehl"/>
          <w:rtl/>
        </w:rPr>
      </w:pPr>
      <w:r w:rsidRPr="00FA0D67">
        <w:pict>
          <v:shape id="_x0000_i1028" type="#_x0000_t75" style="width:350.7pt;height:163.2pt;visibility:visible">
            <v:imagedata r:id="rId9" o:title=""/>
          </v:shape>
        </w:pict>
      </w:r>
    </w:p>
    <w:p w:rsidR="0008407F" w:rsidRDefault="0008407F">
      <w:pPr>
        <w:pStyle w:val="P00"/>
        <w:spacing w:before="72"/>
        <w:ind w:left="0" w:right="1134"/>
        <w:rPr>
          <w:rStyle w:val="default"/>
          <w:rFonts w:cs="FrankRuehl"/>
          <w:rtl/>
        </w:rPr>
      </w:pPr>
    </w:p>
    <w:p w:rsidR="0008407F" w:rsidRDefault="0008407F">
      <w:pPr>
        <w:pStyle w:val="P00"/>
        <w:spacing w:before="72"/>
        <w:ind w:left="0" w:right="1134"/>
        <w:rPr>
          <w:rStyle w:val="default"/>
          <w:rFonts w:cs="FrankRuehl" w:hint="cs"/>
          <w:rtl/>
        </w:rPr>
      </w:pPr>
    </w:p>
    <w:p w:rsidR="004B4E23" w:rsidRDefault="004B4E23" w:rsidP="0008407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6"/>
          <w:rtl/>
        </w:rPr>
      </w:pPr>
      <w:r>
        <w:rPr>
          <w:rStyle w:val="default"/>
          <w:rFonts w:cs="FrankRuehl" w:hint="cs"/>
          <w:rtl/>
        </w:rPr>
        <w:t>ט' בשבט התשס"ג (12 בינואר 2003)</w:t>
      </w:r>
      <w:r w:rsidR="0008407F">
        <w:rPr>
          <w:rStyle w:val="default"/>
          <w:rFonts w:cs="FrankRuehl"/>
          <w:rtl/>
        </w:rPr>
        <w:tab/>
      </w:r>
      <w:r>
        <w:rPr>
          <w:rStyle w:val="default"/>
          <w:rFonts w:cs="FrankRuehl" w:hint="cs"/>
          <w:sz w:val="26"/>
          <w:rtl/>
        </w:rPr>
        <w:t>אפרים איתם</w:t>
      </w:r>
    </w:p>
    <w:p w:rsidR="004B4E23" w:rsidRDefault="004B4E23" w:rsidP="0008407F">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hint="cs"/>
          <w:sz w:val="22"/>
          <w:szCs w:val="22"/>
          <w:rtl/>
        </w:rPr>
      </w:pPr>
      <w:r>
        <w:rPr>
          <w:rStyle w:val="default"/>
          <w:rFonts w:cs="FrankRuehl" w:hint="cs"/>
          <w:sz w:val="22"/>
          <w:szCs w:val="22"/>
          <w:rtl/>
        </w:rPr>
        <w:tab/>
      </w:r>
      <w:r w:rsidR="0008407F">
        <w:rPr>
          <w:rStyle w:val="default"/>
          <w:rFonts w:cs="FrankRuehl" w:hint="cs"/>
          <w:sz w:val="22"/>
          <w:szCs w:val="22"/>
          <w:rtl/>
        </w:rPr>
        <w:t>ש</w:t>
      </w:r>
      <w:r>
        <w:rPr>
          <w:rStyle w:val="default"/>
          <w:rFonts w:cs="FrankRuehl" w:hint="cs"/>
          <w:sz w:val="22"/>
          <w:szCs w:val="22"/>
          <w:rtl/>
        </w:rPr>
        <w:t>ר התשתיות הלאומיות</w:t>
      </w:r>
    </w:p>
    <w:p w:rsidR="004B4E23" w:rsidRDefault="004B4E23">
      <w:pPr>
        <w:pStyle w:val="P00"/>
        <w:spacing w:before="72"/>
        <w:ind w:left="0" w:right="1134"/>
        <w:rPr>
          <w:rStyle w:val="default"/>
          <w:rFonts w:cs="FrankRuehl"/>
          <w:sz w:val="26"/>
          <w:rtl/>
        </w:rPr>
      </w:pPr>
    </w:p>
    <w:p w:rsidR="0008407F" w:rsidRDefault="0008407F">
      <w:pPr>
        <w:pStyle w:val="P00"/>
        <w:spacing w:before="72"/>
        <w:ind w:left="0" w:right="1134"/>
        <w:rPr>
          <w:rStyle w:val="default"/>
          <w:rFonts w:cs="FrankRuehl" w:hint="cs"/>
          <w:sz w:val="26"/>
          <w:rtl/>
        </w:rPr>
      </w:pPr>
    </w:p>
    <w:p w:rsidR="004B4E23" w:rsidRDefault="004B4E23">
      <w:pPr>
        <w:pStyle w:val="P00"/>
        <w:spacing w:before="72"/>
        <w:ind w:left="0" w:right="1134"/>
        <w:rPr>
          <w:rStyle w:val="default"/>
          <w:rFonts w:cs="FrankRuehl" w:hint="cs"/>
          <w:sz w:val="26"/>
          <w:rtl/>
        </w:rPr>
      </w:pPr>
    </w:p>
    <w:sectPr w:rsidR="004B4E2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0261" w:rsidRDefault="00960261">
      <w:r>
        <w:separator/>
      </w:r>
    </w:p>
  </w:endnote>
  <w:endnote w:type="continuationSeparator" w:id="0">
    <w:p w:rsidR="00960261" w:rsidRDefault="0096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E23" w:rsidRDefault="004B4E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B4E23" w:rsidRDefault="004B4E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B4E23" w:rsidRDefault="004B4E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Z:\000000000000-law\yael\07-09-04\01\999_111.doc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E23" w:rsidRDefault="004B4E2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8247C">
      <w:rPr>
        <w:rFonts w:hAnsi="FrankRuehl" w:cs="FrankRuehl"/>
        <w:noProof/>
        <w:sz w:val="24"/>
        <w:szCs w:val="24"/>
        <w:rtl/>
      </w:rPr>
      <w:t>1</w:t>
    </w:r>
    <w:r>
      <w:rPr>
        <w:rFonts w:hAnsi="FrankRuehl" w:cs="FrankRuehl"/>
        <w:sz w:val="24"/>
        <w:szCs w:val="24"/>
        <w:rtl/>
      </w:rPr>
      <w:fldChar w:fldCharType="end"/>
    </w:r>
  </w:p>
  <w:p w:rsidR="004B4E23" w:rsidRDefault="004B4E2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B4E23" w:rsidRDefault="004B4E2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Z:\000000000000-law\yael\07-09-04\01\999_111.doc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0261" w:rsidRDefault="00960261">
      <w:pPr>
        <w:spacing w:before="60" w:line="240" w:lineRule="auto"/>
        <w:ind w:right="1134"/>
      </w:pPr>
      <w:r>
        <w:separator/>
      </w:r>
    </w:p>
  </w:footnote>
  <w:footnote w:type="continuationSeparator" w:id="0">
    <w:p w:rsidR="00960261" w:rsidRDefault="00960261">
      <w:r>
        <w:continuationSeparator/>
      </w:r>
    </w:p>
  </w:footnote>
  <w:footnote w:id="1">
    <w:p w:rsidR="004B4E23" w:rsidRDefault="004B4E2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Pr>
            <w:rStyle w:val="Hyperlink"/>
            <w:rFonts w:hint="cs"/>
            <w:sz w:val="20"/>
            <w:rtl/>
          </w:rPr>
          <w:t>ק"ת תשס"ג מס' 6226</w:t>
        </w:r>
      </w:hyperlink>
      <w:r>
        <w:rPr>
          <w:rFonts w:hint="cs"/>
          <w:sz w:val="20"/>
          <w:rtl/>
        </w:rPr>
        <w:t xml:space="preserve"> מיום 12.2.2003 עמ' 495.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E23" w:rsidRDefault="004B4E2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4B4E23" w:rsidRDefault="004B4E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B4E23" w:rsidRDefault="004B4E2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4E23" w:rsidRDefault="004B4E2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החשמל (מיתקני חשמל בבריכה במתח שאינו עולה על מתח נמוך), תשס"ג-2003</w:t>
    </w:r>
  </w:p>
  <w:p w:rsidR="004B4E23" w:rsidRDefault="004B4E2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B4E23" w:rsidRDefault="004B4E2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4E23"/>
    <w:rsid w:val="0008407F"/>
    <w:rsid w:val="004B4E23"/>
    <w:rsid w:val="00960261"/>
    <w:rsid w:val="00B64FD1"/>
    <w:rsid w:val="00B8247C"/>
    <w:rsid w:val="00B973A6"/>
    <w:rsid w:val="00EC5D39"/>
    <w:rsid w:val="00F859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5:chartTrackingRefBased/>
  <w15:docId w15:val="{29392BB8-2665-47F7-AEA4-EAFCE3E5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11196</CharactersWithSpaces>
  <SharedDoc>false</SharedDoc>
  <HLinks>
    <vt:vector size="114" baseType="variant">
      <vt:variant>
        <vt:i4>3407915</vt:i4>
      </vt:variant>
      <vt:variant>
        <vt:i4>51</vt:i4>
      </vt:variant>
      <vt:variant>
        <vt:i4>0</vt:i4>
      </vt:variant>
      <vt:variant>
        <vt:i4>5</vt:i4>
      </vt:variant>
      <vt:variant>
        <vt:lpwstr/>
      </vt:variant>
      <vt:variant>
        <vt:lpwstr>Seif17</vt:lpwstr>
      </vt:variant>
      <vt:variant>
        <vt:i4>3473451</vt:i4>
      </vt:variant>
      <vt:variant>
        <vt:i4>48</vt:i4>
      </vt:variant>
      <vt:variant>
        <vt:i4>0</vt:i4>
      </vt:variant>
      <vt:variant>
        <vt:i4>5</vt:i4>
      </vt:variant>
      <vt:variant>
        <vt:lpwstr/>
      </vt:variant>
      <vt:variant>
        <vt:lpwstr>Seif16</vt:lpwstr>
      </vt:variant>
      <vt:variant>
        <vt:i4>3538987</vt:i4>
      </vt:variant>
      <vt:variant>
        <vt:i4>45</vt:i4>
      </vt:variant>
      <vt:variant>
        <vt:i4>0</vt:i4>
      </vt:variant>
      <vt:variant>
        <vt:i4>5</vt:i4>
      </vt:variant>
      <vt:variant>
        <vt:lpwstr/>
      </vt:variant>
      <vt:variant>
        <vt:lpwstr>Seif15</vt:lpwstr>
      </vt:variant>
      <vt:variant>
        <vt:i4>3604523</vt:i4>
      </vt:variant>
      <vt:variant>
        <vt:i4>42</vt:i4>
      </vt:variant>
      <vt:variant>
        <vt:i4>0</vt:i4>
      </vt:variant>
      <vt:variant>
        <vt:i4>5</vt:i4>
      </vt:variant>
      <vt:variant>
        <vt:lpwstr/>
      </vt:variant>
      <vt:variant>
        <vt:lpwstr>Seif14</vt:lpwstr>
      </vt:variant>
      <vt:variant>
        <vt:i4>3145771</vt:i4>
      </vt:variant>
      <vt:variant>
        <vt:i4>39</vt:i4>
      </vt:variant>
      <vt:variant>
        <vt:i4>0</vt:i4>
      </vt:variant>
      <vt:variant>
        <vt:i4>5</vt:i4>
      </vt:variant>
      <vt:variant>
        <vt:lpwstr/>
      </vt:variant>
      <vt:variant>
        <vt:lpwstr>Seif13</vt:lpwstr>
      </vt:variant>
      <vt:variant>
        <vt:i4>3211307</vt:i4>
      </vt:variant>
      <vt:variant>
        <vt:i4>36</vt:i4>
      </vt:variant>
      <vt:variant>
        <vt:i4>0</vt:i4>
      </vt:variant>
      <vt:variant>
        <vt:i4>5</vt:i4>
      </vt:variant>
      <vt:variant>
        <vt:lpwstr/>
      </vt:variant>
      <vt:variant>
        <vt:lpwstr>Seif12</vt:lpwstr>
      </vt:variant>
      <vt:variant>
        <vt:i4>3276843</vt:i4>
      </vt:variant>
      <vt:variant>
        <vt:i4>33</vt:i4>
      </vt:variant>
      <vt:variant>
        <vt:i4>0</vt:i4>
      </vt:variant>
      <vt:variant>
        <vt:i4>5</vt:i4>
      </vt:variant>
      <vt:variant>
        <vt:lpwstr/>
      </vt:variant>
      <vt:variant>
        <vt:lpwstr>Seif11</vt:lpwstr>
      </vt:variant>
      <vt:variant>
        <vt:i4>3342379</vt:i4>
      </vt:variant>
      <vt:variant>
        <vt:i4>30</vt:i4>
      </vt:variant>
      <vt:variant>
        <vt:i4>0</vt:i4>
      </vt:variant>
      <vt:variant>
        <vt:i4>5</vt:i4>
      </vt:variant>
      <vt:variant>
        <vt:lpwstr/>
      </vt:variant>
      <vt:variant>
        <vt:lpwstr>Seif10</vt:lpwstr>
      </vt:variant>
      <vt:variant>
        <vt:i4>196634</vt:i4>
      </vt:variant>
      <vt:variant>
        <vt:i4>27</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21</vt:i4>
      </vt:variant>
      <vt:variant>
        <vt:i4>0</vt:i4>
      </vt:variant>
      <vt:variant>
        <vt:i4>5</vt:i4>
      </vt:variant>
      <vt:variant>
        <vt:lpwstr/>
      </vt:variant>
      <vt:variant>
        <vt:lpwstr>Seif7</vt:lpwstr>
      </vt:variant>
      <vt:variant>
        <vt:i4>196634</vt:i4>
      </vt:variant>
      <vt:variant>
        <vt:i4>18</vt:i4>
      </vt:variant>
      <vt:variant>
        <vt:i4>0</vt:i4>
      </vt:variant>
      <vt:variant>
        <vt:i4>5</vt:i4>
      </vt:variant>
      <vt:variant>
        <vt:lpwstr/>
      </vt:variant>
      <vt:variant>
        <vt:lpwstr>Seif6</vt:lpwstr>
      </vt:variant>
      <vt:variant>
        <vt:i4>196634</vt:i4>
      </vt:variant>
      <vt:variant>
        <vt:i4>15</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Seif4</vt:lpwstr>
      </vt:variant>
      <vt:variant>
        <vt:i4>196634</vt:i4>
      </vt:variant>
      <vt:variant>
        <vt:i4>9</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3</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Seif0</vt:lpwstr>
      </vt:variant>
      <vt:variant>
        <vt:i4>8192012</vt:i4>
      </vt:variant>
      <vt:variant>
        <vt:i4>0</vt:i4>
      </vt:variant>
      <vt:variant>
        <vt:i4>0</vt:i4>
      </vt:variant>
      <vt:variant>
        <vt:i4>5</vt:i4>
      </vt:variant>
      <vt:variant>
        <vt:lpwstr>http://www.nevo.co.il/Law_word/law06/TAK-6226.pdf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החשמל (מיתקני חשמל בבריכה במתח שאינו עולה על מתח נמוך), תשס"ג-2003</vt:lpwstr>
  </property>
  <property fmtid="{D5CDD505-2E9C-101B-9397-08002B2CF9AE}" pid="4" name="LAWNUMBER">
    <vt:lpwstr>0111</vt:lpwstr>
  </property>
  <property fmtid="{D5CDD505-2E9C-101B-9397-08002B2CF9AE}" pid="5" name="TYPE">
    <vt:lpwstr>01</vt:lpwstr>
  </property>
  <property fmtid="{D5CDD505-2E9C-101B-9397-08002B2CF9AE}" pid="6" name="MEKOR_NAME1">
    <vt:lpwstr>חוק החשמל</vt:lpwstr>
  </property>
  <property fmtid="{D5CDD505-2E9C-101B-9397-08002B2CF9AE}" pid="7" name="MEKOR_SAIF1">
    <vt:lpwstr>13X</vt:lpwstr>
  </property>
  <property fmtid="{D5CDD505-2E9C-101B-9397-08002B2CF9AE}" pid="8" name="MEKOR_NAME2">
    <vt:lpwstr>חוק-יסוד: הממשלה</vt:lpwstr>
  </property>
  <property fmtid="{D5CDD505-2E9C-101B-9397-08002B2CF9AE}" pid="9" name="MEKOR_SAIF2">
    <vt:lpwstr>48XאX</vt:lpwstr>
  </property>
  <property fmtid="{D5CDD505-2E9C-101B-9397-08002B2CF9AE}" pid="10" name="MEKOR_NAME3">
    <vt:lpwstr>חוק העונשין</vt:lpwstr>
  </property>
  <property fmtid="{D5CDD505-2E9C-101B-9397-08002B2CF9AE}" pid="11" name="MEKOR_SAIF3">
    <vt:lpwstr>2XבX</vt:lpwstr>
  </property>
  <property fmtid="{D5CDD505-2E9C-101B-9397-08002B2CF9AE}" pid="12" name="NOSE11">
    <vt:lpwstr>רשויות ומשפט מנהלי</vt:lpwstr>
  </property>
  <property fmtid="{D5CDD505-2E9C-101B-9397-08002B2CF9AE}" pid="13" name="NOSE21">
    <vt:lpwstr>תשתיות</vt:lpwstr>
  </property>
  <property fmtid="{D5CDD505-2E9C-101B-9397-08002B2CF9AE}" pid="14" name="NOSE31">
    <vt:lpwstr>חשמל</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ies>
</file>