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B8601" w14:textId="77777777" w:rsidR="007E1F4A" w:rsidRDefault="007E1F4A">
      <w:pPr>
        <w:pStyle w:val="big-header"/>
        <w:ind w:left="0" w:right="1134"/>
        <w:rPr>
          <w:rFonts w:cs="FrankRuehl"/>
          <w:sz w:val="32"/>
        </w:rPr>
      </w:pPr>
      <w:r>
        <w:rPr>
          <w:rFonts w:cs="FrankRuehl"/>
          <w:sz w:val="32"/>
          <w:rtl/>
        </w:rPr>
        <w:t>תקנות החשמל (סדרי הדין של ועדת עררים), תשט"ו</w:t>
      </w:r>
      <w:r>
        <w:rPr>
          <w:rFonts w:cs="FrankRuehl" w:hint="cs"/>
          <w:sz w:val="32"/>
          <w:rtl/>
        </w:rPr>
        <w:t>-</w:t>
      </w:r>
      <w:r>
        <w:rPr>
          <w:rFonts w:cs="FrankRuehl"/>
          <w:sz w:val="32"/>
          <w:rtl/>
        </w:rPr>
        <w:t>1955</w:t>
      </w:r>
    </w:p>
    <w:p w14:paraId="48B0B7B8" w14:textId="77777777" w:rsidR="00473199" w:rsidRPr="00473199" w:rsidRDefault="00473199" w:rsidP="00473199">
      <w:pPr>
        <w:spacing w:line="320" w:lineRule="auto"/>
        <w:jc w:val="left"/>
        <w:rPr>
          <w:rFonts w:cs="FrankRuehl"/>
          <w:szCs w:val="26"/>
          <w:rtl/>
        </w:rPr>
      </w:pPr>
    </w:p>
    <w:p w14:paraId="3E84E223" w14:textId="77777777" w:rsidR="00473199" w:rsidRDefault="00473199" w:rsidP="00473199">
      <w:pPr>
        <w:spacing w:line="320" w:lineRule="auto"/>
        <w:jc w:val="left"/>
        <w:rPr>
          <w:rtl/>
        </w:rPr>
      </w:pPr>
    </w:p>
    <w:p w14:paraId="0AE43FD2" w14:textId="77777777" w:rsidR="00473199" w:rsidRPr="00473199" w:rsidRDefault="00473199" w:rsidP="00473199">
      <w:pPr>
        <w:spacing w:line="320" w:lineRule="auto"/>
        <w:jc w:val="left"/>
        <w:rPr>
          <w:rFonts w:cs="Miriam"/>
          <w:szCs w:val="22"/>
          <w:rtl/>
        </w:rPr>
      </w:pPr>
      <w:r w:rsidRPr="00473199">
        <w:rPr>
          <w:rFonts w:cs="Miriam"/>
          <w:szCs w:val="22"/>
          <w:rtl/>
        </w:rPr>
        <w:t>רשויות ומשפט מנהלי</w:t>
      </w:r>
      <w:r w:rsidRPr="00473199">
        <w:rPr>
          <w:rFonts w:cs="FrankRuehl"/>
          <w:szCs w:val="26"/>
          <w:rtl/>
        </w:rPr>
        <w:t xml:space="preserve"> – תשתיות – חשמל</w:t>
      </w:r>
    </w:p>
    <w:p w14:paraId="71710C5D" w14:textId="77777777" w:rsidR="007E1F4A" w:rsidRDefault="007E1F4A">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E1F4A" w14:paraId="30EC939A" w14:textId="77777777">
        <w:tblPrEx>
          <w:tblCellMar>
            <w:top w:w="0" w:type="dxa"/>
            <w:bottom w:w="0" w:type="dxa"/>
          </w:tblCellMar>
        </w:tblPrEx>
        <w:trPr>
          <w:jc w:val="right"/>
        </w:trPr>
        <w:tc>
          <w:tcPr>
            <w:tcW w:w="850" w:type="dxa"/>
          </w:tcPr>
          <w:p w14:paraId="18F44B04" w14:textId="77777777" w:rsidR="007E1F4A" w:rsidRDefault="007E1F4A">
            <w:pPr>
              <w:spacing w:line="240" w:lineRule="auto"/>
              <w:jc w:val="left"/>
              <w:rPr>
                <w:rFonts w:cs="Frankruhel"/>
                <w:sz w:val="24"/>
              </w:rPr>
            </w:pPr>
            <w:r>
              <w:rPr>
                <w:rFonts w:cs="Frankruhel"/>
                <w:sz w:val="24"/>
                <w:rtl/>
              </w:rPr>
              <w:t>2</w:t>
            </w:r>
          </w:p>
        </w:tc>
        <w:tc>
          <w:tcPr>
            <w:tcW w:w="567" w:type="dxa"/>
          </w:tcPr>
          <w:p w14:paraId="6EEE9C69" w14:textId="77777777" w:rsidR="007E1F4A" w:rsidRDefault="007E1F4A">
            <w:pPr>
              <w:spacing w:line="240" w:lineRule="auto"/>
              <w:jc w:val="left"/>
              <w:rPr>
                <w:rFonts w:cs="Frankruhel"/>
                <w:sz w:val="24"/>
              </w:rPr>
            </w:pPr>
            <w:hyperlink w:anchor="Seif0" w:tooltip="הגדרות" w:history="1">
              <w:r>
                <w:rPr>
                  <w:rStyle w:val="Hyperlink"/>
                </w:rPr>
                <w:t>Go</w:t>
              </w:r>
            </w:hyperlink>
          </w:p>
        </w:tc>
        <w:tc>
          <w:tcPr>
            <w:tcW w:w="5669" w:type="dxa"/>
          </w:tcPr>
          <w:p w14:paraId="52F35EAE" w14:textId="77777777" w:rsidR="007E1F4A" w:rsidRDefault="007E1F4A">
            <w:pPr>
              <w:spacing w:line="240" w:lineRule="auto"/>
              <w:jc w:val="left"/>
              <w:rPr>
                <w:rFonts w:cs="Frankruhel"/>
                <w:sz w:val="24"/>
                <w:rtl/>
              </w:rPr>
            </w:pPr>
            <w:r>
              <w:rPr>
                <w:rFonts w:cs="Frankruhel"/>
                <w:sz w:val="24"/>
                <w:rtl/>
              </w:rPr>
              <w:t>הגדרות</w:t>
            </w:r>
          </w:p>
        </w:tc>
        <w:tc>
          <w:tcPr>
            <w:tcW w:w="1247" w:type="dxa"/>
          </w:tcPr>
          <w:p w14:paraId="5D8420D6" w14:textId="77777777" w:rsidR="007E1F4A" w:rsidRDefault="007E1F4A">
            <w:pPr>
              <w:spacing w:line="240" w:lineRule="auto"/>
              <w:jc w:val="left"/>
              <w:rPr>
                <w:rFonts w:cs="Frankruhel"/>
                <w:sz w:val="24"/>
              </w:rPr>
            </w:pPr>
            <w:r>
              <w:rPr>
                <w:rFonts w:cs="Frankruhel"/>
                <w:sz w:val="24"/>
                <w:rtl/>
              </w:rPr>
              <w:t xml:space="preserve">סעיף 1 </w:t>
            </w:r>
          </w:p>
        </w:tc>
      </w:tr>
      <w:tr w:rsidR="007E1F4A" w14:paraId="55DE90EF" w14:textId="77777777">
        <w:tblPrEx>
          <w:tblCellMar>
            <w:top w:w="0" w:type="dxa"/>
            <w:bottom w:w="0" w:type="dxa"/>
          </w:tblCellMar>
        </w:tblPrEx>
        <w:trPr>
          <w:jc w:val="right"/>
        </w:trPr>
        <w:tc>
          <w:tcPr>
            <w:tcW w:w="850" w:type="dxa"/>
          </w:tcPr>
          <w:p w14:paraId="7EE736F6" w14:textId="77777777" w:rsidR="007E1F4A" w:rsidRDefault="007E1F4A">
            <w:pPr>
              <w:spacing w:line="240" w:lineRule="auto"/>
              <w:jc w:val="left"/>
              <w:rPr>
                <w:rFonts w:cs="Frankruhel"/>
                <w:sz w:val="24"/>
              </w:rPr>
            </w:pPr>
            <w:r>
              <w:rPr>
                <w:rFonts w:cs="Frankruhel"/>
                <w:sz w:val="24"/>
                <w:rtl/>
              </w:rPr>
              <w:t>2</w:t>
            </w:r>
          </w:p>
        </w:tc>
        <w:tc>
          <w:tcPr>
            <w:tcW w:w="567" w:type="dxa"/>
          </w:tcPr>
          <w:p w14:paraId="0734682B" w14:textId="77777777" w:rsidR="007E1F4A" w:rsidRDefault="007E1F4A">
            <w:pPr>
              <w:spacing w:line="240" w:lineRule="auto"/>
              <w:jc w:val="left"/>
              <w:rPr>
                <w:rFonts w:cs="Frankruhel"/>
                <w:sz w:val="24"/>
              </w:rPr>
            </w:pPr>
            <w:hyperlink w:anchor="Seif1" w:tooltip="הגשת ערר" w:history="1">
              <w:r>
                <w:rPr>
                  <w:rStyle w:val="Hyperlink"/>
                </w:rPr>
                <w:t>Go</w:t>
              </w:r>
            </w:hyperlink>
          </w:p>
        </w:tc>
        <w:tc>
          <w:tcPr>
            <w:tcW w:w="5669" w:type="dxa"/>
          </w:tcPr>
          <w:p w14:paraId="008CE336" w14:textId="77777777" w:rsidR="007E1F4A" w:rsidRDefault="007E1F4A">
            <w:pPr>
              <w:spacing w:line="240" w:lineRule="auto"/>
              <w:jc w:val="left"/>
              <w:rPr>
                <w:rFonts w:cs="Frankruhel"/>
                <w:sz w:val="24"/>
                <w:rtl/>
              </w:rPr>
            </w:pPr>
            <w:r>
              <w:rPr>
                <w:rFonts w:cs="Frankruhel"/>
                <w:sz w:val="24"/>
                <w:rtl/>
              </w:rPr>
              <w:t>הגשת ערר</w:t>
            </w:r>
          </w:p>
        </w:tc>
        <w:tc>
          <w:tcPr>
            <w:tcW w:w="1247" w:type="dxa"/>
          </w:tcPr>
          <w:p w14:paraId="37F53AD3" w14:textId="77777777" w:rsidR="007E1F4A" w:rsidRDefault="007E1F4A">
            <w:pPr>
              <w:spacing w:line="240" w:lineRule="auto"/>
              <w:jc w:val="left"/>
              <w:rPr>
                <w:rFonts w:cs="Frankruhel"/>
                <w:sz w:val="24"/>
              </w:rPr>
            </w:pPr>
            <w:r>
              <w:rPr>
                <w:rFonts w:cs="Frankruhel"/>
                <w:sz w:val="24"/>
                <w:rtl/>
              </w:rPr>
              <w:t xml:space="preserve">סעיף 2 </w:t>
            </w:r>
          </w:p>
        </w:tc>
      </w:tr>
      <w:tr w:rsidR="007E1F4A" w14:paraId="3235E537" w14:textId="77777777">
        <w:tblPrEx>
          <w:tblCellMar>
            <w:top w:w="0" w:type="dxa"/>
            <w:bottom w:w="0" w:type="dxa"/>
          </w:tblCellMar>
        </w:tblPrEx>
        <w:trPr>
          <w:jc w:val="right"/>
        </w:trPr>
        <w:tc>
          <w:tcPr>
            <w:tcW w:w="850" w:type="dxa"/>
          </w:tcPr>
          <w:p w14:paraId="566B15C9" w14:textId="77777777" w:rsidR="007E1F4A" w:rsidRDefault="007E1F4A">
            <w:pPr>
              <w:spacing w:line="240" w:lineRule="auto"/>
              <w:jc w:val="left"/>
              <w:rPr>
                <w:rFonts w:cs="Frankruhel"/>
                <w:sz w:val="24"/>
              </w:rPr>
            </w:pPr>
            <w:r>
              <w:rPr>
                <w:rFonts w:cs="Frankruhel"/>
                <w:sz w:val="24"/>
                <w:rtl/>
              </w:rPr>
              <w:t>2</w:t>
            </w:r>
          </w:p>
        </w:tc>
        <w:tc>
          <w:tcPr>
            <w:tcW w:w="567" w:type="dxa"/>
          </w:tcPr>
          <w:p w14:paraId="652FAE9D" w14:textId="77777777" w:rsidR="007E1F4A" w:rsidRDefault="007E1F4A">
            <w:pPr>
              <w:spacing w:line="240" w:lineRule="auto"/>
              <w:jc w:val="left"/>
              <w:rPr>
                <w:rFonts w:cs="Frankruhel"/>
                <w:sz w:val="24"/>
              </w:rPr>
            </w:pPr>
            <w:hyperlink w:anchor="Seif2" w:tooltip="פרטי הערר" w:history="1">
              <w:r>
                <w:rPr>
                  <w:rStyle w:val="Hyperlink"/>
                </w:rPr>
                <w:t>Go</w:t>
              </w:r>
            </w:hyperlink>
          </w:p>
        </w:tc>
        <w:tc>
          <w:tcPr>
            <w:tcW w:w="5669" w:type="dxa"/>
          </w:tcPr>
          <w:p w14:paraId="714A9AC5" w14:textId="77777777" w:rsidR="007E1F4A" w:rsidRDefault="007E1F4A">
            <w:pPr>
              <w:spacing w:line="240" w:lineRule="auto"/>
              <w:jc w:val="left"/>
              <w:rPr>
                <w:rFonts w:cs="Frankruhel"/>
                <w:sz w:val="24"/>
                <w:rtl/>
              </w:rPr>
            </w:pPr>
            <w:r>
              <w:rPr>
                <w:rFonts w:cs="Frankruhel"/>
                <w:sz w:val="24"/>
                <w:rtl/>
              </w:rPr>
              <w:t>פרטי הערר</w:t>
            </w:r>
          </w:p>
        </w:tc>
        <w:tc>
          <w:tcPr>
            <w:tcW w:w="1247" w:type="dxa"/>
          </w:tcPr>
          <w:p w14:paraId="56205A52" w14:textId="77777777" w:rsidR="007E1F4A" w:rsidRDefault="007E1F4A">
            <w:pPr>
              <w:spacing w:line="240" w:lineRule="auto"/>
              <w:jc w:val="left"/>
              <w:rPr>
                <w:rFonts w:cs="Frankruhel"/>
                <w:sz w:val="24"/>
              </w:rPr>
            </w:pPr>
            <w:r>
              <w:rPr>
                <w:rFonts w:cs="Frankruhel"/>
                <w:sz w:val="24"/>
                <w:rtl/>
              </w:rPr>
              <w:t xml:space="preserve">סעיף 3 </w:t>
            </w:r>
          </w:p>
        </w:tc>
      </w:tr>
      <w:tr w:rsidR="007E1F4A" w14:paraId="49995398" w14:textId="77777777">
        <w:tblPrEx>
          <w:tblCellMar>
            <w:top w:w="0" w:type="dxa"/>
            <w:bottom w:w="0" w:type="dxa"/>
          </w:tblCellMar>
        </w:tblPrEx>
        <w:trPr>
          <w:jc w:val="right"/>
        </w:trPr>
        <w:tc>
          <w:tcPr>
            <w:tcW w:w="850" w:type="dxa"/>
          </w:tcPr>
          <w:p w14:paraId="58A73842" w14:textId="77777777" w:rsidR="007E1F4A" w:rsidRDefault="007E1F4A">
            <w:pPr>
              <w:spacing w:line="240" w:lineRule="auto"/>
              <w:jc w:val="left"/>
              <w:rPr>
                <w:rFonts w:cs="Frankruhel"/>
                <w:sz w:val="24"/>
              </w:rPr>
            </w:pPr>
            <w:r>
              <w:rPr>
                <w:rFonts w:cs="Frankruhel"/>
                <w:sz w:val="24"/>
                <w:rtl/>
              </w:rPr>
              <w:t>2</w:t>
            </w:r>
          </w:p>
        </w:tc>
        <w:tc>
          <w:tcPr>
            <w:tcW w:w="567" w:type="dxa"/>
          </w:tcPr>
          <w:p w14:paraId="22262E8B" w14:textId="77777777" w:rsidR="007E1F4A" w:rsidRDefault="007E1F4A">
            <w:pPr>
              <w:spacing w:line="240" w:lineRule="auto"/>
              <w:jc w:val="left"/>
              <w:rPr>
                <w:rFonts w:cs="Frankruhel"/>
                <w:sz w:val="24"/>
              </w:rPr>
            </w:pPr>
            <w:hyperlink w:anchor="Seif3" w:tooltip="מסירת העתקים" w:history="1">
              <w:r>
                <w:rPr>
                  <w:rStyle w:val="Hyperlink"/>
                </w:rPr>
                <w:t>Go</w:t>
              </w:r>
            </w:hyperlink>
          </w:p>
        </w:tc>
        <w:tc>
          <w:tcPr>
            <w:tcW w:w="5669" w:type="dxa"/>
          </w:tcPr>
          <w:p w14:paraId="2DD459EC" w14:textId="77777777" w:rsidR="007E1F4A" w:rsidRDefault="007E1F4A">
            <w:pPr>
              <w:spacing w:line="240" w:lineRule="auto"/>
              <w:jc w:val="left"/>
              <w:rPr>
                <w:rFonts w:cs="Frankruhel"/>
                <w:sz w:val="24"/>
                <w:rtl/>
              </w:rPr>
            </w:pPr>
            <w:r>
              <w:rPr>
                <w:rFonts w:cs="Frankruhel"/>
                <w:sz w:val="24"/>
                <w:rtl/>
              </w:rPr>
              <w:t>מסירת העתקים</w:t>
            </w:r>
          </w:p>
        </w:tc>
        <w:tc>
          <w:tcPr>
            <w:tcW w:w="1247" w:type="dxa"/>
          </w:tcPr>
          <w:p w14:paraId="468A7AE4" w14:textId="77777777" w:rsidR="007E1F4A" w:rsidRDefault="007E1F4A">
            <w:pPr>
              <w:spacing w:line="240" w:lineRule="auto"/>
              <w:jc w:val="left"/>
              <w:rPr>
                <w:rFonts w:cs="Frankruhel"/>
                <w:sz w:val="24"/>
              </w:rPr>
            </w:pPr>
            <w:r>
              <w:rPr>
                <w:rFonts w:cs="Frankruhel"/>
                <w:sz w:val="24"/>
                <w:rtl/>
              </w:rPr>
              <w:t xml:space="preserve">סעיף 4 </w:t>
            </w:r>
          </w:p>
        </w:tc>
      </w:tr>
      <w:tr w:rsidR="007E1F4A" w14:paraId="56D00E4C" w14:textId="77777777">
        <w:tblPrEx>
          <w:tblCellMar>
            <w:top w:w="0" w:type="dxa"/>
            <w:bottom w:w="0" w:type="dxa"/>
          </w:tblCellMar>
        </w:tblPrEx>
        <w:trPr>
          <w:jc w:val="right"/>
        </w:trPr>
        <w:tc>
          <w:tcPr>
            <w:tcW w:w="850" w:type="dxa"/>
          </w:tcPr>
          <w:p w14:paraId="1A28D519" w14:textId="77777777" w:rsidR="007E1F4A" w:rsidRDefault="007E1F4A">
            <w:pPr>
              <w:spacing w:line="240" w:lineRule="auto"/>
              <w:jc w:val="left"/>
              <w:rPr>
                <w:rFonts w:cs="Frankruhel"/>
                <w:sz w:val="24"/>
              </w:rPr>
            </w:pPr>
            <w:r>
              <w:rPr>
                <w:rFonts w:cs="Frankruhel"/>
                <w:sz w:val="24"/>
                <w:rtl/>
              </w:rPr>
              <w:t>2</w:t>
            </w:r>
          </w:p>
        </w:tc>
        <w:tc>
          <w:tcPr>
            <w:tcW w:w="567" w:type="dxa"/>
          </w:tcPr>
          <w:p w14:paraId="2B83E29F" w14:textId="77777777" w:rsidR="007E1F4A" w:rsidRDefault="007E1F4A">
            <w:pPr>
              <w:spacing w:line="240" w:lineRule="auto"/>
              <w:jc w:val="left"/>
              <w:rPr>
                <w:rFonts w:cs="Frankruhel"/>
                <w:sz w:val="24"/>
              </w:rPr>
            </w:pPr>
            <w:hyperlink w:anchor="Seif4" w:tooltip="תשובת המשיב" w:history="1">
              <w:r>
                <w:rPr>
                  <w:rStyle w:val="Hyperlink"/>
                </w:rPr>
                <w:t>Go</w:t>
              </w:r>
            </w:hyperlink>
          </w:p>
        </w:tc>
        <w:tc>
          <w:tcPr>
            <w:tcW w:w="5669" w:type="dxa"/>
          </w:tcPr>
          <w:p w14:paraId="7D99ACA0" w14:textId="77777777" w:rsidR="007E1F4A" w:rsidRDefault="007E1F4A">
            <w:pPr>
              <w:spacing w:line="240" w:lineRule="auto"/>
              <w:jc w:val="left"/>
              <w:rPr>
                <w:rFonts w:cs="Frankruhel"/>
                <w:sz w:val="24"/>
                <w:rtl/>
              </w:rPr>
            </w:pPr>
            <w:r>
              <w:rPr>
                <w:rFonts w:cs="Frankruhel"/>
                <w:sz w:val="24"/>
                <w:rtl/>
              </w:rPr>
              <w:t>תשובת המשיב</w:t>
            </w:r>
          </w:p>
        </w:tc>
        <w:tc>
          <w:tcPr>
            <w:tcW w:w="1247" w:type="dxa"/>
          </w:tcPr>
          <w:p w14:paraId="0B805F2E" w14:textId="77777777" w:rsidR="007E1F4A" w:rsidRDefault="007E1F4A">
            <w:pPr>
              <w:spacing w:line="240" w:lineRule="auto"/>
              <w:jc w:val="left"/>
              <w:rPr>
                <w:rFonts w:cs="Frankruhel"/>
                <w:sz w:val="24"/>
              </w:rPr>
            </w:pPr>
            <w:r>
              <w:rPr>
                <w:rFonts w:cs="Frankruhel"/>
                <w:sz w:val="24"/>
                <w:rtl/>
              </w:rPr>
              <w:t xml:space="preserve">סעיף 5 </w:t>
            </w:r>
          </w:p>
        </w:tc>
      </w:tr>
      <w:tr w:rsidR="007E1F4A" w14:paraId="15E76C8A" w14:textId="77777777">
        <w:tblPrEx>
          <w:tblCellMar>
            <w:top w:w="0" w:type="dxa"/>
            <w:bottom w:w="0" w:type="dxa"/>
          </w:tblCellMar>
        </w:tblPrEx>
        <w:trPr>
          <w:jc w:val="right"/>
        </w:trPr>
        <w:tc>
          <w:tcPr>
            <w:tcW w:w="850" w:type="dxa"/>
          </w:tcPr>
          <w:p w14:paraId="06C1685B" w14:textId="77777777" w:rsidR="007E1F4A" w:rsidRDefault="007E1F4A">
            <w:pPr>
              <w:spacing w:line="240" w:lineRule="auto"/>
              <w:jc w:val="left"/>
              <w:rPr>
                <w:rFonts w:cs="Frankruhel"/>
                <w:sz w:val="24"/>
              </w:rPr>
            </w:pPr>
            <w:r>
              <w:rPr>
                <w:rFonts w:cs="Frankruhel"/>
                <w:sz w:val="24"/>
                <w:rtl/>
              </w:rPr>
              <w:t>2</w:t>
            </w:r>
          </w:p>
        </w:tc>
        <w:tc>
          <w:tcPr>
            <w:tcW w:w="567" w:type="dxa"/>
          </w:tcPr>
          <w:p w14:paraId="44CD305E" w14:textId="77777777" w:rsidR="007E1F4A" w:rsidRDefault="007E1F4A">
            <w:pPr>
              <w:spacing w:line="240" w:lineRule="auto"/>
              <w:jc w:val="left"/>
              <w:rPr>
                <w:rFonts w:cs="Frankruhel"/>
                <w:sz w:val="24"/>
              </w:rPr>
            </w:pPr>
            <w:hyperlink w:anchor="Seif5" w:tooltip="החלטה על יסוד החומר בכתב" w:history="1">
              <w:r>
                <w:rPr>
                  <w:rStyle w:val="Hyperlink"/>
                </w:rPr>
                <w:t>Go</w:t>
              </w:r>
            </w:hyperlink>
          </w:p>
        </w:tc>
        <w:tc>
          <w:tcPr>
            <w:tcW w:w="5669" w:type="dxa"/>
          </w:tcPr>
          <w:p w14:paraId="0EC560AA" w14:textId="77777777" w:rsidR="007E1F4A" w:rsidRDefault="007E1F4A">
            <w:pPr>
              <w:spacing w:line="240" w:lineRule="auto"/>
              <w:jc w:val="left"/>
              <w:rPr>
                <w:rFonts w:cs="Frankruhel"/>
                <w:sz w:val="24"/>
                <w:rtl/>
              </w:rPr>
            </w:pPr>
            <w:r>
              <w:rPr>
                <w:rFonts w:cs="Frankruhel"/>
                <w:sz w:val="24"/>
                <w:rtl/>
              </w:rPr>
              <w:t>החלטה על יסוד החומר בכתב</w:t>
            </w:r>
          </w:p>
        </w:tc>
        <w:tc>
          <w:tcPr>
            <w:tcW w:w="1247" w:type="dxa"/>
          </w:tcPr>
          <w:p w14:paraId="451A1D6B" w14:textId="77777777" w:rsidR="007E1F4A" w:rsidRDefault="007E1F4A">
            <w:pPr>
              <w:spacing w:line="240" w:lineRule="auto"/>
              <w:jc w:val="left"/>
              <w:rPr>
                <w:rFonts w:cs="Frankruhel"/>
                <w:sz w:val="24"/>
              </w:rPr>
            </w:pPr>
            <w:r>
              <w:rPr>
                <w:rFonts w:cs="Frankruhel"/>
                <w:sz w:val="24"/>
                <w:rtl/>
              </w:rPr>
              <w:t xml:space="preserve">סעיף 6 </w:t>
            </w:r>
          </w:p>
        </w:tc>
      </w:tr>
      <w:tr w:rsidR="007E1F4A" w14:paraId="1FCD3479" w14:textId="77777777">
        <w:tblPrEx>
          <w:tblCellMar>
            <w:top w:w="0" w:type="dxa"/>
            <w:bottom w:w="0" w:type="dxa"/>
          </w:tblCellMar>
        </w:tblPrEx>
        <w:trPr>
          <w:jc w:val="right"/>
        </w:trPr>
        <w:tc>
          <w:tcPr>
            <w:tcW w:w="850" w:type="dxa"/>
          </w:tcPr>
          <w:p w14:paraId="6A3B955D" w14:textId="77777777" w:rsidR="007E1F4A" w:rsidRDefault="007E1F4A">
            <w:pPr>
              <w:spacing w:line="240" w:lineRule="auto"/>
              <w:jc w:val="left"/>
              <w:rPr>
                <w:rFonts w:cs="Frankruhel"/>
                <w:sz w:val="24"/>
              </w:rPr>
            </w:pPr>
            <w:r>
              <w:rPr>
                <w:rFonts w:cs="Frankruhel"/>
                <w:sz w:val="24"/>
                <w:rtl/>
              </w:rPr>
              <w:t>2</w:t>
            </w:r>
          </w:p>
        </w:tc>
        <w:tc>
          <w:tcPr>
            <w:tcW w:w="567" w:type="dxa"/>
          </w:tcPr>
          <w:p w14:paraId="0ADE0993" w14:textId="77777777" w:rsidR="007E1F4A" w:rsidRDefault="007E1F4A">
            <w:pPr>
              <w:spacing w:line="240" w:lineRule="auto"/>
              <w:jc w:val="left"/>
              <w:rPr>
                <w:rFonts w:cs="Frankruhel"/>
                <w:sz w:val="24"/>
              </w:rPr>
            </w:pPr>
            <w:hyperlink w:anchor="Seif6" w:tooltip="קביעת מועד לשמיעת הערר" w:history="1">
              <w:r>
                <w:rPr>
                  <w:rStyle w:val="Hyperlink"/>
                </w:rPr>
                <w:t>Go</w:t>
              </w:r>
            </w:hyperlink>
          </w:p>
        </w:tc>
        <w:tc>
          <w:tcPr>
            <w:tcW w:w="5669" w:type="dxa"/>
          </w:tcPr>
          <w:p w14:paraId="0321F864" w14:textId="77777777" w:rsidR="007E1F4A" w:rsidRDefault="007E1F4A">
            <w:pPr>
              <w:spacing w:line="240" w:lineRule="auto"/>
              <w:jc w:val="left"/>
              <w:rPr>
                <w:rFonts w:cs="Frankruhel"/>
                <w:sz w:val="24"/>
                <w:rtl/>
              </w:rPr>
            </w:pPr>
            <w:r>
              <w:rPr>
                <w:rFonts w:cs="Frankruhel"/>
                <w:sz w:val="24"/>
                <w:rtl/>
              </w:rPr>
              <w:t>קביעת מועד לשמיעת הערר</w:t>
            </w:r>
          </w:p>
        </w:tc>
        <w:tc>
          <w:tcPr>
            <w:tcW w:w="1247" w:type="dxa"/>
          </w:tcPr>
          <w:p w14:paraId="4942B958" w14:textId="77777777" w:rsidR="007E1F4A" w:rsidRDefault="007E1F4A">
            <w:pPr>
              <w:spacing w:line="240" w:lineRule="auto"/>
              <w:jc w:val="left"/>
              <w:rPr>
                <w:rFonts w:cs="Frankruhel"/>
                <w:sz w:val="24"/>
              </w:rPr>
            </w:pPr>
            <w:r>
              <w:rPr>
                <w:rFonts w:cs="Frankruhel"/>
                <w:sz w:val="24"/>
                <w:rtl/>
              </w:rPr>
              <w:t xml:space="preserve">סעיף 7 </w:t>
            </w:r>
          </w:p>
        </w:tc>
      </w:tr>
      <w:tr w:rsidR="007E1F4A" w14:paraId="33F353D6" w14:textId="77777777">
        <w:tblPrEx>
          <w:tblCellMar>
            <w:top w:w="0" w:type="dxa"/>
            <w:bottom w:w="0" w:type="dxa"/>
          </w:tblCellMar>
        </w:tblPrEx>
        <w:trPr>
          <w:jc w:val="right"/>
        </w:trPr>
        <w:tc>
          <w:tcPr>
            <w:tcW w:w="850" w:type="dxa"/>
          </w:tcPr>
          <w:p w14:paraId="1E62C5B9" w14:textId="77777777" w:rsidR="007E1F4A" w:rsidRDefault="007E1F4A">
            <w:pPr>
              <w:spacing w:line="240" w:lineRule="auto"/>
              <w:jc w:val="left"/>
              <w:rPr>
                <w:rFonts w:cs="Frankruhel"/>
                <w:sz w:val="24"/>
              </w:rPr>
            </w:pPr>
            <w:r>
              <w:rPr>
                <w:rFonts w:cs="Frankruhel"/>
                <w:sz w:val="24"/>
                <w:rtl/>
              </w:rPr>
              <w:t>2</w:t>
            </w:r>
          </w:p>
        </w:tc>
        <w:tc>
          <w:tcPr>
            <w:tcW w:w="567" w:type="dxa"/>
          </w:tcPr>
          <w:p w14:paraId="4E4813C9" w14:textId="77777777" w:rsidR="007E1F4A" w:rsidRDefault="007E1F4A">
            <w:pPr>
              <w:spacing w:line="240" w:lineRule="auto"/>
              <w:jc w:val="left"/>
              <w:rPr>
                <w:rFonts w:cs="Frankruhel"/>
                <w:sz w:val="24"/>
              </w:rPr>
            </w:pPr>
            <w:hyperlink w:anchor="Seif7" w:tooltip="הזמנת עדים וחקירתם" w:history="1">
              <w:r>
                <w:rPr>
                  <w:rStyle w:val="Hyperlink"/>
                </w:rPr>
                <w:t>Go</w:t>
              </w:r>
            </w:hyperlink>
          </w:p>
        </w:tc>
        <w:tc>
          <w:tcPr>
            <w:tcW w:w="5669" w:type="dxa"/>
          </w:tcPr>
          <w:p w14:paraId="3E2BEE18" w14:textId="77777777" w:rsidR="007E1F4A" w:rsidRDefault="007E1F4A">
            <w:pPr>
              <w:spacing w:line="240" w:lineRule="auto"/>
              <w:jc w:val="left"/>
              <w:rPr>
                <w:rFonts w:cs="Frankruhel"/>
                <w:sz w:val="24"/>
                <w:rtl/>
              </w:rPr>
            </w:pPr>
            <w:r>
              <w:rPr>
                <w:rFonts w:cs="Frankruhel"/>
                <w:sz w:val="24"/>
                <w:rtl/>
              </w:rPr>
              <w:t>הזמנת עדים וחקירתם</w:t>
            </w:r>
          </w:p>
        </w:tc>
        <w:tc>
          <w:tcPr>
            <w:tcW w:w="1247" w:type="dxa"/>
          </w:tcPr>
          <w:p w14:paraId="3659F406" w14:textId="77777777" w:rsidR="007E1F4A" w:rsidRDefault="007E1F4A">
            <w:pPr>
              <w:spacing w:line="240" w:lineRule="auto"/>
              <w:jc w:val="left"/>
              <w:rPr>
                <w:rFonts w:cs="Frankruhel"/>
                <w:sz w:val="24"/>
              </w:rPr>
            </w:pPr>
            <w:r>
              <w:rPr>
                <w:rFonts w:cs="Frankruhel"/>
                <w:sz w:val="24"/>
                <w:rtl/>
              </w:rPr>
              <w:t xml:space="preserve">סעיף 8 </w:t>
            </w:r>
          </w:p>
        </w:tc>
      </w:tr>
      <w:tr w:rsidR="007E1F4A" w14:paraId="5D40C5D7" w14:textId="77777777">
        <w:tblPrEx>
          <w:tblCellMar>
            <w:top w:w="0" w:type="dxa"/>
            <w:bottom w:w="0" w:type="dxa"/>
          </w:tblCellMar>
        </w:tblPrEx>
        <w:trPr>
          <w:jc w:val="right"/>
        </w:trPr>
        <w:tc>
          <w:tcPr>
            <w:tcW w:w="850" w:type="dxa"/>
          </w:tcPr>
          <w:p w14:paraId="18E4016D" w14:textId="77777777" w:rsidR="007E1F4A" w:rsidRDefault="007E1F4A">
            <w:pPr>
              <w:spacing w:line="240" w:lineRule="auto"/>
              <w:jc w:val="left"/>
              <w:rPr>
                <w:rFonts w:cs="Frankruhel"/>
                <w:sz w:val="24"/>
              </w:rPr>
            </w:pPr>
            <w:r>
              <w:rPr>
                <w:rFonts w:cs="Frankruhel"/>
                <w:sz w:val="24"/>
                <w:rtl/>
              </w:rPr>
              <w:t>3</w:t>
            </w:r>
          </w:p>
        </w:tc>
        <w:tc>
          <w:tcPr>
            <w:tcW w:w="567" w:type="dxa"/>
          </w:tcPr>
          <w:p w14:paraId="7E176D6A" w14:textId="77777777" w:rsidR="007E1F4A" w:rsidRDefault="007E1F4A">
            <w:pPr>
              <w:spacing w:line="240" w:lineRule="auto"/>
              <w:jc w:val="left"/>
              <w:rPr>
                <w:rFonts w:cs="Frankruhel"/>
                <w:sz w:val="24"/>
              </w:rPr>
            </w:pPr>
            <w:hyperlink w:anchor="Seif8" w:tooltip="טענות הצדדים" w:history="1">
              <w:r>
                <w:rPr>
                  <w:rStyle w:val="Hyperlink"/>
                </w:rPr>
                <w:t>Go</w:t>
              </w:r>
            </w:hyperlink>
          </w:p>
        </w:tc>
        <w:tc>
          <w:tcPr>
            <w:tcW w:w="5669" w:type="dxa"/>
          </w:tcPr>
          <w:p w14:paraId="63CD6BE6" w14:textId="77777777" w:rsidR="007E1F4A" w:rsidRDefault="007E1F4A">
            <w:pPr>
              <w:spacing w:line="240" w:lineRule="auto"/>
              <w:jc w:val="left"/>
              <w:rPr>
                <w:rFonts w:cs="Frankruhel"/>
                <w:sz w:val="24"/>
                <w:rtl/>
              </w:rPr>
            </w:pPr>
            <w:r>
              <w:rPr>
                <w:rFonts w:cs="Frankruhel"/>
                <w:sz w:val="24"/>
                <w:rtl/>
              </w:rPr>
              <w:t>טענות הצדדים</w:t>
            </w:r>
          </w:p>
        </w:tc>
        <w:tc>
          <w:tcPr>
            <w:tcW w:w="1247" w:type="dxa"/>
          </w:tcPr>
          <w:p w14:paraId="5AB14213" w14:textId="77777777" w:rsidR="007E1F4A" w:rsidRDefault="007E1F4A">
            <w:pPr>
              <w:spacing w:line="240" w:lineRule="auto"/>
              <w:jc w:val="left"/>
              <w:rPr>
                <w:rFonts w:cs="Frankruhel"/>
                <w:sz w:val="24"/>
              </w:rPr>
            </w:pPr>
            <w:r>
              <w:rPr>
                <w:rFonts w:cs="Frankruhel"/>
                <w:sz w:val="24"/>
                <w:rtl/>
              </w:rPr>
              <w:t xml:space="preserve">סעיף 9 </w:t>
            </w:r>
          </w:p>
        </w:tc>
      </w:tr>
      <w:tr w:rsidR="007E1F4A" w14:paraId="160CF690" w14:textId="77777777">
        <w:tblPrEx>
          <w:tblCellMar>
            <w:top w:w="0" w:type="dxa"/>
            <w:bottom w:w="0" w:type="dxa"/>
          </w:tblCellMar>
        </w:tblPrEx>
        <w:trPr>
          <w:jc w:val="right"/>
        </w:trPr>
        <w:tc>
          <w:tcPr>
            <w:tcW w:w="850" w:type="dxa"/>
          </w:tcPr>
          <w:p w14:paraId="18F2BB60" w14:textId="77777777" w:rsidR="007E1F4A" w:rsidRDefault="007E1F4A">
            <w:pPr>
              <w:spacing w:line="240" w:lineRule="auto"/>
              <w:jc w:val="left"/>
              <w:rPr>
                <w:rFonts w:cs="Frankruhel"/>
                <w:sz w:val="24"/>
              </w:rPr>
            </w:pPr>
            <w:r>
              <w:rPr>
                <w:rFonts w:cs="Frankruhel"/>
                <w:sz w:val="24"/>
                <w:rtl/>
              </w:rPr>
              <w:t>3</w:t>
            </w:r>
          </w:p>
        </w:tc>
        <w:tc>
          <w:tcPr>
            <w:tcW w:w="567" w:type="dxa"/>
          </w:tcPr>
          <w:p w14:paraId="330B056D" w14:textId="77777777" w:rsidR="007E1F4A" w:rsidRDefault="007E1F4A">
            <w:pPr>
              <w:spacing w:line="240" w:lineRule="auto"/>
              <w:jc w:val="left"/>
              <w:rPr>
                <w:rFonts w:cs="Frankruhel"/>
                <w:sz w:val="24"/>
              </w:rPr>
            </w:pPr>
            <w:hyperlink w:anchor="Seif9" w:tooltip="החלטת הועדה" w:history="1">
              <w:r>
                <w:rPr>
                  <w:rStyle w:val="Hyperlink"/>
                </w:rPr>
                <w:t>Go</w:t>
              </w:r>
            </w:hyperlink>
          </w:p>
        </w:tc>
        <w:tc>
          <w:tcPr>
            <w:tcW w:w="5669" w:type="dxa"/>
          </w:tcPr>
          <w:p w14:paraId="48DBFF3D" w14:textId="77777777" w:rsidR="007E1F4A" w:rsidRDefault="007E1F4A">
            <w:pPr>
              <w:spacing w:line="240" w:lineRule="auto"/>
              <w:jc w:val="left"/>
              <w:rPr>
                <w:rFonts w:cs="Frankruhel"/>
                <w:sz w:val="24"/>
                <w:rtl/>
              </w:rPr>
            </w:pPr>
            <w:r>
              <w:rPr>
                <w:rFonts w:cs="Frankruhel"/>
                <w:sz w:val="24"/>
                <w:rtl/>
              </w:rPr>
              <w:t>החלטת הועדה</w:t>
            </w:r>
          </w:p>
        </w:tc>
        <w:tc>
          <w:tcPr>
            <w:tcW w:w="1247" w:type="dxa"/>
          </w:tcPr>
          <w:p w14:paraId="3ADB9C6E" w14:textId="77777777" w:rsidR="007E1F4A" w:rsidRDefault="007E1F4A">
            <w:pPr>
              <w:spacing w:line="240" w:lineRule="auto"/>
              <w:jc w:val="left"/>
              <w:rPr>
                <w:rFonts w:cs="Frankruhel"/>
                <w:sz w:val="24"/>
              </w:rPr>
            </w:pPr>
            <w:r>
              <w:rPr>
                <w:rFonts w:cs="Frankruhel"/>
                <w:sz w:val="24"/>
                <w:rtl/>
              </w:rPr>
              <w:t xml:space="preserve">סעיף 10 </w:t>
            </w:r>
          </w:p>
        </w:tc>
      </w:tr>
      <w:tr w:rsidR="007E1F4A" w14:paraId="2F29B791" w14:textId="77777777">
        <w:tblPrEx>
          <w:tblCellMar>
            <w:top w:w="0" w:type="dxa"/>
            <w:bottom w:w="0" w:type="dxa"/>
          </w:tblCellMar>
        </w:tblPrEx>
        <w:trPr>
          <w:jc w:val="right"/>
        </w:trPr>
        <w:tc>
          <w:tcPr>
            <w:tcW w:w="850" w:type="dxa"/>
          </w:tcPr>
          <w:p w14:paraId="0A5BBA8C" w14:textId="77777777" w:rsidR="007E1F4A" w:rsidRDefault="007E1F4A">
            <w:pPr>
              <w:spacing w:line="240" w:lineRule="auto"/>
              <w:jc w:val="left"/>
              <w:rPr>
                <w:rFonts w:cs="Frankruhel"/>
                <w:sz w:val="24"/>
              </w:rPr>
            </w:pPr>
            <w:r>
              <w:rPr>
                <w:rFonts w:cs="Frankruhel"/>
                <w:sz w:val="24"/>
                <w:rtl/>
              </w:rPr>
              <w:t>3</w:t>
            </w:r>
          </w:p>
        </w:tc>
        <w:tc>
          <w:tcPr>
            <w:tcW w:w="567" w:type="dxa"/>
          </w:tcPr>
          <w:p w14:paraId="7C10443A" w14:textId="77777777" w:rsidR="007E1F4A" w:rsidRDefault="007E1F4A">
            <w:pPr>
              <w:spacing w:line="240" w:lineRule="auto"/>
              <w:jc w:val="left"/>
              <w:rPr>
                <w:rFonts w:cs="Frankruhel"/>
                <w:sz w:val="24"/>
              </w:rPr>
            </w:pPr>
            <w:hyperlink w:anchor="Seif10" w:tooltip="מיזוג עררים" w:history="1">
              <w:r>
                <w:rPr>
                  <w:rStyle w:val="Hyperlink"/>
                </w:rPr>
                <w:t>Go</w:t>
              </w:r>
            </w:hyperlink>
          </w:p>
        </w:tc>
        <w:tc>
          <w:tcPr>
            <w:tcW w:w="5669" w:type="dxa"/>
          </w:tcPr>
          <w:p w14:paraId="17166E31" w14:textId="77777777" w:rsidR="007E1F4A" w:rsidRDefault="007E1F4A">
            <w:pPr>
              <w:spacing w:line="240" w:lineRule="auto"/>
              <w:jc w:val="left"/>
              <w:rPr>
                <w:rFonts w:cs="Frankruhel"/>
                <w:sz w:val="24"/>
                <w:rtl/>
              </w:rPr>
            </w:pPr>
            <w:r>
              <w:rPr>
                <w:rFonts w:cs="Frankruhel"/>
                <w:sz w:val="24"/>
                <w:rtl/>
              </w:rPr>
              <w:t>מיזוג עררים</w:t>
            </w:r>
          </w:p>
        </w:tc>
        <w:tc>
          <w:tcPr>
            <w:tcW w:w="1247" w:type="dxa"/>
          </w:tcPr>
          <w:p w14:paraId="528E10DC" w14:textId="77777777" w:rsidR="007E1F4A" w:rsidRDefault="007E1F4A">
            <w:pPr>
              <w:spacing w:line="240" w:lineRule="auto"/>
              <w:jc w:val="left"/>
              <w:rPr>
                <w:rFonts w:cs="Frankruhel"/>
                <w:sz w:val="24"/>
              </w:rPr>
            </w:pPr>
            <w:r>
              <w:rPr>
                <w:rFonts w:cs="Frankruhel"/>
                <w:sz w:val="24"/>
                <w:rtl/>
              </w:rPr>
              <w:t xml:space="preserve">סעיף 11 </w:t>
            </w:r>
          </w:p>
        </w:tc>
      </w:tr>
      <w:tr w:rsidR="007E1F4A" w14:paraId="5B7CD840" w14:textId="77777777">
        <w:tblPrEx>
          <w:tblCellMar>
            <w:top w:w="0" w:type="dxa"/>
            <w:bottom w:w="0" w:type="dxa"/>
          </w:tblCellMar>
        </w:tblPrEx>
        <w:trPr>
          <w:jc w:val="right"/>
        </w:trPr>
        <w:tc>
          <w:tcPr>
            <w:tcW w:w="850" w:type="dxa"/>
          </w:tcPr>
          <w:p w14:paraId="6E7401E0" w14:textId="77777777" w:rsidR="007E1F4A" w:rsidRDefault="007E1F4A">
            <w:pPr>
              <w:spacing w:line="240" w:lineRule="auto"/>
              <w:jc w:val="left"/>
              <w:rPr>
                <w:rFonts w:cs="Frankruhel"/>
                <w:sz w:val="24"/>
              </w:rPr>
            </w:pPr>
            <w:r>
              <w:rPr>
                <w:rFonts w:cs="Frankruhel"/>
                <w:sz w:val="24"/>
                <w:rtl/>
              </w:rPr>
              <w:t>3</w:t>
            </w:r>
          </w:p>
        </w:tc>
        <w:tc>
          <w:tcPr>
            <w:tcW w:w="567" w:type="dxa"/>
          </w:tcPr>
          <w:p w14:paraId="7378E429" w14:textId="77777777" w:rsidR="007E1F4A" w:rsidRDefault="007E1F4A">
            <w:pPr>
              <w:spacing w:line="240" w:lineRule="auto"/>
              <w:jc w:val="left"/>
              <w:rPr>
                <w:rFonts w:cs="Frankruhel"/>
                <w:sz w:val="24"/>
              </w:rPr>
            </w:pPr>
            <w:hyperlink w:anchor="Seif11" w:tooltip="צירוף צדדים" w:history="1">
              <w:r>
                <w:rPr>
                  <w:rStyle w:val="Hyperlink"/>
                </w:rPr>
                <w:t>Go</w:t>
              </w:r>
            </w:hyperlink>
          </w:p>
        </w:tc>
        <w:tc>
          <w:tcPr>
            <w:tcW w:w="5669" w:type="dxa"/>
          </w:tcPr>
          <w:p w14:paraId="7FD5E769" w14:textId="77777777" w:rsidR="007E1F4A" w:rsidRDefault="007E1F4A">
            <w:pPr>
              <w:spacing w:line="240" w:lineRule="auto"/>
              <w:jc w:val="left"/>
              <w:rPr>
                <w:rFonts w:cs="Frankruhel"/>
                <w:sz w:val="24"/>
                <w:rtl/>
              </w:rPr>
            </w:pPr>
            <w:r>
              <w:rPr>
                <w:rFonts w:cs="Frankruhel"/>
                <w:sz w:val="24"/>
                <w:rtl/>
              </w:rPr>
              <w:t>צירוף צדדים</w:t>
            </w:r>
          </w:p>
        </w:tc>
        <w:tc>
          <w:tcPr>
            <w:tcW w:w="1247" w:type="dxa"/>
          </w:tcPr>
          <w:p w14:paraId="4C1BA459" w14:textId="77777777" w:rsidR="007E1F4A" w:rsidRDefault="007E1F4A">
            <w:pPr>
              <w:spacing w:line="240" w:lineRule="auto"/>
              <w:jc w:val="left"/>
              <w:rPr>
                <w:rFonts w:cs="Frankruhel"/>
                <w:sz w:val="24"/>
              </w:rPr>
            </w:pPr>
            <w:r>
              <w:rPr>
                <w:rFonts w:cs="Frankruhel"/>
                <w:sz w:val="24"/>
                <w:rtl/>
              </w:rPr>
              <w:t xml:space="preserve">סעיף 12 </w:t>
            </w:r>
          </w:p>
        </w:tc>
      </w:tr>
      <w:tr w:rsidR="007E1F4A" w14:paraId="7CE3ECA9" w14:textId="77777777">
        <w:tblPrEx>
          <w:tblCellMar>
            <w:top w:w="0" w:type="dxa"/>
            <w:bottom w:w="0" w:type="dxa"/>
          </w:tblCellMar>
        </w:tblPrEx>
        <w:trPr>
          <w:jc w:val="right"/>
        </w:trPr>
        <w:tc>
          <w:tcPr>
            <w:tcW w:w="850" w:type="dxa"/>
          </w:tcPr>
          <w:p w14:paraId="5F80FAFF" w14:textId="77777777" w:rsidR="007E1F4A" w:rsidRDefault="007E1F4A">
            <w:pPr>
              <w:spacing w:line="240" w:lineRule="auto"/>
              <w:jc w:val="left"/>
              <w:rPr>
                <w:rFonts w:cs="Frankruhel"/>
                <w:sz w:val="24"/>
              </w:rPr>
            </w:pPr>
            <w:r>
              <w:rPr>
                <w:rFonts w:cs="Frankruhel"/>
                <w:sz w:val="24"/>
                <w:rtl/>
              </w:rPr>
              <w:t>3</w:t>
            </w:r>
          </w:p>
        </w:tc>
        <w:tc>
          <w:tcPr>
            <w:tcW w:w="567" w:type="dxa"/>
          </w:tcPr>
          <w:p w14:paraId="7229EA1E" w14:textId="77777777" w:rsidR="007E1F4A" w:rsidRDefault="007E1F4A">
            <w:pPr>
              <w:spacing w:line="240" w:lineRule="auto"/>
              <w:jc w:val="left"/>
              <w:rPr>
                <w:rFonts w:cs="Frankruhel"/>
                <w:sz w:val="24"/>
              </w:rPr>
            </w:pPr>
            <w:hyperlink w:anchor="Seif12" w:tooltip="מסירה" w:history="1">
              <w:r>
                <w:rPr>
                  <w:rStyle w:val="Hyperlink"/>
                </w:rPr>
                <w:t>Go</w:t>
              </w:r>
            </w:hyperlink>
          </w:p>
        </w:tc>
        <w:tc>
          <w:tcPr>
            <w:tcW w:w="5669" w:type="dxa"/>
          </w:tcPr>
          <w:p w14:paraId="4D0766CD" w14:textId="77777777" w:rsidR="007E1F4A" w:rsidRDefault="007E1F4A">
            <w:pPr>
              <w:spacing w:line="240" w:lineRule="auto"/>
              <w:jc w:val="left"/>
              <w:rPr>
                <w:rFonts w:cs="Frankruhel"/>
                <w:sz w:val="24"/>
                <w:rtl/>
              </w:rPr>
            </w:pPr>
            <w:r>
              <w:rPr>
                <w:rFonts w:cs="Frankruhel"/>
                <w:sz w:val="24"/>
                <w:rtl/>
              </w:rPr>
              <w:t>מסירה</w:t>
            </w:r>
          </w:p>
        </w:tc>
        <w:tc>
          <w:tcPr>
            <w:tcW w:w="1247" w:type="dxa"/>
          </w:tcPr>
          <w:p w14:paraId="2FFFA183" w14:textId="77777777" w:rsidR="007E1F4A" w:rsidRDefault="007E1F4A">
            <w:pPr>
              <w:spacing w:line="240" w:lineRule="auto"/>
              <w:jc w:val="left"/>
              <w:rPr>
                <w:rFonts w:cs="Frankruhel"/>
                <w:sz w:val="24"/>
              </w:rPr>
            </w:pPr>
            <w:r>
              <w:rPr>
                <w:rFonts w:cs="Frankruhel"/>
                <w:sz w:val="24"/>
                <w:rtl/>
              </w:rPr>
              <w:t xml:space="preserve">סעיף 13 </w:t>
            </w:r>
          </w:p>
        </w:tc>
      </w:tr>
      <w:tr w:rsidR="007E1F4A" w14:paraId="4C3302BB" w14:textId="77777777">
        <w:tblPrEx>
          <w:tblCellMar>
            <w:top w:w="0" w:type="dxa"/>
            <w:bottom w:w="0" w:type="dxa"/>
          </w:tblCellMar>
        </w:tblPrEx>
        <w:trPr>
          <w:jc w:val="right"/>
        </w:trPr>
        <w:tc>
          <w:tcPr>
            <w:tcW w:w="850" w:type="dxa"/>
          </w:tcPr>
          <w:p w14:paraId="4EFB19F0" w14:textId="77777777" w:rsidR="007E1F4A" w:rsidRDefault="007E1F4A">
            <w:pPr>
              <w:spacing w:line="240" w:lineRule="auto"/>
              <w:jc w:val="left"/>
              <w:rPr>
                <w:rFonts w:cs="Frankruhel"/>
                <w:sz w:val="24"/>
              </w:rPr>
            </w:pPr>
            <w:r>
              <w:rPr>
                <w:rFonts w:cs="Frankruhel"/>
                <w:sz w:val="24"/>
                <w:rtl/>
              </w:rPr>
              <w:t>3</w:t>
            </w:r>
          </w:p>
        </w:tc>
        <w:tc>
          <w:tcPr>
            <w:tcW w:w="567" w:type="dxa"/>
          </w:tcPr>
          <w:p w14:paraId="121EE07C" w14:textId="77777777" w:rsidR="007E1F4A" w:rsidRDefault="007E1F4A">
            <w:pPr>
              <w:spacing w:line="240" w:lineRule="auto"/>
              <w:jc w:val="left"/>
              <w:rPr>
                <w:rFonts w:cs="Frankruhel"/>
                <w:sz w:val="24"/>
              </w:rPr>
            </w:pPr>
            <w:hyperlink w:anchor="Seif13" w:tooltip="השם" w:history="1">
              <w:r>
                <w:rPr>
                  <w:rStyle w:val="Hyperlink"/>
                </w:rPr>
                <w:t>Go</w:t>
              </w:r>
            </w:hyperlink>
          </w:p>
        </w:tc>
        <w:tc>
          <w:tcPr>
            <w:tcW w:w="5669" w:type="dxa"/>
          </w:tcPr>
          <w:p w14:paraId="4596B5C9" w14:textId="77777777" w:rsidR="007E1F4A" w:rsidRDefault="007E1F4A">
            <w:pPr>
              <w:spacing w:line="240" w:lineRule="auto"/>
              <w:jc w:val="left"/>
              <w:rPr>
                <w:rFonts w:cs="Frankruhel"/>
                <w:sz w:val="24"/>
                <w:rtl/>
              </w:rPr>
            </w:pPr>
            <w:r>
              <w:rPr>
                <w:rFonts w:cs="Frankruhel"/>
                <w:sz w:val="24"/>
                <w:rtl/>
              </w:rPr>
              <w:t>השם</w:t>
            </w:r>
          </w:p>
        </w:tc>
        <w:tc>
          <w:tcPr>
            <w:tcW w:w="1247" w:type="dxa"/>
          </w:tcPr>
          <w:p w14:paraId="41C8B776" w14:textId="77777777" w:rsidR="007E1F4A" w:rsidRDefault="007E1F4A">
            <w:pPr>
              <w:spacing w:line="240" w:lineRule="auto"/>
              <w:jc w:val="left"/>
              <w:rPr>
                <w:rFonts w:cs="Frankruhel"/>
                <w:sz w:val="24"/>
              </w:rPr>
            </w:pPr>
            <w:r>
              <w:rPr>
                <w:rFonts w:cs="Frankruhel"/>
                <w:sz w:val="24"/>
                <w:rtl/>
              </w:rPr>
              <w:t xml:space="preserve">סעיף 14 </w:t>
            </w:r>
          </w:p>
        </w:tc>
      </w:tr>
    </w:tbl>
    <w:p w14:paraId="5BFCAA1B" w14:textId="77777777" w:rsidR="007E1F4A" w:rsidRDefault="007E1F4A">
      <w:pPr>
        <w:pStyle w:val="big-header"/>
        <w:ind w:left="0" w:right="1134"/>
        <w:rPr>
          <w:rFonts w:cs="FrankRuehl"/>
          <w:sz w:val="32"/>
          <w:rtl/>
        </w:rPr>
      </w:pPr>
    </w:p>
    <w:p w14:paraId="0716B66A" w14:textId="77777777" w:rsidR="007E1F4A" w:rsidRDefault="007E1F4A" w:rsidP="00473199">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החשמל (סדרי הדין של ועדת עררים), תשט"ו-</w:t>
      </w:r>
      <w:r>
        <w:rPr>
          <w:rFonts w:cs="FrankRuehl"/>
          <w:sz w:val="32"/>
          <w:rtl/>
        </w:rPr>
        <w:t>1955</w:t>
      </w:r>
      <w:r>
        <w:rPr>
          <w:rStyle w:val="default"/>
          <w:rtl/>
        </w:rPr>
        <w:footnoteReference w:customMarkFollows="1" w:id="1"/>
        <w:t>*</w:t>
      </w:r>
    </w:p>
    <w:p w14:paraId="0D60A381" w14:textId="77777777" w:rsidR="007E1F4A" w:rsidRDefault="007E1F4A">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7(ג) לחוק החשמל, תשי"ד-</w:t>
      </w:r>
      <w:r>
        <w:rPr>
          <w:rStyle w:val="default"/>
          <w:rFonts w:cs="FrankRuehl"/>
          <w:rtl/>
        </w:rPr>
        <w:t xml:space="preserve">1954, </w:t>
      </w:r>
      <w:r>
        <w:rPr>
          <w:rStyle w:val="default"/>
          <w:rFonts w:cs="FrankRuehl" w:hint="cs"/>
          <w:rtl/>
        </w:rPr>
        <w:t>אני מתקין תקנות אלה:</w:t>
      </w:r>
    </w:p>
    <w:p w14:paraId="4F6D38AB" w14:textId="77777777" w:rsidR="007E1F4A" w:rsidRDefault="007E1F4A">
      <w:pPr>
        <w:pStyle w:val="P00"/>
        <w:spacing w:before="72"/>
        <w:ind w:left="0" w:right="1134"/>
        <w:rPr>
          <w:rStyle w:val="default"/>
          <w:rFonts w:cs="FrankRuehl" w:hint="cs"/>
          <w:rtl/>
        </w:rPr>
      </w:pPr>
      <w:bookmarkStart w:id="0" w:name="Seif0"/>
      <w:bookmarkEnd w:id="0"/>
      <w:r>
        <w:rPr>
          <w:lang w:val="he-IL"/>
        </w:rPr>
        <w:pict w14:anchorId="286390A8">
          <v:rect id="_x0000_s1026" style="position:absolute;left:0;text-align:left;margin-left:464.5pt;margin-top:8.05pt;width:75.05pt;height:8pt;z-index:251651072" o:allowincell="f" filled="f" stroked="f" strokecolor="lime" strokeweight=".25pt">
            <v:textbox inset="0,0,0,0">
              <w:txbxContent>
                <w:p w14:paraId="49008230" w14:textId="77777777" w:rsidR="007E1F4A" w:rsidRDefault="007E1F4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2C23E9CA" w14:textId="77777777" w:rsidR="007E1F4A" w:rsidRDefault="007E1F4A">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עדה" -</w:t>
      </w:r>
      <w:r>
        <w:rPr>
          <w:rStyle w:val="default"/>
          <w:rFonts w:cs="FrankRuehl"/>
          <w:rtl/>
        </w:rPr>
        <w:t xml:space="preserve"> </w:t>
      </w:r>
      <w:r>
        <w:rPr>
          <w:rStyle w:val="default"/>
          <w:rFonts w:cs="FrankRuehl" w:hint="cs"/>
          <w:rtl/>
        </w:rPr>
        <w:t>ועדת עררים שנתמנתה על פי סעיף 7 לחוק;</w:t>
      </w:r>
    </w:p>
    <w:p w14:paraId="78CCB2E9" w14:textId="77777777" w:rsidR="007E1F4A" w:rsidRDefault="007E1F4A">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רר" -</w:t>
      </w:r>
      <w:r>
        <w:rPr>
          <w:rStyle w:val="default"/>
          <w:rFonts w:cs="FrankRuehl"/>
          <w:rtl/>
        </w:rPr>
        <w:t xml:space="preserve"> </w:t>
      </w:r>
      <w:r>
        <w:rPr>
          <w:rStyle w:val="default"/>
          <w:rFonts w:cs="FrankRuehl" w:hint="cs"/>
          <w:rtl/>
        </w:rPr>
        <w:t>ערר שהוגש על פי סעיף 8 לחוק;</w:t>
      </w:r>
    </w:p>
    <w:p w14:paraId="5FF88E40" w14:textId="77777777" w:rsidR="007E1F4A" w:rsidRDefault="007E1F4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חלטת המנהל</w:t>
      </w:r>
      <w:r>
        <w:rPr>
          <w:rStyle w:val="default"/>
          <w:rFonts w:cs="FrankRuehl"/>
          <w:rtl/>
        </w:rPr>
        <w:t xml:space="preserve">" </w:t>
      </w:r>
      <w:r>
        <w:rPr>
          <w:rStyle w:val="default"/>
          <w:rFonts w:cs="FrankRuehl" w:hint="cs"/>
          <w:rtl/>
        </w:rPr>
        <w:t>-</w:t>
      </w:r>
      <w:r>
        <w:rPr>
          <w:rStyle w:val="default"/>
          <w:rFonts w:cs="FrankRuehl"/>
          <w:rtl/>
        </w:rPr>
        <w:t xml:space="preserve"> </w:t>
      </w:r>
      <w:r>
        <w:rPr>
          <w:rStyle w:val="default"/>
          <w:rFonts w:cs="FrankRuehl" w:hint="cs"/>
          <w:rtl/>
        </w:rPr>
        <w:t>החלטת המנהל שניתנה על פי סעיף 6 לחוק.</w:t>
      </w:r>
    </w:p>
    <w:p w14:paraId="5D7625F5" w14:textId="77777777" w:rsidR="007E1F4A" w:rsidRDefault="007E1F4A">
      <w:pPr>
        <w:pStyle w:val="P00"/>
        <w:spacing w:before="72"/>
        <w:ind w:left="0" w:right="1134"/>
        <w:rPr>
          <w:rStyle w:val="default"/>
          <w:rFonts w:cs="FrankRuehl"/>
          <w:rtl/>
        </w:rPr>
      </w:pPr>
      <w:bookmarkStart w:id="1" w:name="Seif1"/>
      <w:bookmarkEnd w:id="1"/>
      <w:r>
        <w:rPr>
          <w:lang w:val="he-IL"/>
        </w:rPr>
        <w:pict w14:anchorId="0EB1474A">
          <v:rect id="_x0000_s1027" style="position:absolute;left:0;text-align:left;margin-left:464.5pt;margin-top:8.05pt;width:75.05pt;height:8pt;z-index:251652096" o:allowincell="f" filled="f" stroked="f" strokecolor="lime" strokeweight=".25pt">
            <v:textbox inset="0,0,0,0">
              <w:txbxContent>
                <w:p w14:paraId="1B6FBA50" w14:textId="77777777" w:rsidR="007E1F4A" w:rsidRDefault="007E1F4A">
                  <w:pPr>
                    <w:spacing w:line="160" w:lineRule="exact"/>
                    <w:jc w:val="left"/>
                    <w:rPr>
                      <w:rFonts w:cs="Miriam"/>
                      <w:noProof/>
                      <w:sz w:val="18"/>
                      <w:szCs w:val="18"/>
                      <w:rtl/>
                    </w:rPr>
                  </w:pPr>
                  <w:r>
                    <w:rPr>
                      <w:rFonts w:cs="Miriam"/>
                      <w:sz w:val="18"/>
                      <w:szCs w:val="18"/>
                      <w:rtl/>
                    </w:rPr>
                    <w:t>הג</w:t>
                  </w:r>
                  <w:r>
                    <w:rPr>
                      <w:rFonts w:cs="Miriam" w:hint="cs"/>
                      <w:sz w:val="18"/>
                      <w:szCs w:val="18"/>
                      <w:rtl/>
                    </w:rPr>
                    <w:t>שת ערר</w:t>
                  </w:r>
                </w:p>
              </w:txbxContent>
            </v:textbox>
            <w10:anchorlock/>
          </v:rect>
        </w:pict>
      </w:r>
      <w:r>
        <w:rPr>
          <w:rStyle w:val="big-number"/>
          <w:rFonts w:cs="Miriam"/>
          <w:rtl/>
        </w:rPr>
        <w:t>2.</w:t>
      </w:r>
      <w:r>
        <w:rPr>
          <w:rStyle w:val="big-number"/>
          <w:rFonts w:cs="Miriam"/>
          <w:rtl/>
        </w:rPr>
        <w:tab/>
      </w:r>
      <w:r>
        <w:rPr>
          <w:rStyle w:val="default"/>
          <w:rFonts w:cs="FrankRuehl"/>
          <w:rtl/>
        </w:rPr>
        <w:t>הע</w:t>
      </w:r>
      <w:r>
        <w:rPr>
          <w:rStyle w:val="default"/>
          <w:rFonts w:cs="FrankRuehl" w:hint="cs"/>
          <w:rtl/>
        </w:rPr>
        <w:t>רר יוגש בכתב לועדה תוך שלושים יום מיום מסירת החלטת המנהל לעורר, אך יושב ראש הועדה רשאי להאריך את הזמן להגשת הערר, אם יראה סיבה מספקת לכך.</w:t>
      </w:r>
    </w:p>
    <w:p w14:paraId="189B19BF" w14:textId="77777777" w:rsidR="007E1F4A" w:rsidRDefault="007E1F4A">
      <w:pPr>
        <w:pStyle w:val="P00"/>
        <w:spacing w:before="72"/>
        <w:ind w:left="0" w:right="1134"/>
        <w:rPr>
          <w:rStyle w:val="default"/>
          <w:rFonts w:cs="FrankRuehl"/>
          <w:rtl/>
        </w:rPr>
      </w:pPr>
      <w:bookmarkStart w:id="2" w:name="Seif2"/>
      <w:bookmarkEnd w:id="2"/>
      <w:r>
        <w:rPr>
          <w:lang w:val="he-IL"/>
        </w:rPr>
        <w:pict w14:anchorId="42089595">
          <v:rect id="_x0000_s1028" style="position:absolute;left:0;text-align:left;margin-left:464.5pt;margin-top:8.05pt;width:75.05pt;height:8pt;z-index:251653120" o:allowincell="f" filled="f" stroked="f" strokecolor="lime" strokeweight=".25pt">
            <v:textbox inset="0,0,0,0">
              <w:txbxContent>
                <w:p w14:paraId="69A3810B" w14:textId="77777777" w:rsidR="007E1F4A" w:rsidRDefault="007E1F4A">
                  <w:pPr>
                    <w:spacing w:line="160" w:lineRule="exact"/>
                    <w:jc w:val="left"/>
                    <w:rPr>
                      <w:rFonts w:cs="Miriam"/>
                      <w:noProof/>
                      <w:sz w:val="18"/>
                      <w:szCs w:val="18"/>
                      <w:rtl/>
                    </w:rPr>
                  </w:pPr>
                  <w:r>
                    <w:rPr>
                      <w:rFonts w:cs="Miriam"/>
                      <w:sz w:val="18"/>
                      <w:szCs w:val="18"/>
                      <w:rtl/>
                    </w:rPr>
                    <w:t>פר</w:t>
                  </w:r>
                  <w:r>
                    <w:rPr>
                      <w:rFonts w:cs="Miriam" w:hint="cs"/>
                      <w:sz w:val="18"/>
                      <w:szCs w:val="18"/>
                      <w:rtl/>
                    </w:rPr>
                    <w:t>טי הערר</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כתב הערר יפורטו:</w:t>
      </w:r>
    </w:p>
    <w:p w14:paraId="113783E4" w14:textId="77777777" w:rsidR="007E1F4A" w:rsidRDefault="007E1F4A">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 של העורר, תיאורו, משלח ידו ומענו, וה</w:t>
      </w:r>
      <w:r>
        <w:rPr>
          <w:rStyle w:val="default"/>
          <w:rFonts w:cs="FrankRuehl"/>
          <w:rtl/>
        </w:rPr>
        <w:t>מע</w:t>
      </w:r>
      <w:r>
        <w:rPr>
          <w:rStyle w:val="default"/>
          <w:rFonts w:cs="FrankRuehl" w:hint="cs"/>
          <w:rtl/>
        </w:rPr>
        <w:t>ן למסירת מסמכים;</w:t>
      </w:r>
    </w:p>
    <w:p w14:paraId="19CB6A97" w14:textId="77777777" w:rsidR="007E1F4A" w:rsidRDefault="007E1F4A">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תאריך שבו נמסרה החלטת המנהל לעורר;</w:t>
      </w:r>
    </w:p>
    <w:p w14:paraId="2BC4F581" w14:textId="77777777" w:rsidR="007E1F4A" w:rsidRDefault="007E1F4A">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נימוקים אשר עליהם מבסס העורר את עררו, כל נימוק בפסקה מיוחדת ובקיצור.</w:t>
      </w:r>
    </w:p>
    <w:p w14:paraId="3E0B16C0" w14:textId="77777777" w:rsidR="007E1F4A" w:rsidRDefault="007E1F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ערר יהא </w:t>
      </w:r>
      <w:r>
        <w:rPr>
          <w:rStyle w:val="default"/>
          <w:rFonts w:cs="FrankRuehl"/>
          <w:rtl/>
        </w:rPr>
        <w:t>ח</w:t>
      </w:r>
      <w:r>
        <w:rPr>
          <w:rStyle w:val="default"/>
          <w:rFonts w:cs="FrankRuehl" w:hint="cs"/>
          <w:rtl/>
        </w:rPr>
        <w:t>תום ביד העורר או בא כוחו.</w:t>
      </w:r>
    </w:p>
    <w:p w14:paraId="4A74A921" w14:textId="77777777" w:rsidR="007E1F4A" w:rsidRDefault="007E1F4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כתב יצורף העתק החלטת המנהל שעליה הוא עורר.</w:t>
      </w:r>
    </w:p>
    <w:p w14:paraId="7889279C" w14:textId="77777777" w:rsidR="007E1F4A" w:rsidRDefault="007E1F4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מנהל יצויין בכתב הערר כמשיב</w:t>
      </w:r>
      <w:r>
        <w:rPr>
          <w:rStyle w:val="default"/>
          <w:rFonts w:cs="FrankRuehl"/>
          <w:rtl/>
        </w:rPr>
        <w:t>.</w:t>
      </w:r>
    </w:p>
    <w:p w14:paraId="40C17698" w14:textId="77777777" w:rsidR="007E1F4A" w:rsidRDefault="007E1F4A">
      <w:pPr>
        <w:pStyle w:val="P00"/>
        <w:spacing w:before="72"/>
        <w:ind w:left="0" w:right="1134"/>
        <w:rPr>
          <w:rStyle w:val="default"/>
          <w:rFonts w:cs="FrankRuehl"/>
          <w:rtl/>
        </w:rPr>
      </w:pPr>
      <w:bookmarkStart w:id="3" w:name="Seif3"/>
      <w:bookmarkEnd w:id="3"/>
      <w:r>
        <w:rPr>
          <w:lang w:val="he-IL"/>
        </w:rPr>
        <w:pict w14:anchorId="5E5F5BB4">
          <v:rect id="_x0000_s1029" style="position:absolute;left:0;text-align:left;margin-left:464.5pt;margin-top:8.05pt;width:75.05pt;height:8pt;z-index:251654144" o:allowincell="f" filled="f" stroked="f" strokecolor="lime" strokeweight=".25pt">
            <v:textbox inset="0,0,0,0">
              <w:txbxContent>
                <w:p w14:paraId="02ADCCF2" w14:textId="77777777" w:rsidR="007E1F4A" w:rsidRDefault="007E1F4A">
                  <w:pPr>
                    <w:spacing w:line="160" w:lineRule="exact"/>
                    <w:jc w:val="left"/>
                    <w:rPr>
                      <w:rFonts w:cs="Miriam"/>
                      <w:noProof/>
                      <w:sz w:val="18"/>
                      <w:szCs w:val="18"/>
                      <w:rtl/>
                    </w:rPr>
                  </w:pPr>
                  <w:r>
                    <w:rPr>
                      <w:rFonts w:cs="Miriam"/>
                      <w:sz w:val="18"/>
                      <w:szCs w:val="18"/>
                      <w:rtl/>
                    </w:rPr>
                    <w:t>מס</w:t>
                  </w:r>
                  <w:r>
                    <w:rPr>
                      <w:rFonts w:cs="Miriam" w:hint="cs"/>
                      <w:sz w:val="18"/>
                      <w:szCs w:val="18"/>
                      <w:rtl/>
                    </w:rPr>
                    <w:t>ירת העתקים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עורר חייב להגיש לועדה את המסמכים שלהלן בשני העתקים:</w:t>
      </w:r>
    </w:p>
    <w:p w14:paraId="58EF86D9" w14:textId="77777777" w:rsidR="007E1F4A" w:rsidRDefault="007E1F4A">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תב הערר;</w:t>
      </w:r>
    </w:p>
    <w:p w14:paraId="781526AB" w14:textId="77777777" w:rsidR="007E1F4A" w:rsidRDefault="007E1F4A">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חלטת המנהל שעליה הוא עורר.</w:t>
      </w:r>
    </w:p>
    <w:p w14:paraId="5E796747" w14:textId="77777777" w:rsidR="007E1F4A" w:rsidRDefault="007E1F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 כתב הערר לועדה, ימסור יושב ראש הועדה למשיב העתק אחד ממנו ומהמסמכים שצורפו לו למשיב.</w:t>
      </w:r>
    </w:p>
    <w:p w14:paraId="727C040E" w14:textId="77777777" w:rsidR="007E1F4A" w:rsidRDefault="007E1F4A">
      <w:pPr>
        <w:pStyle w:val="P00"/>
        <w:spacing w:before="72"/>
        <w:ind w:left="0" w:right="1134"/>
        <w:rPr>
          <w:rStyle w:val="default"/>
          <w:rFonts w:cs="FrankRuehl"/>
          <w:rtl/>
        </w:rPr>
      </w:pPr>
      <w:bookmarkStart w:id="4" w:name="Seif4"/>
      <w:bookmarkEnd w:id="4"/>
      <w:r>
        <w:rPr>
          <w:lang w:val="he-IL"/>
        </w:rPr>
        <w:pict w14:anchorId="0B4DFBC9">
          <v:rect id="_x0000_s1030" style="position:absolute;left:0;text-align:left;margin-left:464.5pt;margin-top:8.05pt;width:75.05pt;height:8pt;z-index:251655168" o:allowincell="f" filled="f" stroked="f" strokecolor="lime" strokeweight=".25pt">
            <v:textbox inset="0,0,0,0">
              <w:txbxContent>
                <w:p w14:paraId="5D534401" w14:textId="77777777" w:rsidR="007E1F4A" w:rsidRDefault="007E1F4A">
                  <w:pPr>
                    <w:spacing w:line="160" w:lineRule="exact"/>
                    <w:jc w:val="left"/>
                    <w:rPr>
                      <w:rFonts w:cs="Miriam"/>
                      <w:noProof/>
                      <w:sz w:val="18"/>
                      <w:szCs w:val="18"/>
                      <w:rtl/>
                    </w:rPr>
                  </w:pPr>
                  <w:r>
                    <w:rPr>
                      <w:rFonts w:cs="Miriam"/>
                      <w:sz w:val="18"/>
                      <w:szCs w:val="18"/>
                      <w:rtl/>
                    </w:rPr>
                    <w:t>תש</w:t>
                  </w:r>
                  <w:r>
                    <w:rPr>
                      <w:rFonts w:cs="Miriam" w:hint="cs"/>
                      <w:sz w:val="18"/>
                      <w:szCs w:val="18"/>
                      <w:rtl/>
                    </w:rPr>
                    <w:t>ובת המשיב</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משיב רשאי להגיש לועדה, תוך שבעה ימים מהיום שבו נמסר לו העתק מכתב הערר, תשובה בכתב בשני העתקים.</w:t>
      </w:r>
    </w:p>
    <w:p w14:paraId="1AB47131" w14:textId="77777777" w:rsidR="007E1F4A" w:rsidRDefault="007E1F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תשובה תיחתם ביד המשיב או בא כוחו.</w:t>
      </w:r>
    </w:p>
    <w:p w14:paraId="1767320E" w14:textId="77777777" w:rsidR="007E1F4A" w:rsidRDefault="007E1F4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וגשה תשובת המשיב כאמור בתקנה זו, ימסור יושב ראש הועדה ל</w:t>
      </w:r>
      <w:r>
        <w:rPr>
          <w:rStyle w:val="default"/>
          <w:rFonts w:cs="FrankRuehl"/>
          <w:rtl/>
        </w:rPr>
        <w:t>עו</w:t>
      </w:r>
      <w:r>
        <w:rPr>
          <w:rStyle w:val="default"/>
          <w:rFonts w:cs="FrankRuehl" w:hint="cs"/>
          <w:rtl/>
        </w:rPr>
        <w:t>רר העתק מהתשובה.</w:t>
      </w:r>
    </w:p>
    <w:p w14:paraId="6CF800F9" w14:textId="77777777" w:rsidR="007E1F4A" w:rsidRDefault="007E1F4A">
      <w:pPr>
        <w:pStyle w:val="P00"/>
        <w:spacing w:before="72"/>
        <w:ind w:left="0" w:right="1134"/>
        <w:rPr>
          <w:rStyle w:val="default"/>
          <w:rFonts w:cs="FrankRuehl"/>
          <w:rtl/>
        </w:rPr>
      </w:pPr>
      <w:bookmarkStart w:id="5" w:name="Seif5"/>
      <w:bookmarkEnd w:id="5"/>
      <w:r>
        <w:rPr>
          <w:lang w:val="he-IL"/>
        </w:rPr>
        <w:pict w14:anchorId="49C0F701">
          <v:rect id="_x0000_s1031" style="position:absolute;left:0;text-align:left;margin-left:464.5pt;margin-top:8.05pt;width:75.05pt;height:16pt;z-index:251656192" o:allowincell="f" filled="f" stroked="f" strokecolor="lime" strokeweight=".25pt">
            <v:textbox inset="0,0,0,0">
              <w:txbxContent>
                <w:p w14:paraId="58A9DD54" w14:textId="77777777" w:rsidR="007E1F4A" w:rsidRDefault="007E1F4A">
                  <w:pPr>
                    <w:spacing w:line="160" w:lineRule="exact"/>
                    <w:jc w:val="left"/>
                    <w:rPr>
                      <w:rFonts w:cs="Miriam"/>
                      <w:noProof/>
                      <w:sz w:val="18"/>
                      <w:szCs w:val="18"/>
                      <w:rtl/>
                    </w:rPr>
                  </w:pPr>
                  <w:r>
                    <w:rPr>
                      <w:rFonts w:cs="Miriam"/>
                      <w:sz w:val="18"/>
                      <w:szCs w:val="18"/>
                      <w:rtl/>
                    </w:rPr>
                    <w:t>הח</w:t>
                  </w:r>
                  <w:r>
                    <w:rPr>
                      <w:rFonts w:cs="Miriam" w:hint="cs"/>
                      <w:sz w:val="18"/>
                      <w:szCs w:val="18"/>
                      <w:rtl/>
                    </w:rPr>
                    <w:t>לטה על יסוד החומר בכתב</w:t>
                  </w:r>
                </w:p>
              </w:txbxContent>
            </v:textbox>
            <w10:anchorlock/>
          </v:rect>
        </w:pict>
      </w:r>
      <w:r>
        <w:rPr>
          <w:rStyle w:val="big-number"/>
          <w:rFonts w:cs="Miriam"/>
          <w:rtl/>
        </w:rPr>
        <w:t>6.</w:t>
      </w:r>
      <w:r>
        <w:rPr>
          <w:rStyle w:val="big-number"/>
          <w:rFonts w:cs="Miriam"/>
          <w:rtl/>
        </w:rPr>
        <w:tab/>
      </w:r>
      <w:r>
        <w:rPr>
          <w:rStyle w:val="default"/>
          <w:rFonts w:cs="FrankRuehl"/>
          <w:rtl/>
        </w:rPr>
        <w:t>וי</w:t>
      </w:r>
      <w:r>
        <w:rPr>
          <w:rStyle w:val="default"/>
          <w:rFonts w:cs="FrankRuehl" w:hint="cs"/>
          <w:rtl/>
        </w:rPr>
        <w:t>תרו העורר והמשיב להשמיע טענותיהם בפני הועדה, רשאית הועדה לתת את החלטתה על יסוד החומר בכתב שהובא בפניה.</w:t>
      </w:r>
    </w:p>
    <w:p w14:paraId="014A5203" w14:textId="77777777" w:rsidR="007E1F4A" w:rsidRDefault="007E1F4A">
      <w:pPr>
        <w:pStyle w:val="P00"/>
        <w:spacing w:before="72"/>
        <w:ind w:left="0" w:right="1134"/>
        <w:rPr>
          <w:rStyle w:val="default"/>
          <w:rFonts w:cs="FrankRuehl"/>
          <w:rtl/>
        </w:rPr>
      </w:pPr>
      <w:bookmarkStart w:id="6" w:name="Seif6"/>
      <w:bookmarkEnd w:id="6"/>
      <w:r>
        <w:rPr>
          <w:lang w:val="he-IL"/>
        </w:rPr>
        <w:pict w14:anchorId="0AD0C8EB">
          <v:rect id="_x0000_s1032" style="position:absolute;left:0;text-align:left;margin-left:464.5pt;margin-top:8.05pt;width:75.05pt;height:16pt;z-index:251657216" o:allowincell="f" filled="f" stroked="f" strokecolor="lime" strokeweight=".25pt">
            <v:textbox inset="0,0,0,0">
              <w:txbxContent>
                <w:p w14:paraId="243D35B0" w14:textId="77777777" w:rsidR="007E1F4A" w:rsidRDefault="007E1F4A">
                  <w:pPr>
                    <w:spacing w:line="160" w:lineRule="exact"/>
                    <w:jc w:val="left"/>
                    <w:rPr>
                      <w:rFonts w:cs="Miriam"/>
                      <w:noProof/>
                      <w:sz w:val="18"/>
                      <w:szCs w:val="18"/>
                      <w:rtl/>
                    </w:rPr>
                  </w:pPr>
                  <w:r>
                    <w:rPr>
                      <w:rFonts w:cs="Miriam"/>
                      <w:sz w:val="18"/>
                      <w:szCs w:val="18"/>
                      <w:rtl/>
                    </w:rPr>
                    <w:t>קב</w:t>
                  </w:r>
                  <w:r>
                    <w:rPr>
                      <w:rFonts w:cs="Miriam" w:hint="cs"/>
                      <w:sz w:val="18"/>
                      <w:szCs w:val="18"/>
                      <w:rtl/>
                    </w:rPr>
                    <w:t>יעת מועד לשמיעת הערר</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ויתרו הצדדים כאמור בתקנה 6 או החליט יושב ראש הועדה להזמין את הצדדים, ייקבע, כתום חמישה עשר יום מיום הגשת הערר, מועד לשמיע</w:t>
      </w:r>
      <w:r>
        <w:rPr>
          <w:rStyle w:val="default"/>
          <w:rFonts w:cs="FrankRuehl"/>
          <w:rtl/>
        </w:rPr>
        <w:t>תו</w:t>
      </w:r>
      <w:r>
        <w:rPr>
          <w:rStyle w:val="default"/>
          <w:rFonts w:cs="FrankRuehl" w:hint="cs"/>
          <w:rtl/>
        </w:rPr>
        <w:t xml:space="preserve"> ותימסר לצדדים על כך הודעה מוקדמת של שבעה ימים לפחות.</w:t>
      </w:r>
    </w:p>
    <w:p w14:paraId="1B38F2D1" w14:textId="77777777" w:rsidR="007E1F4A" w:rsidRDefault="007E1F4A">
      <w:pPr>
        <w:pStyle w:val="P00"/>
        <w:spacing w:before="72"/>
        <w:ind w:left="0" w:right="1134"/>
        <w:rPr>
          <w:rStyle w:val="default"/>
          <w:rFonts w:cs="FrankRuehl"/>
          <w:rtl/>
        </w:rPr>
      </w:pPr>
      <w:bookmarkStart w:id="7" w:name="Seif7"/>
      <w:bookmarkEnd w:id="7"/>
      <w:r>
        <w:rPr>
          <w:lang w:val="he-IL"/>
        </w:rPr>
        <w:pict w14:anchorId="06B893E6">
          <v:rect id="_x0000_s1033" style="position:absolute;left:0;text-align:left;margin-left:464.5pt;margin-top:8.05pt;width:75.05pt;height:8pt;z-index:251658240" o:allowincell="f" filled="f" stroked="f" strokecolor="lime" strokeweight=".25pt">
            <v:textbox inset="0,0,0,0">
              <w:txbxContent>
                <w:p w14:paraId="764181CE" w14:textId="77777777" w:rsidR="007E1F4A" w:rsidRDefault="007E1F4A">
                  <w:pPr>
                    <w:spacing w:line="160" w:lineRule="exact"/>
                    <w:jc w:val="left"/>
                    <w:rPr>
                      <w:rFonts w:cs="Miriam"/>
                      <w:noProof/>
                      <w:sz w:val="18"/>
                      <w:szCs w:val="18"/>
                      <w:rtl/>
                    </w:rPr>
                  </w:pPr>
                  <w:r>
                    <w:rPr>
                      <w:rFonts w:cs="Miriam"/>
                      <w:sz w:val="18"/>
                      <w:szCs w:val="18"/>
                      <w:rtl/>
                    </w:rPr>
                    <w:t>הז</w:t>
                  </w:r>
                  <w:r>
                    <w:rPr>
                      <w:rFonts w:cs="Miriam" w:hint="cs"/>
                      <w:sz w:val="18"/>
                      <w:szCs w:val="18"/>
                      <w:rtl/>
                    </w:rPr>
                    <w:t>מנת עדים</w:t>
                  </w:r>
                  <w:r>
                    <w:rPr>
                      <w:rFonts w:cs="Miriam"/>
                      <w:sz w:val="18"/>
                      <w:szCs w:val="18"/>
                      <w:rtl/>
                    </w:rPr>
                    <w:t xml:space="preserve"> </w:t>
                  </w:r>
                  <w:r>
                    <w:rPr>
                      <w:rFonts w:cs="Miriam" w:hint="cs"/>
                      <w:sz w:val="18"/>
                      <w:szCs w:val="18"/>
                      <w:rtl/>
                    </w:rPr>
                    <w:t>וחקירתם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צד רשאי על פי בקשה, להזמין אנשים שנוכחותם לפני הועדה דרושה כדי להעיד או להמציא מסמכים.</w:t>
      </w:r>
    </w:p>
    <w:p w14:paraId="72C7F877" w14:textId="77777777" w:rsidR="007E1F4A" w:rsidRDefault="007E1F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צד המזמין עד יחקור אותו. הצד האחר רשאי לחקרו בחקירה שכנגד והצד המזמין רשאי לחקרו בחקירה חוזרת בע</w:t>
      </w:r>
      <w:r>
        <w:rPr>
          <w:rStyle w:val="default"/>
          <w:rFonts w:cs="FrankRuehl"/>
          <w:rtl/>
        </w:rPr>
        <w:t>ני</w:t>
      </w:r>
      <w:r>
        <w:rPr>
          <w:rStyle w:val="default"/>
          <w:rFonts w:cs="FrankRuehl" w:hint="cs"/>
          <w:rtl/>
        </w:rPr>
        <w:t>נים הנובעים מאותה חקירה שכנגד.</w:t>
      </w:r>
    </w:p>
    <w:p w14:paraId="7C93EFF1" w14:textId="77777777" w:rsidR="007E1F4A" w:rsidRDefault="007E1F4A">
      <w:pPr>
        <w:pStyle w:val="P00"/>
        <w:spacing w:before="72"/>
        <w:ind w:left="0" w:right="1134"/>
        <w:rPr>
          <w:rStyle w:val="default"/>
          <w:rFonts w:cs="FrankRuehl"/>
          <w:rtl/>
        </w:rPr>
      </w:pPr>
      <w:bookmarkStart w:id="8" w:name="Seif8"/>
      <w:bookmarkEnd w:id="8"/>
      <w:r>
        <w:rPr>
          <w:lang w:val="he-IL"/>
        </w:rPr>
        <w:pict w14:anchorId="720E9EB1">
          <v:rect id="_x0000_s1034" style="position:absolute;left:0;text-align:left;margin-left:464.5pt;margin-top:8.05pt;width:75.05pt;height:8pt;z-index:251659264" o:allowincell="f" filled="f" stroked="f" strokecolor="lime" strokeweight=".25pt">
            <v:textbox inset="0,0,0,0">
              <w:txbxContent>
                <w:p w14:paraId="6E56E4E5" w14:textId="77777777" w:rsidR="007E1F4A" w:rsidRDefault="007E1F4A">
                  <w:pPr>
                    <w:spacing w:line="160" w:lineRule="exact"/>
                    <w:jc w:val="left"/>
                    <w:rPr>
                      <w:rFonts w:cs="Miriam"/>
                      <w:noProof/>
                      <w:sz w:val="18"/>
                      <w:szCs w:val="18"/>
                      <w:rtl/>
                    </w:rPr>
                  </w:pPr>
                  <w:r>
                    <w:rPr>
                      <w:rFonts w:cs="Miriam"/>
                      <w:sz w:val="18"/>
                      <w:szCs w:val="18"/>
                      <w:rtl/>
                    </w:rPr>
                    <w:t>טע</w:t>
                  </w:r>
                  <w:r>
                    <w:rPr>
                      <w:rFonts w:cs="Miriam" w:hint="cs"/>
                      <w:sz w:val="18"/>
                      <w:szCs w:val="18"/>
                      <w:rtl/>
                    </w:rPr>
                    <w:t>נות הצדדים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ועדה תשמע תחילה את טענות העורר ולאחר מכן את טענות המשיב.</w:t>
      </w:r>
    </w:p>
    <w:p w14:paraId="5268D8C6" w14:textId="77777777" w:rsidR="007E1F4A" w:rsidRDefault="007E1F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רשאית, ככל שהדבר יראה לה, להתיר לעורר להשיב על טענות המשיב.</w:t>
      </w:r>
    </w:p>
    <w:p w14:paraId="1B51173F" w14:textId="77777777" w:rsidR="007E1F4A" w:rsidRDefault="007E1F4A">
      <w:pPr>
        <w:pStyle w:val="P00"/>
        <w:spacing w:before="72"/>
        <w:ind w:left="0" w:right="1134"/>
        <w:rPr>
          <w:rStyle w:val="default"/>
          <w:rFonts w:cs="FrankRuehl"/>
          <w:rtl/>
        </w:rPr>
      </w:pPr>
      <w:bookmarkStart w:id="9" w:name="Seif9"/>
      <w:bookmarkEnd w:id="9"/>
      <w:r>
        <w:rPr>
          <w:lang w:val="he-IL"/>
        </w:rPr>
        <w:pict w14:anchorId="35EAD8B9">
          <v:rect id="_x0000_s1035" style="position:absolute;left:0;text-align:left;margin-left:464.5pt;margin-top:8.05pt;width:75.05pt;height:8pt;z-index:251660288" o:allowincell="f" filled="f" stroked="f" strokecolor="lime" strokeweight=".25pt">
            <v:textbox inset="0,0,0,0">
              <w:txbxContent>
                <w:p w14:paraId="6688FDE1" w14:textId="77777777" w:rsidR="007E1F4A" w:rsidRDefault="007E1F4A">
                  <w:pPr>
                    <w:spacing w:line="160" w:lineRule="exact"/>
                    <w:jc w:val="left"/>
                    <w:rPr>
                      <w:rFonts w:cs="Miriam"/>
                      <w:noProof/>
                      <w:sz w:val="18"/>
                      <w:szCs w:val="18"/>
                      <w:rtl/>
                    </w:rPr>
                  </w:pPr>
                  <w:r>
                    <w:rPr>
                      <w:rFonts w:cs="Miriam"/>
                      <w:sz w:val="18"/>
                      <w:szCs w:val="18"/>
                      <w:rtl/>
                    </w:rPr>
                    <w:t>הח</w:t>
                  </w:r>
                  <w:r>
                    <w:rPr>
                      <w:rFonts w:cs="Miriam" w:hint="cs"/>
                      <w:sz w:val="18"/>
                      <w:szCs w:val="18"/>
                      <w:rtl/>
                    </w:rPr>
                    <w:t>לטת הועדה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חלטת הועדה תיערך בכתב ותיחתם ביד היושב ראש וחברי הועדה.</w:t>
      </w:r>
    </w:p>
    <w:p w14:paraId="10F59445" w14:textId="77777777" w:rsidR="007E1F4A" w:rsidRDefault="007E1F4A">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עתק ההחלטה, מא</w:t>
      </w:r>
      <w:r>
        <w:rPr>
          <w:rStyle w:val="default"/>
          <w:rFonts w:cs="FrankRuehl"/>
          <w:rtl/>
        </w:rPr>
        <w:t>וש</w:t>
      </w:r>
      <w:r>
        <w:rPr>
          <w:rStyle w:val="default"/>
          <w:rFonts w:cs="FrankRuehl" w:hint="cs"/>
          <w:rtl/>
        </w:rPr>
        <w:t>ר ביד יושב ראש</w:t>
      </w:r>
      <w:r>
        <w:rPr>
          <w:rStyle w:val="default"/>
          <w:rFonts w:cs="FrankRuehl"/>
          <w:rtl/>
        </w:rPr>
        <w:t xml:space="preserve"> </w:t>
      </w:r>
      <w:r>
        <w:rPr>
          <w:rStyle w:val="default"/>
          <w:rFonts w:cs="FrankRuehl" w:hint="cs"/>
          <w:rtl/>
        </w:rPr>
        <w:t>הועדה, יימסר לעורר ולמשיב בסמוך ככל האפשר למתן ההחלטה.</w:t>
      </w:r>
    </w:p>
    <w:p w14:paraId="3845E060" w14:textId="77777777" w:rsidR="007E1F4A" w:rsidRDefault="007E1F4A">
      <w:pPr>
        <w:pStyle w:val="P00"/>
        <w:spacing w:before="72"/>
        <w:ind w:left="0" w:right="1134"/>
        <w:rPr>
          <w:rStyle w:val="default"/>
          <w:rFonts w:cs="FrankRuehl"/>
          <w:rtl/>
        </w:rPr>
      </w:pPr>
      <w:bookmarkStart w:id="10" w:name="Seif10"/>
      <w:bookmarkEnd w:id="10"/>
      <w:r>
        <w:rPr>
          <w:lang w:val="he-IL"/>
        </w:rPr>
        <w:pict w14:anchorId="0D8904C1">
          <v:rect id="_x0000_s1036" style="position:absolute;left:0;text-align:left;margin-left:464.5pt;margin-top:8.05pt;width:75.05pt;height:8pt;z-index:251661312" o:allowincell="f" filled="f" stroked="f" strokecolor="lime" strokeweight=".25pt">
            <v:textbox inset="0,0,0,0">
              <w:txbxContent>
                <w:p w14:paraId="51BF2E51" w14:textId="77777777" w:rsidR="007E1F4A" w:rsidRDefault="007E1F4A">
                  <w:pPr>
                    <w:spacing w:line="160" w:lineRule="exact"/>
                    <w:jc w:val="left"/>
                    <w:rPr>
                      <w:rFonts w:cs="Miriam"/>
                      <w:noProof/>
                      <w:sz w:val="18"/>
                      <w:szCs w:val="18"/>
                      <w:rtl/>
                    </w:rPr>
                  </w:pPr>
                  <w:r>
                    <w:rPr>
                      <w:rFonts w:cs="Miriam"/>
                      <w:sz w:val="18"/>
                      <w:szCs w:val="18"/>
                      <w:rtl/>
                    </w:rPr>
                    <w:t>מי</w:t>
                  </w:r>
                  <w:r>
                    <w:rPr>
                      <w:rFonts w:cs="Miriam" w:hint="cs"/>
                      <w:sz w:val="18"/>
                      <w:szCs w:val="18"/>
                      <w:rtl/>
                    </w:rPr>
                    <w:t>זוג עררים</w:t>
                  </w:r>
                </w:p>
              </w:txbxContent>
            </v:textbox>
            <w10:anchorlock/>
          </v:rect>
        </w:pict>
      </w:r>
      <w:r>
        <w:rPr>
          <w:rStyle w:val="big-number"/>
          <w:rFonts w:cs="Miriam"/>
          <w:rtl/>
        </w:rPr>
        <w:t>11.</w:t>
      </w:r>
      <w:r>
        <w:rPr>
          <w:rStyle w:val="big-number"/>
          <w:rFonts w:cs="Miriam"/>
          <w:rtl/>
        </w:rPr>
        <w:tab/>
      </w:r>
      <w:r>
        <w:rPr>
          <w:rStyle w:val="default"/>
          <w:rFonts w:cs="FrankRuehl"/>
          <w:rtl/>
        </w:rPr>
        <w:t>הו</w:t>
      </w:r>
      <w:r>
        <w:rPr>
          <w:rStyle w:val="default"/>
          <w:rFonts w:cs="FrankRuehl" w:hint="cs"/>
          <w:rtl/>
        </w:rPr>
        <w:t>עדה רשאית למזג עררים התלויים ועומדים לפניה, לדון בהם במשותף ולתת החלטה אחת בכולם, אם כרוכות בהם אותן בעיות חוק או אותן בעיות עובדה, או כרוכות בהם בעיות חוק או בעיות עובדה דומות.</w:t>
      </w:r>
    </w:p>
    <w:p w14:paraId="6BBD9D63" w14:textId="77777777" w:rsidR="007E1F4A" w:rsidRDefault="007E1F4A">
      <w:pPr>
        <w:pStyle w:val="P00"/>
        <w:spacing w:before="72"/>
        <w:ind w:left="0" w:right="1134"/>
        <w:rPr>
          <w:rStyle w:val="default"/>
          <w:rFonts w:cs="FrankRuehl"/>
          <w:rtl/>
        </w:rPr>
      </w:pPr>
      <w:bookmarkStart w:id="11" w:name="Seif11"/>
      <w:bookmarkEnd w:id="11"/>
      <w:r>
        <w:rPr>
          <w:lang w:val="he-IL"/>
        </w:rPr>
        <w:pict w14:anchorId="5C8827E5">
          <v:rect id="_x0000_s1037" style="position:absolute;left:0;text-align:left;margin-left:464.5pt;margin-top:8.05pt;width:75.05pt;height:8pt;z-index:251662336" o:allowincell="f" filled="f" stroked="f" strokecolor="lime" strokeweight=".25pt">
            <v:textbox inset="0,0,0,0">
              <w:txbxContent>
                <w:p w14:paraId="5025D9BA" w14:textId="77777777" w:rsidR="007E1F4A" w:rsidRDefault="007E1F4A">
                  <w:pPr>
                    <w:spacing w:line="160" w:lineRule="exact"/>
                    <w:jc w:val="left"/>
                    <w:rPr>
                      <w:rFonts w:cs="Miriam"/>
                      <w:noProof/>
                      <w:sz w:val="18"/>
                      <w:szCs w:val="18"/>
                      <w:rtl/>
                    </w:rPr>
                  </w:pPr>
                  <w:r>
                    <w:rPr>
                      <w:rFonts w:cs="Miriam"/>
                      <w:sz w:val="18"/>
                      <w:szCs w:val="18"/>
                      <w:rtl/>
                    </w:rPr>
                    <w:t>צי</w:t>
                  </w:r>
                  <w:r>
                    <w:rPr>
                      <w:rFonts w:cs="Miriam" w:hint="cs"/>
                      <w:sz w:val="18"/>
                      <w:szCs w:val="18"/>
                      <w:rtl/>
                    </w:rPr>
                    <w:t>רוף צדדים</w:t>
                  </w:r>
                </w:p>
              </w:txbxContent>
            </v:textbox>
            <w10:anchorlock/>
          </v:rect>
        </w:pict>
      </w:r>
      <w:r>
        <w:rPr>
          <w:rStyle w:val="big-number"/>
          <w:rFonts w:cs="Miriam"/>
          <w:rtl/>
        </w:rPr>
        <w:t>12.</w:t>
      </w:r>
      <w:r>
        <w:rPr>
          <w:rStyle w:val="big-number"/>
          <w:rFonts w:cs="Miriam"/>
          <w:rtl/>
        </w:rPr>
        <w:tab/>
      </w:r>
      <w:r>
        <w:rPr>
          <w:rStyle w:val="default"/>
          <w:rFonts w:cs="FrankRuehl"/>
          <w:rtl/>
        </w:rPr>
        <w:t>הו</w:t>
      </w:r>
      <w:r>
        <w:rPr>
          <w:rStyle w:val="default"/>
          <w:rFonts w:cs="FrankRuehl" w:hint="cs"/>
          <w:rtl/>
        </w:rPr>
        <w:t>עדה רשאית בכל שלב של מהלך הדיון לצרף, על פי בקשת העורר או המשיב או אדם מעונין כעורר או כמשיב בערר שלפניה, כל אדם הנראה לה מעונין בו.</w:t>
      </w:r>
    </w:p>
    <w:p w14:paraId="644BC8FD" w14:textId="77777777" w:rsidR="007E1F4A" w:rsidRDefault="007E1F4A">
      <w:pPr>
        <w:pStyle w:val="P00"/>
        <w:spacing w:before="72"/>
        <w:ind w:left="0" w:right="1134"/>
        <w:rPr>
          <w:rStyle w:val="default"/>
          <w:rFonts w:cs="FrankRuehl"/>
          <w:rtl/>
        </w:rPr>
      </w:pPr>
      <w:bookmarkStart w:id="12" w:name="Seif12"/>
      <w:bookmarkEnd w:id="12"/>
      <w:r>
        <w:rPr>
          <w:lang w:val="he-IL"/>
        </w:rPr>
        <w:pict w14:anchorId="6E6F567A">
          <v:rect id="_x0000_s1038" style="position:absolute;left:0;text-align:left;margin-left:464.5pt;margin-top:8.05pt;width:75.05pt;height:8pt;z-index:251663360" o:allowincell="f" filled="f" stroked="f" strokecolor="lime" strokeweight=".25pt">
            <v:textbox inset="0,0,0,0">
              <w:txbxContent>
                <w:p w14:paraId="4A3BC476" w14:textId="77777777" w:rsidR="007E1F4A" w:rsidRDefault="007E1F4A">
                  <w:pPr>
                    <w:spacing w:line="160" w:lineRule="exact"/>
                    <w:jc w:val="left"/>
                    <w:rPr>
                      <w:rFonts w:cs="Miriam"/>
                      <w:noProof/>
                      <w:sz w:val="18"/>
                      <w:szCs w:val="18"/>
                      <w:rtl/>
                    </w:rPr>
                  </w:pPr>
                  <w:r>
                    <w:rPr>
                      <w:rFonts w:cs="Miriam"/>
                      <w:sz w:val="18"/>
                      <w:szCs w:val="18"/>
                      <w:rtl/>
                    </w:rPr>
                    <w:t>מס</w:t>
                  </w:r>
                  <w:r>
                    <w:rPr>
                      <w:rFonts w:cs="Miriam" w:hint="cs"/>
                      <w:sz w:val="18"/>
                      <w:szCs w:val="18"/>
                      <w:rtl/>
                    </w:rPr>
                    <w:t>ירה</w:t>
                  </w:r>
                </w:p>
              </w:txbxContent>
            </v:textbox>
            <w10:anchorlock/>
          </v:rect>
        </w:pict>
      </w:r>
      <w:r>
        <w:rPr>
          <w:rStyle w:val="big-number"/>
          <w:rFonts w:cs="Miriam"/>
          <w:rtl/>
        </w:rPr>
        <w:t>13.</w:t>
      </w:r>
      <w:r>
        <w:rPr>
          <w:rStyle w:val="big-number"/>
          <w:rFonts w:cs="Miriam"/>
          <w:rtl/>
        </w:rPr>
        <w:tab/>
      </w:r>
      <w:r>
        <w:rPr>
          <w:rStyle w:val="default"/>
          <w:rFonts w:cs="FrankRuehl"/>
          <w:rtl/>
        </w:rPr>
        <w:t>מס</w:t>
      </w:r>
      <w:r>
        <w:rPr>
          <w:rStyle w:val="default"/>
          <w:rFonts w:cs="FrankRuehl" w:hint="cs"/>
          <w:rtl/>
        </w:rPr>
        <w:t>ירת ערר, תשובה, החלטת הועדה לפי תקנות אלה תהא כדין, אם נמסרה לידי האדם שאליו היא מ</w:t>
      </w:r>
      <w:r>
        <w:rPr>
          <w:rStyle w:val="default"/>
          <w:rFonts w:cs="FrankRuehl"/>
          <w:rtl/>
        </w:rPr>
        <w:t>כו</w:t>
      </w:r>
      <w:r>
        <w:rPr>
          <w:rStyle w:val="default"/>
          <w:rFonts w:cs="FrankRuehl" w:hint="cs"/>
          <w:rtl/>
        </w:rPr>
        <w:t>ונת, או נמסרה במקום מגוריו או במקום עסקו הרגילים או הידועים לאחרונה לידי אחד מבני משפחתו הבוגרים או לידי בוגר העובד או המועסק שם, או נשלחה בדואר במכתב רשום הערוך אל אותו אדם לפי כתבתו במקום מגוריו או במקום עסקו הרגילים או הידועים לאחר</w:t>
      </w:r>
      <w:r>
        <w:rPr>
          <w:rStyle w:val="default"/>
          <w:rFonts w:cs="FrankRuehl"/>
          <w:rtl/>
        </w:rPr>
        <w:t>ו</w:t>
      </w:r>
      <w:r>
        <w:rPr>
          <w:rStyle w:val="default"/>
          <w:rFonts w:cs="FrankRuehl" w:hint="cs"/>
          <w:rtl/>
        </w:rPr>
        <w:t>נה, או הוצגה במקום</w:t>
      </w:r>
      <w:r>
        <w:rPr>
          <w:rStyle w:val="default"/>
          <w:rFonts w:cs="FrankRuehl"/>
          <w:rtl/>
        </w:rPr>
        <w:t xml:space="preserve"> </w:t>
      </w:r>
      <w:r>
        <w:rPr>
          <w:rStyle w:val="default"/>
          <w:rFonts w:cs="FrankRuehl" w:hint="cs"/>
          <w:rtl/>
        </w:rPr>
        <w:t>ב</w:t>
      </w:r>
      <w:r>
        <w:rPr>
          <w:rStyle w:val="default"/>
          <w:rFonts w:cs="FrankRuehl"/>
          <w:rtl/>
        </w:rPr>
        <w:t>ו</w:t>
      </w:r>
      <w:r>
        <w:rPr>
          <w:rStyle w:val="default"/>
          <w:rFonts w:cs="FrankRuehl" w:hint="cs"/>
          <w:rtl/>
        </w:rPr>
        <w:t>לט באחד המקומות האמורים.</w:t>
      </w:r>
    </w:p>
    <w:p w14:paraId="4A6A6CA6" w14:textId="77777777" w:rsidR="007E1F4A" w:rsidRDefault="007E1F4A">
      <w:pPr>
        <w:pStyle w:val="P00"/>
        <w:spacing w:before="72"/>
        <w:ind w:left="0" w:right="1134"/>
        <w:rPr>
          <w:rStyle w:val="default"/>
          <w:rFonts w:cs="FrankRuehl"/>
          <w:rtl/>
        </w:rPr>
      </w:pPr>
      <w:bookmarkStart w:id="13" w:name="Seif13"/>
      <w:bookmarkEnd w:id="13"/>
      <w:r>
        <w:rPr>
          <w:lang w:val="he-IL"/>
        </w:rPr>
        <w:pict w14:anchorId="405581CD">
          <v:rect id="_x0000_s1039" style="position:absolute;left:0;text-align:left;margin-left:464.5pt;margin-top:8.05pt;width:75.05pt;height:8pt;z-index:251664384" o:allowincell="f" filled="f" stroked="f" strokecolor="lime" strokeweight=".25pt">
            <v:textbox inset="0,0,0,0">
              <w:txbxContent>
                <w:p w14:paraId="25157AA4" w14:textId="77777777" w:rsidR="007E1F4A" w:rsidRDefault="007E1F4A">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14.</w:t>
      </w:r>
      <w:r>
        <w:rPr>
          <w:rStyle w:val="big-number"/>
          <w:rFonts w:cs="Miriam"/>
          <w:rtl/>
        </w:rPr>
        <w:tab/>
      </w:r>
      <w:r>
        <w:rPr>
          <w:rStyle w:val="default"/>
          <w:rFonts w:cs="FrankRuehl"/>
          <w:rtl/>
        </w:rPr>
        <w:t>לת</w:t>
      </w:r>
      <w:r>
        <w:rPr>
          <w:rStyle w:val="default"/>
          <w:rFonts w:cs="FrankRuehl" w:hint="cs"/>
          <w:rtl/>
        </w:rPr>
        <w:t>קנות אלה ייקרא "תקנות החשמל (סדרי הדין של ועדת עררים), תשט"ו-</w:t>
      </w:r>
      <w:r>
        <w:rPr>
          <w:rStyle w:val="default"/>
          <w:rFonts w:cs="FrankRuehl"/>
          <w:rtl/>
        </w:rPr>
        <w:t>1955".</w:t>
      </w:r>
    </w:p>
    <w:p w14:paraId="6FD6F4DE" w14:textId="77777777" w:rsidR="007E1F4A" w:rsidRDefault="007E1F4A">
      <w:pPr>
        <w:pStyle w:val="P00"/>
        <w:spacing w:before="72"/>
        <w:ind w:left="0" w:right="1134"/>
        <w:rPr>
          <w:rStyle w:val="default"/>
          <w:rFonts w:cs="FrankRuehl"/>
          <w:rtl/>
        </w:rPr>
      </w:pPr>
    </w:p>
    <w:p w14:paraId="247CDD50" w14:textId="77777777" w:rsidR="007E1F4A" w:rsidRDefault="007E1F4A">
      <w:pPr>
        <w:pStyle w:val="sig-0"/>
        <w:ind w:left="0" w:right="1134"/>
        <w:rPr>
          <w:rFonts w:cs="FrankRuehl"/>
          <w:sz w:val="26"/>
          <w:rtl/>
        </w:rPr>
      </w:pPr>
      <w:r>
        <w:rPr>
          <w:rFonts w:cs="FrankRuehl"/>
          <w:sz w:val="26"/>
          <w:rtl/>
        </w:rPr>
        <w:t xml:space="preserve">ט' </w:t>
      </w:r>
      <w:r>
        <w:rPr>
          <w:rFonts w:cs="FrankRuehl" w:hint="cs"/>
          <w:sz w:val="26"/>
          <w:rtl/>
        </w:rPr>
        <w:t>בשבט תשט"ו (1 בפברואר 1955)</w:t>
      </w:r>
      <w:r>
        <w:rPr>
          <w:rFonts w:cs="FrankRuehl"/>
          <w:sz w:val="26"/>
          <w:rtl/>
        </w:rPr>
        <w:tab/>
        <w:t>פ</w:t>
      </w:r>
      <w:r>
        <w:rPr>
          <w:rFonts w:cs="FrankRuehl" w:hint="cs"/>
          <w:sz w:val="26"/>
          <w:rtl/>
        </w:rPr>
        <w:t>נחס רוזן</w:t>
      </w:r>
    </w:p>
    <w:p w14:paraId="654318DB" w14:textId="77777777" w:rsidR="007E1F4A" w:rsidRDefault="007E1F4A">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14:paraId="5A1D7EBF" w14:textId="77777777" w:rsidR="007E1F4A" w:rsidRDefault="007E1F4A">
      <w:pPr>
        <w:pStyle w:val="P00"/>
        <w:spacing w:before="72"/>
        <w:ind w:left="0" w:right="1134"/>
        <w:rPr>
          <w:rStyle w:val="default"/>
          <w:rFonts w:cs="FrankRuehl" w:hint="cs"/>
          <w:rtl/>
        </w:rPr>
      </w:pPr>
    </w:p>
    <w:p w14:paraId="38944286" w14:textId="77777777" w:rsidR="007E1F4A" w:rsidRDefault="007E1F4A">
      <w:pPr>
        <w:pStyle w:val="P00"/>
        <w:spacing w:before="72"/>
        <w:ind w:left="0" w:right="1134"/>
        <w:rPr>
          <w:rStyle w:val="default"/>
          <w:rFonts w:cs="FrankRuehl"/>
          <w:rtl/>
        </w:rPr>
      </w:pPr>
    </w:p>
    <w:p w14:paraId="2AC8E00E" w14:textId="77777777" w:rsidR="007E1F4A" w:rsidRDefault="007E1F4A">
      <w:pPr>
        <w:pStyle w:val="P00"/>
        <w:spacing w:before="72"/>
        <w:ind w:left="0" w:right="1134"/>
        <w:rPr>
          <w:rStyle w:val="default"/>
          <w:rFonts w:cs="FrankRuehl"/>
          <w:rtl/>
        </w:rPr>
      </w:pPr>
      <w:bookmarkStart w:id="14" w:name="LawPartEnd"/>
    </w:p>
    <w:bookmarkEnd w:id="14"/>
    <w:p w14:paraId="77483699" w14:textId="77777777" w:rsidR="007E1F4A" w:rsidRDefault="007E1F4A">
      <w:pPr>
        <w:pStyle w:val="P00"/>
        <w:spacing w:before="72"/>
        <w:ind w:left="0" w:right="1134"/>
        <w:rPr>
          <w:rStyle w:val="default"/>
          <w:rFonts w:cs="FrankRuehl"/>
          <w:rtl/>
        </w:rPr>
      </w:pPr>
    </w:p>
    <w:sectPr w:rsidR="007E1F4A">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D6FF4" w14:textId="77777777" w:rsidR="005A7565" w:rsidRDefault="005A7565">
      <w:r>
        <w:separator/>
      </w:r>
    </w:p>
  </w:endnote>
  <w:endnote w:type="continuationSeparator" w:id="0">
    <w:p w14:paraId="459C023E" w14:textId="77777777" w:rsidR="005A7565" w:rsidRDefault="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227B" w14:textId="77777777" w:rsidR="007E1F4A" w:rsidRDefault="007E1F4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954C764" w14:textId="77777777" w:rsidR="007E1F4A" w:rsidRDefault="007E1F4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47200CC" w14:textId="77777777" w:rsidR="007E1F4A" w:rsidRDefault="007E1F4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Z:\000000000000-law\yael\07-09-04\01\159_005.doc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FA5DE" w14:textId="77777777" w:rsidR="007E1F4A" w:rsidRDefault="007E1F4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73199">
      <w:rPr>
        <w:rFonts w:hAnsi="FrankRuehl" w:cs="FrankRuehl"/>
        <w:noProof/>
        <w:sz w:val="24"/>
        <w:szCs w:val="24"/>
        <w:rtl/>
      </w:rPr>
      <w:t>3</w:t>
    </w:r>
    <w:r>
      <w:rPr>
        <w:rFonts w:hAnsi="FrankRuehl" w:cs="FrankRuehl"/>
        <w:sz w:val="24"/>
        <w:szCs w:val="24"/>
        <w:rtl/>
      </w:rPr>
      <w:fldChar w:fldCharType="end"/>
    </w:r>
  </w:p>
  <w:p w14:paraId="3FFB21D8" w14:textId="77777777" w:rsidR="007E1F4A" w:rsidRDefault="007E1F4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04E4066" w14:textId="77777777" w:rsidR="007E1F4A" w:rsidRDefault="007E1F4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Z:\000000000000-law\yael\07-09-04\01\159_005.doc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17C80" w14:textId="77777777" w:rsidR="005A7565" w:rsidRDefault="005A7565">
      <w:pPr>
        <w:spacing w:before="60" w:line="240" w:lineRule="auto"/>
        <w:ind w:right="1134"/>
      </w:pPr>
      <w:r>
        <w:separator/>
      </w:r>
    </w:p>
  </w:footnote>
  <w:footnote w:type="continuationSeparator" w:id="0">
    <w:p w14:paraId="419BCF71" w14:textId="77777777" w:rsidR="005A7565" w:rsidRDefault="005A7565">
      <w:r>
        <w:continuationSeparator/>
      </w:r>
    </w:p>
  </w:footnote>
  <w:footnote w:id="1">
    <w:p w14:paraId="1D955C3B" w14:textId="77777777" w:rsidR="007E1F4A" w:rsidRDefault="007E1F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תשט"ז מס' 500</w:t>
        </w:r>
      </w:hyperlink>
      <w:r>
        <w:rPr>
          <w:rFonts w:cs="FrankRuehl" w:hint="cs"/>
          <w:rtl/>
        </w:rPr>
        <w:t xml:space="preserve"> מיום 10.2.1955 עמ' 598.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B4228" w14:textId="77777777" w:rsidR="007E1F4A" w:rsidRDefault="007E1F4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החשמל (סדרי הדין של ועדת עררים), תשט"ו–1955</w:t>
    </w:r>
  </w:p>
  <w:p w14:paraId="7255C268" w14:textId="77777777" w:rsidR="007E1F4A" w:rsidRDefault="007E1F4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F1013BA" w14:textId="77777777" w:rsidR="007E1F4A" w:rsidRDefault="007E1F4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5B423" w14:textId="77777777" w:rsidR="007E1F4A" w:rsidRDefault="007E1F4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החשמל (סדרי הדין של ועדת עררים), תשט"ו</w:t>
    </w:r>
    <w:r>
      <w:rPr>
        <w:rFonts w:hAnsi="FrankRuehl" w:cs="FrankRuehl" w:hint="cs"/>
        <w:color w:val="000000"/>
        <w:sz w:val="28"/>
        <w:szCs w:val="28"/>
        <w:rtl/>
      </w:rPr>
      <w:t>-</w:t>
    </w:r>
    <w:r>
      <w:rPr>
        <w:rFonts w:hAnsi="FrankRuehl" w:cs="FrankRuehl"/>
        <w:color w:val="000000"/>
        <w:sz w:val="28"/>
        <w:szCs w:val="28"/>
        <w:rtl/>
      </w:rPr>
      <w:t>1955</w:t>
    </w:r>
  </w:p>
  <w:p w14:paraId="4DDC7F8D" w14:textId="77777777" w:rsidR="007E1F4A" w:rsidRDefault="007E1F4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162016" w14:textId="77777777" w:rsidR="007E1F4A" w:rsidRDefault="007E1F4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1F4A"/>
    <w:rsid w:val="00473199"/>
    <w:rsid w:val="005A7565"/>
    <w:rsid w:val="007E1F4A"/>
    <w:rsid w:val="009D67C0"/>
    <w:rsid w:val="00A53AFE"/>
    <w:rsid w:val="00B220E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EE232AE"/>
  <w15:chartTrackingRefBased/>
  <w15:docId w15:val="{72FFB4FD-48FC-4B56-AE0C-6B606BA7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05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פרק 159</vt:lpstr>
    </vt:vector>
  </TitlesOfParts>
  <Company/>
  <LinksUpToDate>false</LinksUpToDate>
  <CharactersWithSpaces>3933</CharactersWithSpaces>
  <SharedDoc>false</SharedDoc>
  <HLinks>
    <vt:vector size="90" baseType="variant">
      <vt:variant>
        <vt:i4>3145771</vt:i4>
      </vt:variant>
      <vt:variant>
        <vt:i4>39</vt:i4>
      </vt:variant>
      <vt:variant>
        <vt:i4>0</vt:i4>
      </vt:variant>
      <vt:variant>
        <vt:i4>5</vt:i4>
      </vt:variant>
      <vt:variant>
        <vt:lpwstr/>
      </vt:variant>
      <vt:variant>
        <vt:lpwstr>Seif13</vt:lpwstr>
      </vt:variant>
      <vt:variant>
        <vt:i4>3211307</vt:i4>
      </vt:variant>
      <vt:variant>
        <vt:i4>36</vt:i4>
      </vt:variant>
      <vt:variant>
        <vt:i4>0</vt:i4>
      </vt:variant>
      <vt:variant>
        <vt:i4>5</vt:i4>
      </vt:variant>
      <vt:variant>
        <vt:lpwstr/>
      </vt:variant>
      <vt:variant>
        <vt:lpwstr>Seif12</vt:lpwstr>
      </vt:variant>
      <vt:variant>
        <vt:i4>3276843</vt:i4>
      </vt:variant>
      <vt:variant>
        <vt:i4>33</vt:i4>
      </vt:variant>
      <vt:variant>
        <vt:i4>0</vt:i4>
      </vt:variant>
      <vt:variant>
        <vt:i4>5</vt:i4>
      </vt:variant>
      <vt:variant>
        <vt:lpwstr/>
      </vt:variant>
      <vt:variant>
        <vt:lpwstr>Seif11</vt:lpwstr>
      </vt:variant>
      <vt:variant>
        <vt:i4>3342379</vt:i4>
      </vt:variant>
      <vt:variant>
        <vt:i4>30</vt:i4>
      </vt:variant>
      <vt:variant>
        <vt:i4>0</vt:i4>
      </vt:variant>
      <vt:variant>
        <vt:i4>5</vt:i4>
      </vt:variant>
      <vt:variant>
        <vt:lpwstr/>
      </vt:variant>
      <vt:variant>
        <vt:lpwstr>Seif10</vt:lpwstr>
      </vt:variant>
      <vt:variant>
        <vt:i4>196634</vt:i4>
      </vt:variant>
      <vt:variant>
        <vt:i4>27</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Seif8</vt:lpwstr>
      </vt:variant>
      <vt:variant>
        <vt:i4>196634</vt:i4>
      </vt:variant>
      <vt:variant>
        <vt:i4>21</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Seif6</vt:lpwstr>
      </vt:variant>
      <vt:variant>
        <vt:i4>196634</vt:i4>
      </vt:variant>
      <vt:variant>
        <vt:i4>15</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Seif4</vt:lpwstr>
      </vt:variant>
      <vt:variant>
        <vt:i4>196634</vt:i4>
      </vt:variant>
      <vt:variant>
        <vt:i4>9</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Seif0</vt:lpwstr>
      </vt:variant>
      <vt:variant>
        <vt:i4>7929869</vt:i4>
      </vt:variant>
      <vt:variant>
        <vt:i4>0</vt:i4>
      </vt:variant>
      <vt:variant>
        <vt:i4>0</vt:i4>
      </vt:variant>
      <vt:variant>
        <vt:i4>5</vt:i4>
      </vt:variant>
      <vt:variant>
        <vt:lpwstr>http://www.nevo.co.il/Law_word/law06/TAK-0500.pdf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159</dc:title>
  <dc:subject/>
  <dc:creator>home</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0159</vt:lpwstr>
  </property>
  <property fmtid="{D5CDD505-2E9C-101B-9397-08002B2CF9AE}" pid="3" name="CHNAME">
    <vt:lpwstr>חשמל</vt:lpwstr>
  </property>
  <property fmtid="{D5CDD505-2E9C-101B-9397-08002B2CF9AE}" pid="4" name="LAWNAME">
    <vt:lpwstr>תקנות החשמל (סדרי הדין של ועדת עררים), תשט"ו-1955</vt:lpwstr>
  </property>
  <property fmtid="{D5CDD505-2E9C-101B-9397-08002B2CF9AE}" pid="5" name="LAWNUMBER">
    <vt:lpwstr>0005</vt:lpwstr>
  </property>
  <property fmtid="{D5CDD505-2E9C-101B-9397-08002B2CF9AE}" pid="6" name="TYPE">
    <vt:lpwstr>01</vt:lpwstr>
  </property>
  <property fmtid="{D5CDD505-2E9C-101B-9397-08002B2CF9AE}" pid="7" name="MEKOR_NAME1">
    <vt:lpwstr>חוק החשמל</vt:lpwstr>
  </property>
  <property fmtid="{D5CDD505-2E9C-101B-9397-08002B2CF9AE}" pid="8" name="MEKOR_SAIF1">
    <vt:lpwstr>7XגX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חשמל</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