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7F9" w:rsidRDefault="007D37F9" w:rsidP="00844CE7">
      <w:pPr>
        <w:pStyle w:val="big-header"/>
        <w:ind w:left="0" w:right="1134"/>
        <w:rPr>
          <w:rFonts w:hint="cs"/>
          <w:rtl/>
        </w:rPr>
      </w:pPr>
      <w:r>
        <w:rPr>
          <w:rtl/>
        </w:rPr>
        <w:t>תקנות הטיס (</w:t>
      </w:r>
      <w:r w:rsidR="00844CE7">
        <w:rPr>
          <w:rFonts w:hint="cs"/>
          <w:rtl/>
        </w:rPr>
        <w:t>יחידות מידה</w:t>
      </w:r>
      <w:r w:rsidR="00C93F42">
        <w:rPr>
          <w:rFonts w:hint="cs"/>
          <w:rtl/>
        </w:rPr>
        <w:t>), תשע"</w:t>
      </w:r>
      <w:r w:rsidR="00844CE7">
        <w:rPr>
          <w:rFonts w:hint="cs"/>
          <w:rtl/>
        </w:rPr>
        <w:t>ו-2016</w:t>
      </w:r>
    </w:p>
    <w:p w:rsidR="009C6812" w:rsidRDefault="009C6812" w:rsidP="009C6812">
      <w:pPr>
        <w:spacing w:line="320" w:lineRule="auto"/>
        <w:jc w:val="left"/>
        <w:rPr>
          <w:rFonts w:hint="cs"/>
          <w:rtl/>
        </w:rPr>
      </w:pPr>
    </w:p>
    <w:p w:rsidR="00C93F42" w:rsidRDefault="00C93F42" w:rsidP="009C6812">
      <w:pPr>
        <w:spacing w:line="320" w:lineRule="auto"/>
        <w:jc w:val="left"/>
        <w:rPr>
          <w:rFonts w:hint="cs"/>
          <w:rtl/>
        </w:rPr>
      </w:pPr>
    </w:p>
    <w:p w:rsidR="009C6812" w:rsidRPr="009C6812" w:rsidRDefault="009C6812" w:rsidP="009C6812">
      <w:pPr>
        <w:spacing w:line="320" w:lineRule="auto"/>
        <w:jc w:val="left"/>
        <w:rPr>
          <w:rFonts w:cs="Miriam"/>
          <w:szCs w:val="22"/>
          <w:rtl/>
        </w:rPr>
      </w:pPr>
      <w:r w:rsidRPr="009C6812">
        <w:rPr>
          <w:rFonts w:cs="Miriam"/>
          <w:szCs w:val="22"/>
          <w:rtl/>
        </w:rPr>
        <w:t>רשויות ומשפט מנהלי</w:t>
      </w:r>
      <w:r w:rsidRPr="009C6812">
        <w:rPr>
          <w:rFonts w:cs="FrankRuehl"/>
          <w:szCs w:val="26"/>
          <w:rtl/>
        </w:rPr>
        <w:t xml:space="preserve"> – תשתיות – תעופה – טיס</w:t>
      </w:r>
    </w:p>
    <w:p w:rsidR="007D37F9" w:rsidRDefault="007D37F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1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הגדרות</w:t>
            </w:r>
          </w:p>
        </w:tc>
        <w:tc>
          <w:tcPr>
            <w:tcW w:w="567" w:type="dxa"/>
          </w:tcPr>
          <w:p w:rsidR="002A349E" w:rsidRPr="002A349E" w:rsidRDefault="002A349E" w:rsidP="002A349E">
            <w:pPr>
              <w:spacing w:line="240" w:lineRule="auto"/>
              <w:jc w:val="left"/>
              <w:rPr>
                <w:rStyle w:val="Hyperlink"/>
                <w:rtl/>
              </w:rPr>
            </w:pPr>
            <w:hyperlink w:anchor="Seif1" w:tooltip="הגדרות"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2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שימוש ביחידות המידה התקניות</w:t>
            </w:r>
          </w:p>
        </w:tc>
        <w:tc>
          <w:tcPr>
            <w:tcW w:w="567" w:type="dxa"/>
          </w:tcPr>
          <w:p w:rsidR="002A349E" w:rsidRPr="002A349E" w:rsidRDefault="002A349E" w:rsidP="002A349E">
            <w:pPr>
              <w:spacing w:line="240" w:lineRule="auto"/>
              <w:jc w:val="left"/>
              <w:rPr>
                <w:rStyle w:val="Hyperlink"/>
                <w:rtl/>
              </w:rPr>
            </w:pPr>
            <w:hyperlink w:anchor="Seif2" w:tooltip="שימוש ביחידות המידה התקניות"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3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שימוש ביחידות המידה החלופיות</w:t>
            </w:r>
          </w:p>
        </w:tc>
        <w:tc>
          <w:tcPr>
            <w:tcW w:w="567" w:type="dxa"/>
          </w:tcPr>
          <w:p w:rsidR="002A349E" w:rsidRPr="002A349E" w:rsidRDefault="002A349E" w:rsidP="002A349E">
            <w:pPr>
              <w:spacing w:line="240" w:lineRule="auto"/>
              <w:jc w:val="left"/>
              <w:rPr>
                <w:rStyle w:val="Hyperlink"/>
                <w:rtl/>
              </w:rPr>
            </w:pPr>
            <w:hyperlink w:anchor="Seif3" w:tooltip="שימוש ביחידות המידה החלופיות"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4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המרה מיחידת מידה לאחרת</w:t>
            </w:r>
          </w:p>
        </w:tc>
        <w:tc>
          <w:tcPr>
            <w:tcW w:w="567" w:type="dxa"/>
          </w:tcPr>
          <w:p w:rsidR="002A349E" w:rsidRPr="002A349E" w:rsidRDefault="002A349E" w:rsidP="002A349E">
            <w:pPr>
              <w:spacing w:line="240" w:lineRule="auto"/>
              <w:jc w:val="left"/>
              <w:rPr>
                <w:rStyle w:val="Hyperlink"/>
                <w:rtl/>
              </w:rPr>
            </w:pPr>
            <w:hyperlink w:anchor="Seif4" w:tooltip="המרה מיחידת מידה לאחרת"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5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מיומנות בהפעלה</w:t>
            </w:r>
          </w:p>
        </w:tc>
        <w:tc>
          <w:tcPr>
            <w:tcW w:w="567" w:type="dxa"/>
          </w:tcPr>
          <w:p w:rsidR="002A349E" w:rsidRPr="002A349E" w:rsidRDefault="002A349E" w:rsidP="002A349E">
            <w:pPr>
              <w:spacing w:line="240" w:lineRule="auto"/>
              <w:jc w:val="left"/>
              <w:rPr>
                <w:rStyle w:val="Hyperlink"/>
                <w:rtl/>
              </w:rPr>
            </w:pPr>
            <w:hyperlink w:anchor="Seif5" w:tooltip="מיומנות בהפעלה"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6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הוראות נספח 5</w:t>
            </w:r>
          </w:p>
        </w:tc>
        <w:tc>
          <w:tcPr>
            <w:tcW w:w="567" w:type="dxa"/>
          </w:tcPr>
          <w:p w:rsidR="002A349E" w:rsidRPr="002A349E" w:rsidRDefault="002A349E" w:rsidP="002A349E">
            <w:pPr>
              <w:spacing w:line="240" w:lineRule="auto"/>
              <w:jc w:val="left"/>
              <w:rPr>
                <w:rStyle w:val="Hyperlink"/>
                <w:rtl/>
              </w:rPr>
            </w:pPr>
            <w:hyperlink w:anchor="Seif6" w:tooltip="הוראות נספח 5"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A349E" w:rsidRPr="002A349E" w:rsidTr="002A349E">
        <w:tblPrEx>
          <w:tblCellMar>
            <w:top w:w="0" w:type="dxa"/>
            <w:bottom w:w="0" w:type="dxa"/>
          </w:tblCellMar>
        </w:tblPrEx>
        <w:tc>
          <w:tcPr>
            <w:tcW w:w="1247" w:type="dxa"/>
          </w:tcPr>
          <w:p w:rsidR="002A349E" w:rsidRPr="002A349E" w:rsidRDefault="002A349E" w:rsidP="002A349E">
            <w:pPr>
              <w:spacing w:line="240" w:lineRule="auto"/>
              <w:jc w:val="left"/>
              <w:rPr>
                <w:rFonts w:cs="Frankruhel"/>
                <w:sz w:val="24"/>
                <w:rtl/>
              </w:rPr>
            </w:pPr>
            <w:r>
              <w:rPr>
                <w:rFonts w:cs="Times New Roman"/>
                <w:sz w:val="24"/>
                <w:rtl/>
              </w:rPr>
              <w:t xml:space="preserve">סעיף 7 </w:t>
            </w:r>
          </w:p>
        </w:tc>
        <w:tc>
          <w:tcPr>
            <w:tcW w:w="5669" w:type="dxa"/>
          </w:tcPr>
          <w:p w:rsidR="002A349E" w:rsidRPr="002A349E" w:rsidRDefault="002A349E" w:rsidP="002A349E">
            <w:pPr>
              <w:spacing w:line="240" w:lineRule="auto"/>
              <w:jc w:val="left"/>
              <w:rPr>
                <w:rFonts w:cs="Frankruhel"/>
                <w:sz w:val="24"/>
                <w:rtl/>
              </w:rPr>
            </w:pPr>
            <w:r>
              <w:rPr>
                <w:rFonts w:cs="Times New Roman"/>
                <w:sz w:val="24"/>
                <w:rtl/>
              </w:rPr>
              <w:t>תחילה</w:t>
            </w:r>
          </w:p>
        </w:tc>
        <w:tc>
          <w:tcPr>
            <w:tcW w:w="567" w:type="dxa"/>
          </w:tcPr>
          <w:p w:rsidR="002A349E" w:rsidRPr="002A349E" w:rsidRDefault="002A349E" w:rsidP="002A349E">
            <w:pPr>
              <w:spacing w:line="240" w:lineRule="auto"/>
              <w:jc w:val="left"/>
              <w:rPr>
                <w:rStyle w:val="Hyperlink"/>
                <w:rtl/>
              </w:rPr>
            </w:pPr>
            <w:hyperlink w:anchor="Seif7" w:tooltip="תחילה" w:history="1">
              <w:r w:rsidRPr="002A349E">
                <w:rPr>
                  <w:rStyle w:val="Hyperlink"/>
                </w:rPr>
                <w:t>Go</w:t>
              </w:r>
            </w:hyperlink>
          </w:p>
        </w:tc>
        <w:tc>
          <w:tcPr>
            <w:tcW w:w="850" w:type="dxa"/>
          </w:tcPr>
          <w:p w:rsidR="002A349E" w:rsidRPr="002A349E" w:rsidRDefault="002A349E" w:rsidP="002A34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7D37F9" w:rsidRDefault="007D37F9">
      <w:pPr>
        <w:pStyle w:val="big-header"/>
        <w:ind w:left="0" w:right="1134"/>
        <w:rPr>
          <w:rtl/>
        </w:rPr>
      </w:pPr>
    </w:p>
    <w:p w:rsidR="007D37F9" w:rsidRDefault="007D37F9" w:rsidP="00844CE7">
      <w:pPr>
        <w:pStyle w:val="big-header"/>
        <w:ind w:left="0" w:right="1134"/>
        <w:rPr>
          <w:rStyle w:val="default"/>
          <w:rFonts w:cs="FrankRuehl" w:hint="cs"/>
          <w:rtl/>
        </w:rPr>
      </w:pPr>
      <w:r>
        <w:rPr>
          <w:rtl/>
        </w:rPr>
        <w:br w:type="page"/>
      </w:r>
      <w:r w:rsidR="00C93F42">
        <w:rPr>
          <w:rtl/>
        </w:rPr>
        <w:lastRenderedPageBreak/>
        <w:t>תקנות הטיס (</w:t>
      </w:r>
      <w:r w:rsidR="00844CE7">
        <w:rPr>
          <w:rFonts w:hint="cs"/>
          <w:rtl/>
        </w:rPr>
        <w:t>יחידות מידה</w:t>
      </w:r>
      <w:r w:rsidR="00C93F42">
        <w:rPr>
          <w:rFonts w:hint="cs"/>
          <w:rtl/>
        </w:rPr>
        <w:t>), תשע"</w:t>
      </w:r>
      <w:r w:rsidR="00844CE7">
        <w:rPr>
          <w:rFonts w:hint="cs"/>
          <w:rtl/>
        </w:rPr>
        <w:t>ו</w:t>
      </w:r>
      <w:r w:rsidR="00C93F42">
        <w:rPr>
          <w:rFonts w:hint="cs"/>
          <w:rtl/>
        </w:rPr>
        <w:t>-201</w:t>
      </w:r>
      <w:r w:rsidR="00844CE7">
        <w:rPr>
          <w:rFonts w:hint="cs"/>
          <w:rtl/>
        </w:rPr>
        <w:t>6</w:t>
      </w:r>
      <w:r>
        <w:rPr>
          <w:rStyle w:val="default"/>
          <w:rtl/>
        </w:rPr>
        <w:footnoteReference w:customMarkFollows="1" w:id="1"/>
        <w:t>*</w:t>
      </w:r>
    </w:p>
    <w:p w:rsidR="007D37F9" w:rsidRDefault="007D37F9" w:rsidP="00844CE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 xml:space="preserve">מכותי לפי סעיף </w:t>
      </w:r>
      <w:r w:rsidR="00844CE7">
        <w:rPr>
          <w:rStyle w:val="default"/>
          <w:rFonts w:cs="FrankRuehl" w:hint="cs"/>
          <w:rtl/>
        </w:rPr>
        <w:t>166</w:t>
      </w:r>
      <w:r w:rsidR="00C93F42">
        <w:rPr>
          <w:rStyle w:val="default"/>
          <w:rFonts w:cs="FrankRuehl" w:hint="cs"/>
          <w:rtl/>
        </w:rPr>
        <w:t xml:space="preserve"> לחוק הטיס, התשע"א-2011 (להלן </w:t>
      </w:r>
      <w:r w:rsidR="00C93F42">
        <w:rPr>
          <w:rStyle w:val="default"/>
          <w:rFonts w:cs="FrankRuehl"/>
          <w:rtl/>
        </w:rPr>
        <w:t>–</w:t>
      </w:r>
      <w:r w:rsidR="00C93F42">
        <w:rPr>
          <w:rStyle w:val="default"/>
          <w:rFonts w:cs="FrankRuehl" w:hint="cs"/>
          <w:rtl/>
        </w:rPr>
        <w:t xml:space="preserve"> החוק), </w:t>
      </w:r>
      <w:r w:rsidR="00844CE7">
        <w:rPr>
          <w:rStyle w:val="default"/>
          <w:rFonts w:cs="FrankRuehl" w:hint="cs"/>
          <w:rtl/>
        </w:rPr>
        <w:t>באותם עניינים שלגביהם אני מוסמך להתקין תקנות לפי סעיפים 46(א) ו-168</w:t>
      </w:r>
      <w:r w:rsidR="00C93F42">
        <w:rPr>
          <w:rStyle w:val="default"/>
          <w:rFonts w:cs="FrankRuehl" w:hint="cs"/>
          <w:rtl/>
        </w:rPr>
        <w:t xml:space="preserve"> לחוק</w:t>
      </w:r>
      <w:r>
        <w:rPr>
          <w:rStyle w:val="default"/>
          <w:rFonts w:cs="FrankRuehl" w:hint="cs"/>
          <w:rtl/>
        </w:rPr>
        <w:t xml:space="preserve">, </w:t>
      </w:r>
      <w:r w:rsidR="00844CE7">
        <w:rPr>
          <w:rStyle w:val="default"/>
          <w:rFonts w:cs="FrankRuehl" w:hint="cs"/>
          <w:rtl/>
        </w:rPr>
        <w:t xml:space="preserve">ובהתאם לסמכות הנתונה בסעיפים כאמור, לפי הצעת רשות התעופה האזרחית לפי סעיף 168(ב) לחוק </w:t>
      </w:r>
      <w:r>
        <w:rPr>
          <w:rStyle w:val="default"/>
          <w:rFonts w:cs="FrankRuehl" w:hint="cs"/>
          <w:rtl/>
        </w:rPr>
        <w:t>אני מתקין תקנות אלה:</w:t>
      </w:r>
    </w:p>
    <w:p w:rsidR="007D37F9" w:rsidRDefault="007D37F9" w:rsidP="00844CE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7D37F9" w:rsidRDefault="007D37F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4F4568">
        <w:rPr>
          <w:rStyle w:val="default"/>
          <w:rFonts w:cs="FrankRuehl"/>
          <w:rtl/>
        </w:rPr>
        <w:t>.</w:t>
      </w:r>
      <w:r w:rsidRPr="004F4568">
        <w:rPr>
          <w:rStyle w:val="default"/>
          <w:rFonts w:cs="FrankRuehl"/>
          <w:rtl/>
        </w:rPr>
        <w:tab/>
      </w:r>
      <w:r>
        <w:rPr>
          <w:rStyle w:val="default"/>
          <w:rFonts w:cs="FrankRuehl"/>
          <w:rtl/>
        </w:rPr>
        <w:t>ב</w:t>
      </w:r>
      <w:r w:rsidR="00C93F42">
        <w:rPr>
          <w:rStyle w:val="default"/>
          <w:rFonts w:cs="FrankRuehl" w:hint="cs"/>
          <w:rtl/>
        </w:rPr>
        <w:t>תקנות אלה</w:t>
      </w:r>
      <w:r w:rsidR="00844CE7">
        <w:rPr>
          <w:rStyle w:val="default"/>
          <w:rFonts w:cs="FrankRuehl" w:hint="cs"/>
          <w:rtl/>
        </w:rPr>
        <w:t xml:space="preserve"> </w:t>
      </w:r>
      <w:r w:rsidR="00844CE7">
        <w:rPr>
          <w:rStyle w:val="default"/>
          <w:rFonts w:cs="FrankRuehl"/>
          <w:rtl/>
        </w:rPr>
        <w:t>–</w:t>
      </w:r>
    </w:p>
    <w:p w:rsidR="00844CE7" w:rsidRDefault="00844CE7" w:rsidP="00844CE7">
      <w:pPr>
        <w:pStyle w:val="P00"/>
        <w:spacing w:before="72"/>
        <w:ind w:left="0" w:right="1134"/>
        <w:rPr>
          <w:rStyle w:val="default"/>
          <w:rFonts w:cs="FrankRuehl" w:hint="cs"/>
          <w:rtl/>
        </w:rPr>
      </w:pPr>
      <w:r>
        <w:rPr>
          <w:rStyle w:val="default"/>
          <w:rFonts w:cs="FrankRuehl" w:hint="cs"/>
          <w:rtl/>
        </w:rPr>
        <w:tab/>
        <w:t>"ביצועי אנוש" ("</w:t>
      </w:r>
      <w:r>
        <w:rPr>
          <w:rStyle w:val="default"/>
          <w:rFonts w:cs="FrankRuehl"/>
        </w:rPr>
        <w:t>Human performance</w:t>
      </w:r>
      <w:r>
        <w:rPr>
          <w:rStyle w:val="default"/>
          <w:rFonts w:cs="FrankRuehl" w:hint="cs"/>
          <w:rtl/>
        </w:rPr>
        <w:t xml:space="preserve">") </w:t>
      </w:r>
      <w:r>
        <w:rPr>
          <w:rStyle w:val="default"/>
          <w:rFonts w:cs="FrankRuehl"/>
          <w:rtl/>
        </w:rPr>
        <w:t>–</w:t>
      </w:r>
      <w:r>
        <w:rPr>
          <w:rStyle w:val="default"/>
          <w:rFonts w:cs="FrankRuehl" w:hint="cs"/>
          <w:rtl/>
        </w:rPr>
        <w:t xml:space="preserve"> יכולות ומגבלות אנושיות שיש להן השפעה על הבטיחות והיעילות בהפעלה אווירית וקרקעית של תעופה אזרחית;</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כל אחד מאלה: בעל רישיון עובד טיס, בעל רישיון להפעלת בית ספר לעובדי טיס, בעל רישיון הפעלה אווירית, בעל רישיון להפעלת יחידת נת"א ובעל רישיון להפעלת שדה תעופה או מנחת, וכל אדם מטעמם;</w:t>
      </w:r>
    </w:p>
    <w:p w:rsidR="00844CE7" w:rsidRDefault="00844CE7" w:rsidP="00844CE7">
      <w:pPr>
        <w:pStyle w:val="P00"/>
        <w:spacing w:before="72"/>
        <w:ind w:left="0" w:right="1134"/>
        <w:rPr>
          <w:rStyle w:val="default"/>
          <w:rFonts w:cs="FrankRuehl" w:hint="cs"/>
          <w:rtl/>
        </w:rPr>
      </w:pPr>
      <w:r>
        <w:rPr>
          <w:rStyle w:val="default"/>
          <w:rFonts w:cs="FrankRuehl" w:hint="cs"/>
          <w:rtl/>
        </w:rPr>
        <w:tab/>
        <w:t>"הפעלה אווירית וקרקעית של תעופה אזרחית" ("</w:t>
      </w:r>
      <w:r>
        <w:rPr>
          <w:rStyle w:val="default"/>
          <w:rFonts w:cs="FrankRuehl"/>
        </w:rPr>
        <w:t>Civil aviation air and ground operations</w:t>
      </w:r>
      <w:r>
        <w:rPr>
          <w:rStyle w:val="default"/>
          <w:rFonts w:cs="FrankRuehl" w:hint="cs"/>
          <w:rtl/>
        </w:rPr>
        <w:t xml:space="preserve">") </w:t>
      </w:r>
      <w:r>
        <w:rPr>
          <w:rStyle w:val="default"/>
          <w:rFonts w:cs="FrankRuehl"/>
          <w:rtl/>
        </w:rPr>
        <w:t>–</w:t>
      </w:r>
      <w:r>
        <w:rPr>
          <w:rStyle w:val="default"/>
          <w:rFonts w:cs="FrankRuehl" w:hint="cs"/>
          <w:rtl/>
        </w:rPr>
        <w:t xml:space="preserve"> מסירת מידע מבעל רישיון לאחר לשם הפעלה של כלי טיס או במהלכה, באוויר או על הקרקע, ומסירת מידע באמצעות מיתקן עזר לטיסה;</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"הטבלה" </w:t>
      </w:r>
      <w:r>
        <w:rPr>
          <w:rStyle w:val="default"/>
          <w:rFonts w:cs="FrankRuehl"/>
          <w:rtl/>
        </w:rPr>
        <w:t>–</w:t>
      </w:r>
      <w:r>
        <w:rPr>
          <w:rStyle w:val="default"/>
          <w:rFonts w:cs="FrankRuehl" w:hint="cs"/>
          <w:rtl/>
        </w:rPr>
        <w:t xml:space="preserve"> הטבלה שעניינה "</w:t>
      </w:r>
      <w:r>
        <w:rPr>
          <w:rStyle w:val="default"/>
          <w:rFonts w:cs="FrankRuehl"/>
        </w:rPr>
        <w:t>Standard application of specific units of measurement</w:t>
      </w:r>
      <w:r>
        <w:rPr>
          <w:rStyle w:val="default"/>
          <w:rFonts w:cs="FrankRuehl" w:hint="cs"/>
          <w:rtl/>
        </w:rPr>
        <w:t>" שבנספח 5;</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"יחידות המידה החלופיות" </w:t>
      </w:r>
      <w:r>
        <w:rPr>
          <w:rStyle w:val="default"/>
          <w:rFonts w:cs="FrankRuehl"/>
          <w:rtl/>
        </w:rPr>
        <w:t>–</w:t>
      </w:r>
      <w:r>
        <w:rPr>
          <w:rStyle w:val="default"/>
          <w:rFonts w:cs="FrankRuehl" w:hint="cs"/>
          <w:rtl/>
        </w:rPr>
        <w:t xml:space="preserve"> יחידות המידה החלופיות ליחידות המידה התקניות, המפורטות בעמודה שכותרתה "</w:t>
      </w:r>
      <w:r>
        <w:rPr>
          <w:rStyle w:val="default"/>
          <w:rFonts w:cs="FrankRuehl"/>
        </w:rPr>
        <w:t>Non-SI alternative unit</w:t>
      </w:r>
      <w:r>
        <w:rPr>
          <w:rStyle w:val="default"/>
          <w:rFonts w:cs="FrankRuehl" w:hint="cs"/>
          <w:rtl/>
        </w:rPr>
        <w:t>", בטבלה;</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"יחידות המידה התקניות" </w:t>
      </w:r>
      <w:r>
        <w:rPr>
          <w:rStyle w:val="default"/>
          <w:rFonts w:cs="FrankRuehl"/>
          <w:rtl/>
        </w:rPr>
        <w:t>–</w:t>
      </w:r>
      <w:r>
        <w:rPr>
          <w:rStyle w:val="default"/>
          <w:rFonts w:cs="FrankRuehl" w:hint="cs"/>
          <w:rtl/>
        </w:rPr>
        <w:t xml:space="preserve"> יחידות המידה התקניות, המפורטות בעמודה שכותרתה "</w:t>
      </w:r>
      <w:r>
        <w:rPr>
          <w:rStyle w:val="default"/>
          <w:rFonts w:cs="FrankRuehl"/>
        </w:rPr>
        <w:t>Primary unit</w:t>
      </w:r>
      <w:r>
        <w:rPr>
          <w:rStyle w:val="default"/>
          <w:rFonts w:cs="FrankRuehl" w:hint="cs"/>
          <w:rtl/>
        </w:rPr>
        <w:t>", בטבלה;</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"נספח 5" </w:t>
      </w:r>
      <w:r>
        <w:rPr>
          <w:rStyle w:val="default"/>
          <w:rFonts w:cs="FrankRuehl"/>
          <w:rtl/>
        </w:rPr>
        <w:t>–</w:t>
      </w:r>
      <w:r>
        <w:rPr>
          <w:rStyle w:val="default"/>
          <w:rFonts w:cs="FrankRuehl" w:hint="cs"/>
          <w:rtl/>
        </w:rPr>
        <w:t xml:space="preserve"> נספח 5 לאמנה, שעניינו "</w:t>
      </w:r>
      <w:r>
        <w:rPr>
          <w:rStyle w:val="default"/>
          <w:rFonts w:cs="FrankRuehl"/>
        </w:rPr>
        <w:t>Units of measurement to be used in air and ground operations</w:t>
      </w:r>
      <w:r>
        <w:rPr>
          <w:rStyle w:val="default"/>
          <w:rFonts w:cs="FrankRuehl" w:hint="cs"/>
          <w:rtl/>
        </w:rPr>
        <w:t>", ובכלל זה ההגדרות, אמות המידה (</w:t>
      </w:r>
      <w:r>
        <w:rPr>
          <w:rStyle w:val="default"/>
          <w:rFonts w:cs="FrankRuehl"/>
        </w:rPr>
        <w:t>Standards</w:t>
      </w:r>
      <w:r>
        <w:rPr>
          <w:rStyle w:val="default"/>
          <w:rFonts w:cs="FrankRuehl" w:hint="cs"/>
          <w:rtl/>
        </w:rPr>
        <w:t>), ההמלצות (</w:t>
      </w:r>
      <w:r>
        <w:rPr>
          <w:rStyle w:val="default"/>
          <w:rFonts w:cs="FrankRuehl"/>
        </w:rPr>
        <w:t>Recommendations</w:t>
      </w:r>
      <w:r>
        <w:rPr>
          <w:rStyle w:val="default"/>
          <w:rFonts w:cs="FrankRuehl" w:hint="cs"/>
          <w:rtl/>
        </w:rPr>
        <w:t>) הקבועים בו וצרופותיו (</w:t>
      </w:r>
      <w:r>
        <w:rPr>
          <w:rStyle w:val="default"/>
          <w:rFonts w:cs="FrankRuehl"/>
        </w:rPr>
        <w:t>Attachments</w:t>
      </w:r>
      <w:r>
        <w:rPr>
          <w:rStyle w:val="default"/>
          <w:rFonts w:cs="FrankRuehl" w:hint="cs"/>
          <w:rtl/>
        </w:rPr>
        <w:t>), למעט הפרק שעניינו "ישימות" (</w:t>
      </w:r>
      <w:r>
        <w:rPr>
          <w:rStyle w:val="default"/>
          <w:rFonts w:cs="FrankRuehl"/>
        </w:rPr>
        <w:t>Applicability</w:t>
      </w:r>
      <w:r>
        <w:rPr>
          <w:rStyle w:val="default"/>
          <w:rFonts w:cs="FrankRuehl" w:hint="cs"/>
          <w:rtl/>
        </w:rPr>
        <w:t>);</w:t>
      </w:r>
    </w:p>
    <w:p w:rsidR="00844CE7" w:rsidRDefault="00844CE7" w:rsidP="00844CE7">
      <w:pPr>
        <w:pStyle w:val="P00"/>
        <w:spacing w:before="72"/>
        <w:ind w:left="0" w:right="1134"/>
        <w:rPr>
          <w:rStyle w:val="default"/>
          <w:rFonts w:cs="FrankRuehl" w:hint="cs"/>
          <w:rtl/>
        </w:rPr>
      </w:pPr>
      <w:r>
        <w:rPr>
          <w:rStyle w:val="default"/>
          <w:rFonts w:cs="FrankRuehl" w:hint="cs"/>
          <w:rtl/>
        </w:rPr>
        <w:tab/>
        <w:t xml:space="preserve">"עניינים מדידים" </w:t>
      </w:r>
      <w:r>
        <w:rPr>
          <w:rStyle w:val="default"/>
          <w:rFonts w:cs="FrankRuehl"/>
          <w:rtl/>
        </w:rPr>
        <w:t>–</w:t>
      </w:r>
      <w:r>
        <w:rPr>
          <w:rStyle w:val="default"/>
          <w:rFonts w:cs="FrankRuehl" w:hint="cs"/>
          <w:rtl/>
        </w:rPr>
        <w:t xml:space="preserve"> העניינים המפורטים בעמודה שכותרתה "</w:t>
      </w:r>
      <w:r>
        <w:rPr>
          <w:rStyle w:val="default"/>
          <w:rFonts w:cs="FrankRuehl"/>
        </w:rPr>
        <w:t>Quantity</w:t>
      </w:r>
      <w:r>
        <w:rPr>
          <w:rStyle w:val="default"/>
          <w:rFonts w:cs="FrankRuehl" w:hint="cs"/>
          <w:rtl/>
        </w:rPr>
        <w:t>" בטבלה.</w:t>
      </w:r>
    </w:p>
    <w:p w:rsidR="007D37F9" w:rsidRDefault="007D37F9" w:rsidP="004F4568">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8.85pt;z-index:251655680" o:allowincell="f" filled="f" stroked="f" strokecolor="lime" strokeweight=".25pt">
            <v:textbox inset="0,0,0,0">
              <w:txbxContent>
                <w:p w:rsidR="007D37F9" w:rsidRDefault="004F4568">
                  <w:pPr>
                    <w:spacing w:line="160" w:lineRule="exact"/>
                    <w:jc w:val="left"/>
                    <w:rPr>
                      <w:rFonts w:cs="Miriam" w:hint="cs"/>
                      <w:noProof/>
                      <w:szCs w:val="18"/>
                      <w:rtl/>
                    </w:rPr>
                  </w:pPr>
                  <w:r>
                    <w:rPr>
                      <w:rFonts w:cs="Miriam" w:hint="cs"/>
                      <w:szCs w:val="18"/>
                      <w:rtl/>
                    </w:rPr>
                    <w:t>שימוש ביחידות המידה התקניות</w:t>
                  </w:r>
                </w:p>
              </w:txbxContent>
            </v:textbox>
            <w10:anchorlock/>
          </v:rect>
        </w:pict>
      </w:r>
      <w:r>
        <w:rPr>
          <w:rStyle w:val="big-number"/>
          <w:rtl/>
        </w:rPr>
        <w:t>2</w:t>
      </w:r>
      <w:r w:rsidRPr="004F4568">
        <w:rPr>
          <w:rStyle w:val="default"/>
          <w:rFonts w:cs="FrankRuehl"/>
          <w:rtl/>
        </w:rPr>
        <w:t>.</w:t>
      </w:r>
      <w:r w:rsidRPr="004F456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F4568">
        <w:rPr>
          <w:rStyle w:val="default"/>
          <w:rFonts w:cs="FrankRuehl" w:hint="cs"/>
          <w:rtl/>
        </w:rPr>
        <w:t>בהפעלה אווירית וקרקעית של תעופה אזרחית, לגבי עניינים מדידים, ישתמש בעל רישיון ביחידות המידה התקניות, לפי הוראות נספח 5.</w:t>
      </w:r>
    </w:p>
    <w:p w:rsidR="004F4568" w:rsidRDefault="004F4568" w:rsidP="004F45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לגבי ראות (</w:t>
      </w:r>
      <w:r>
        <w:rPr>
          <w:rStyle w:val="default"/>
          <w:rFonts w:cs="FrankRuehl"/>
        </w:rPr>
        <w:t>Visibility</w:t>
      </w:r>
      <w:r>
        <w:rPr>
          <w:rStyle w:val="default"/>
          <w:rFonts w:cs="FrankRuehl" w:hint="cs"/>
          <w:rtl/>
        </w:rPr>
        <w:t>) למרחק קטן מ-5 קילומטרים, יכול שייעשה שימוש גם במטרים.</w:t>
      </w:r>
    </w:p>
    <w:p w:rsidR="007D37F9" w:rsidRDefault="007D37F9" w:rsidP="004F4568">
      <w:pPr>
        <w:pStyle w:val="P00"/>
        <w:spacing w:before="72"/>
        <w:ind w:left="0" w:right="1134"/>
        <w:rPr>
          <w:rStyle w:val="default"/>
          <w:rFonts w:cs="FrankRuehl" w:hint="cs"/>
          <w:rtl/>
        </w:rPr>
      </w:pPr>
      <w:bookmarkStart w:id="2" w:name="Seif3"/>
      <w:bookmarkEnd w:id="2"/>
      <w:r>
        <w:rPr>
          <w:lang w:val="he-IL"/>
        </w:rPr>
        <w:pict>
          <v:rect id="_x0000_s1030" style="position:absolute;left:0;text-align:left;margin-left:464.5pt;margin-top:8.05pt;width:75.05pt;height:17.9pt;z-index:251656704" o:allowincell="f" filled="f" stroked="f" strokecolor="lime" strokeweight=".25pt">
            <v:textbox inset="0,0,0,0">
              <w:txbxContent>
                <w:p w:rsidR="007D37F9" w:rsidRDefault="004F4568">
                  <w:pPr>
                    <w:spacing w:line="160" w:lineRule="exact"/>
                    <w:jc w:val="left"/>
                    <w:rPr>
                      <w:rFonts w:cs="Miriam" w:hint="cs"/>
                      <w:noProof/>
                      <w:szCs w:val="18"/>
                      <w:rtl/>
                    </w:rPr>
                  </w:pPr>
                  <w:r>
                    <w:rPr>
                      <w:rFonts w:cs="Miriam" w:hint="cs"/>
                      <w:szCs w:val="18"/>
                      <w:rtl/>
                    </w:rPr>
                    <w:t>שימוש ביחידות המידה החלופיות</w:t>
                  </w:r>
                </w:p>
              </w:txbxContent>
            </v:textbox>
            <w10:anchorlock/>
          </v:rect>
        </w:pict>
      </w:r>
      <w:r>
        <w:rPr>
          <w:rStyle w:val="big-number"/>
          <w:rtl/>
        </w:rPr>
        <w:t>3</w:t>
      </w:r>
      <w:r w:rsidRPr="00844CE7">
        <w:rPr>
          <w:rStyle w:val="default"/>
          <w:rFonts w:cs="FrankRuehl"/>
          <w:rtl/>
        </w:rPr>
        <w:t>.</w:t>
      </w:r>
      <w:r w:rsidRPr="00844CE7">
        <w:rPr>
          <w:rStyle w:val="default"/>
          <w:rFonts w:cs="FrankRuehl"/>
          <w:rtl/>
        </w:rPr>
        <w:tab/>
      </w:r>
      <w:r w:rsidR="004F4568">
        <w:rPr>
          <w:rStyle w:val="default"/>
          <w:rFonts w:cs="FrankRuehl" w:hint="cs"/>
          <w:rtl/>
        </w:rPr>
        <w:t xml:space="preserve">על אף האמור בתקנה 2(א) </w:t>
      </w:r>
      <w:r w:rsidR="004F4568">
        <w:rPr>
          <w:rStyle w:val="default"/>
          <w:rFonts w:cs="FrankRuehl"/>
          <w:rtl/>
        </w:rPr>
        <w:t>–</w:t>
      </w:r>
    </w:p>
    <w:p w:rsidR="004F4568" w:rsidRDefault="004F4568" w:rsidP="004F45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בהפעלה אווירית וקרקעית של תעופה אזרחית, לגבי העניינים המדידים שיפורטו להלן, ישתמש בעל רישיון ביחידות המידה החלופיות, לפי נספח 5:</w:t>
      </w:r>
    </w:p>
    <w:p w:rsidR="004F4568" w:rsidRDefault="004F4568" w:rsidP="009A252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גובה טיסה (</w:t>
      </w:r>
      <w:r>
        <w:rPr>
          <w:rStyle w:val="default"/>
          <w:rFonts w:cs="FrankRuehl"/>
        </w:rPr>
        <w:t>altitude</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גובה מעל פני הים הממוצעים (</w:t>
      </w:r>
      <w:r>
        <w:rPr>
          <w:rStyle w:val="default"/>
          <w:rFonts w:cs="FrankRuehl"/>
        </w:rPr>
        <w:t>elevation</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גובה מעל פני השטח (</w:t>
      </w:r>
      <w:r>
        <w:rPr>
          <w:rStyle w:val="default"/>
          <w:rFonts w:cs="FrankRuehl"/>
        </w:rPr>
        <w:t>height</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מהירות אווירית (</w:t>
      </w:r>
      <w:r>
        <w:rPr>
          <w:rStyle w:val="default"/>
          <w:rFonts w:cs="FrankRuehl"/>
        </w:rPr>
        <w:t>airspeed</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מהירות קרקעית (</w:t>
      </w:r>
      <w:r>
        <w:rPr>
          <w:rStyle w:val="default"/>
          <w:rFonts w:cs="FrankRuehl"/>
        </w:rPr>
        <w:t>ground speed</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מהירות הרוח (</w:t>
      </w:r>
      <w:r>
        <w:rPr>
          <w:rStyle w:val="default"/>
          <w:rFonts w:cs="FrankRuehl"/>
        </w:rPr>
        <w:t>wind speed</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מהירות אנכית (</w:t>
      </w:r>
      <w:r>
        <w:rPr>
          <w:rStyle w:val="default"/>
          <w:rFonts w:cs="FrankRuehl"/>
        </w:rPr>
        <w:t>vertical speed</w:t>
      </w:r>
      <w:r>
        <w:rPr>
          <w:rStyle w:val="default"/>
          <w:rFonts w:cs="FrankRuehl" w:hint="cs"/>
          <w:rtl/>
        </w:rPr>
        <w:t>);</w:t>
      </w:r>
    </w:p>
    <w:p w:rsidR="004F4568" w:rsidRDefault="004F4568" w:rsidP="009A2528">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מרחק (ארוך), (</w:t>
      </w:r>
      <w:r>
        <w:rPr>
          <w:rStyle w:val="default"/>
          <w:rFonts w:cs="FrankRuehl"/>
        </w:rPr>
        <w:t>distance (long)</w:t>
      </w:r>
      <w:r>
        <w:rPr>
          <w:rStyle w:val="default"/>
          <w:rFonts w:cs="FrankRuehl" w:hint="cs"/>
          <w:rtl/>
        </w:rPr>
        <w:t xml:space="preserve">); לעניין זה, "מרחק (ארוך)" </w:t>
      </w:r>
      <w:r>
        <w:rPr>
          <w:rStyle w:val="default"/>
          <w:rFonts w:cs="FrankRuehl"/>
          <w:rtl/>
        </w:rPr>
        <w:t>–</w:t>
      </w:r>
      <w:r>
        <w:rPr>
          <w:rStyle w:val="default"/>
          <w:rFonts w:cs="FrankRuehl" w:hint="cs"/>
          <w:rtl/>
        </w:rPr>
        <w:t xml:space="preserve"> מרחק העולה על 4,000 מטרים;</w:t>
      </w:r>
    </w:p>
    <w:p w:rsidR="004F4568" w:rsidRDefault="004F4568" w:rsidP="004F4568">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נוסף על האמור</w:t>
      </w:r>
      <w:r w:rsidR="009A2528">
        <w:rPr>
          <w:rStyle w:val="default"/>
          <w:rFonts w:cs="FrankRuehl" w:hint="cs"/>
          <w:rtl/>
        </w:rPr>
        <w:t xml:space="preserve"> בפסקה (1)(ד), לגבי מהירות אווירית יכול שייעשה שימוש גם במספר מאך (</w:t>
      </w:r>
      <w:r w:rsidR="009A2528">
        <w:rPr>
          <w:rStyle w:val="default"/>
          <w:rFonts w:cs="FrankRuehl"/>
        </w:rPr>
        <w:t>MACH Number</w:t>
      </w:r>
      <w:r w:rsidR="009A2528">
        <w:rPr>
          <w:rStyle w:val="default"/>
          <w:rFonts w:cs="FrankRuehl" w:hint="cs"/>
          <w:rtl/>
        </w:rPr>
        <w:t>);</w:t>
      </w:r>
    </w:p>
    <w:p w:rsidR="009A2528" w:rsidRDefault="009A2528" w:rsidP="004F45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נוסף על אף האמור בפסקה (1)(ח), לגבי מרחק (ארוך) יכול שייעשה שימוש גם במטרים.</w:t>
      </w:r>
    </w:p>
    <w:p w:rsidR="00844CE7" w:rsidRDefault="00844CE7" w:rsidP="00D0179D">
      <w:pPr>
        <w:pStyle w:val="P00"/>
        <w:spacing w:before="72"/>
        <w:ind w:left="0" w:right="1134"/>
        <w:rPr>
          <w:rStyle w:val="default"/>
          <w:rFonts w:cs="FrankRuehl" w:hint="cs"/>
          <w:rtl/>
        </w:rPr>
      </w:pPr>
      <w:bookmarkStart w:id="3" w:name="Seif4"/>
      <w:bookmarkEnd w:id="3"/>
      <w:r>
        <w:rPr>
          <w:lang w:val="he-IL"/>
        </w:rPr>
        <w:pict>
          <v:rect id="_x0000_s1071" style="position:absolute;left:0;text-align:left;margin-left:464.5pt;margin-top:8.05pt;width:75.05pt;height:20.75pt;z-index:251657728" o:allowincell="f" filled="f" stroked="f" strokecolor="lime" strokeweight=".25pt">
            <v:textbox inset="0,0,0,0">
              <w:txbxContent>
                <w:p w:rsidR="00844CE7" w:rsidRDefault="00D0179D" w:rsidP="00844CE7">
                  <w:pPr>
                    <w:spacing w:line="160" w:lineRule="exact"/>
                    <w:jc w:val="left"/>
                    <w:rPr>
                      <w:rFonts w:cs="Miriam" w:hint="cs"/>
                      <w:noProof/>
                      <w:szCs w:val="18"/>
                      <w:rtl/>
                    </w:rPr>
                  </w:pPr>
                  <w:r>
                    <w:rPr>
                      <w:rFonts w:cs="Miriam" w:hint="cs"/>
                      <w:szCs w:val="18"/>
                      <w:rtl/>
                    </w:rPr>
                    <w:t>המרה מיחידת מידה לאחרת</w:t>
                  </w:r>
                </w:p>
              </w:txbxContent>
            </v:textbox>
            <w10:anchorlock/>
          </v:rect>
        </w:pict>
      </w:r>
      <w:r w:rsidR="009A2528">
        <w:rPr>
          <w:rStyle w:val="big-number"/>
          <w:rFonts w:hint="cs"/>
          <w:rtl/>
        </w:rPr>
        <w:t>4</w:t>
      </w:r>
      <w:r w:rsidRPr="00844CE7">
        <w:rPr>
          <w:rStyle w:val="default"/>
          <w:rFonts w:cs="FrankRuehl"/>
          <w:rtl/>
        </w:rPr>
        <w:t>.</w:t>
      </w:r>
      <w:r w:rsidRPr="00844CE7">
        <w:rPr>
          <w:rStyle w:val="default"/>
          <w:rFonts w:cs="FrankRuehl"/>
          <w:rtl/>
        </w:rPr>
        <w:tab/>
      </w:r>
      <w:r w:rsidR="00D0179D">
        <w:rPr>
          <w:rStyle w:val="default"/>
          <w:rFonts w:cs="FrankRuehl" w:hint="cs"/>
          <w:rtl/>
        </w:rPr>
        <w:t>בעל רישיון המבקש להמיר מידע שבידיו, לצורך שימוש בהפעלה אווירית וקרקעית של תעופה אזרחית ליחידות המידה התקניות או מיחידות המידה התקניות, יעשה כן לפי הוראות הצרופה השלישית (</w:t>
      </w:r>
      <w:r w:rsidR="00D0179D">
        <w:rPr>
          <w:rStyle w:val="default"/>
          <w:rFonts w:cs="FrankRuehl"/>
        </w:rPr>
        <w:t>Attachment C</w:t>
      </w:r>
      <w:r w:rsidR="00D0179D">
        <w:rPr>
          <w:rStyle w:val="default"/>
          <w:rFonts w:cs="FrankRuehl" w:hint="cs"/>
          <w:rtl/>
        </w:rPr>
        <w:t>) לנספח 5, שעניינה "</w:t>
      </w:r>
      <w:r w:rsidR="00D0179D">
        <w:rPr>
          <w:rStyle w:val="default"/>
          <w:rFonts w:cs="FrankRuehl"/>
        </w:rPr>
        <w:t>Conversion factors</w:t>
      </w:r>
      <w:r w:rsidR="00D0179D">
        <w:rPr>
          <w:rStyle w:val="default"/>
          <w:rFonts w:cs="FrankRuehl" w:hint="cs"/>
          <w:rtl/>
        </w:rPr>
        <w:t>", ובכלל זה לעניין גורמי ההמרה (</w:t>
      </w:r>
      <w:r w:rsidR="00D0179D">
        <w:rPr>
          <w:rStyle w:val="default"/>
          <w:rFonts w:cs="FrankRuehl"/>
        </w:rPr>
        <w:t>Conversion factors</w:t>
      </w:r>
      <w:r w:rsidR="00D0179D">
        <w:rPr>
          <w:rStyle w:val="default"/>
          <w:rFonts w:cs="FrankRuehl" w:hint="cs"/>
          <w:rtl/>
        </w:rPr>
        <w:t>) ולעניין הנוסחאות להמרת טמפרטורה (</w:t>
      </w:r>
      <w:r w:rsidR="00D0179D">
        <w:rPr>
          <w:rStyle w:val="default"/>
          <w:rFonts w:cs="FrankRuehl"/>
        </w:rPr>
        <w:t>Temperature conversion formulae</w:t>
      </w:r>
      <w:r w:rsidR="00D0179D">
        <w:rPr>
          <w:rStyle w:val="default"/>
          <w:rFonts w:cs="FrankRuehl" w:hint="cs"/>
          <w:rtl/>
        </w:rPr>
        <w:t>), המפורטים שם.</w:t>
      </w:r>
    </w:p>
    <w:p w:rsidR="00844CE7" w:rsidRDefault="00844CE7" w:rsidP="00D0179D">
      <w:pPr>
        <w:pStyle w:val="P00"/>
        <w:spacing w:before="72"/>
        <w:ind w:left="0" w:right="1134"/>
        <w:rPr>
          <w:rStyle w:val="default"/>
          <w:rFonts w:cs="FrankRuehl" w:hint="cs"/>
          <w:rtl/>
        </w:rPr>
      </w:pPr>
      <w:bookmarkStart w:id="4" w:name="Seif5"/>
      <w:bookmarkEnd w:id="4"/>
      <w:r>
        <w:rPr>
          <w:lang w:val="he-IL"/>
        </w:rPr>
        <w:pict>
          <v:rect id="_x0000_s1072" style="position:absolute;left:0;text-align:left;margin-left:464.5pt;margin-top:8.05pt;width:75.05pt;height:13.55pt;z-index:251658752" o:allowincell="f" filled="f" stroked="f" strokecolor="lime" strokeweight=".25pt">
            <v:textbox inset="0,0,0,0">
              <w:txbxContent>
                <w:p w:rsidR="00844CE7" w:rsidRDefault="00D0179D" w:rsidP="00844CE7">
                  <w:pPr>
                    <w:spacing w:line="160" w:lineRule="exact"/>
                    <w:jc w:val="left"/>
                    <w:rPr>
                      <w:rFonts w:cs="Miriam" w:hint="cs"/>
                      <w:noProof/>
                      <w:szCs w:val="18"/>
                      <w:rtl/>
                    </w:rPr>
                  </w:pPr>
                  <w:r>
                    <w:rPr>
                      <w:rFonts w:cs="Miriam" w:hint="cs"/>
                      <w:szCs w:val="18"/>
                      <w:rtl/>
                    </w:rPr>
                    <w:t>מיומנות בהפעלה</w:t>
                  </w:r>
                </w:p>
              </w:txbxContent>
            </v:textbox>
            <w10:anchorlock/>
          </v:rect>
        </w:pict>
      </w:r>
      <w:r w:rsidR="00D0179D">
        <w:rPr>
          <w:rStyle w:val="big-number"/>
          <w:rFonts w:hint="cs"/>
          <w:rtl/>
        </w:rPr>
        <w:t>5</w:t>
      </w:r>
      <w:r w:rsidRPr="00844CE7">
        <w:rPr>
          <w:rStyle w:val="default"/>
          <w:rFonts w:cs="FrankRuehl"/>
          <w:rtl/>
        </w:rPr>
        <w:t>.</w:t>
      </w:r>
      <w:r w:rsidRPr="00844CE7">
        <w:rPr>
          <w:rStyle w:val="default"/>
          <w:rFonts w:cs="FrankRuehl"/>
          <w:rtl/>
        </w:rPr>
        <w:tab/>
      </w:r>
      <w:r w:rsidR="00D0179D">
        <w:rPr>
          <w:rStyle w:val="default"/>
          <w:rFonts w:cs="FrankRuehl" w:hint="cs"/>
          <w:rtl/>
        </w:rPr>
        <w:t xml:space="preserve">לא יבצע בעל רישיון הפעלה אווירית וקרקעית של תעופה אזרחית בסביבה שבה נעשה שימוש ביחידות המידה התקניות, בסביבה שבה נעשה שימוש ביחידות המידה החלופיות או כאשר נדרש מעבר משימוש ביחידות מידה מסוג אחד לשימוש ביחידות מידה מסוג אחר, </w:t>
      </w:r>
      <w:r w:rsidR="006B6170">
        <w:rPr>
          <w:rStyle w:val="default"/>
          <w:rFonts w:cs="FrankRuehl" w:hint="cs"/>
          <w:rtl/>
        </w:rPr>
        <w:t>אלא אם כן הוא מיומן בשימוש ביחידות המידה כאמור או במעבר בשימוש ביניהן, בשים לב, בין השאר, לביצועי אנוש; מיומנות כאמור יכול שתירכש באמצעות למידה, קביעת נהלים מתאימים או אימון, לפי סוג הרישיון שבידי בעל הרישיון ומאפייני ההפעלה שבה הוא מעורב.</w:t>
      </w:r>
    </w:p>
    <w:p w:rsidR="00844CE7" w:rsidRDefault="00844CE7" w:rsidP="006B6170">
      <w:pPr>
        <w:pStyle w:val="P00"/>
        <w:spacing w:before="72"/>
        <w:ind w:left="0" w:right="1134"/>
        <w:rPr>
          <w:rStyle w:val="default"/>
          <w:rFonts w:cs="FrankRuehl" w:hint="cs"/>
          <w:rtl/>
        </w:rPr>
      </w:pPr>
      <w:bookmarkStart w:id="5" w:name="Seif6"/>
      <w:bookmarkEnd w:id="5"/>
      <w:r>
        <w:rPr>
          <w:lang w:val="he-IL"/>
        </w:rPr>
        <w:pict>
          <v:rect id="_x0000_s1073" style="position:absolute;left:0;text-align:left;margin-left:464.5pt;margin-top:8.05pt;width:75.05pt;height:13.55pt;z-index:251659776" o:allowincell="f" filled="f" stroked="f" strokecolor="lime" strokeweight=".25pt">
            <v:textbox inset="0,0,0,0">
              <w:txbxContent>
                <w:p w:rsidR="00844CE7" w:rsidRDefault="006B6170" w:rsidP="00844CE7">
                  <w:pPr>
                    <w:spacing w:line="160" w:lineRule="exact"/>
                    <w:jc w:val="left"/>
                    <w:rPr>
                      <w:rFonts w:cs="Miriam" w:hint="cs"/>
                      <w:noProof/>
                      <w:szCs w:val="18"/>
                      <w:rtl/>
                    </w:rPr>
                  </w:pPr>
                  <w:r>
                    <w:rPr>
                      <w:rFonts w:cs="Miriam" w:hint="cs"/>
                      <w:szCs w:val="18"/>
                      <w:rtl/>
                    </w:rPr>
                    <w:t>הוראות נספח 5</w:t>
                  </w:r>
                </w:p>
              </w:txbxContent>
            </v:textbox>
            <w10:anchorlock/>
          </v:rect>
        </w:pict>
      </w:r>
      <w:r w:rsidR="006B6170">
        <w:rPr>
          <w:rStyle w:val="big-number"/>
          <w:rFonts w:hint="cs"/>
          <w:rtl/>
        </w:rPr>
        <w:t>6</w:t>
      </w:r>
      <w:r w:rsidRPr="00844CE7">
        <w:rPr>
          <w:rStyle w:val="default"/>
          <w:rFonts w:cs="FrankRuehl"/>
          <w:rtl/>
        </w:rPr>
        <w:t>.</w:t>
      </w:r>
      <w:r w:rsidRPr="00844CE7">
        <w:rPr>
          <w:rStyle w:val="default"/>
          <w:rFonts w:cs="FrankRuehl"/>
          <w:rtl/>
        </w:rPr>
        <w:tab/>
      </w:r>
      <w:r w:rsidR="006B6170">
        <w:rPr>
          <w:rStyle w:val="default"/>
          <w:rFonts w:cs="FrankRuehl" w:hint="cs"/>
          <w:rtl/>
        </w:rPr>
        <w:t>(א)</w:t>
      </w:r>
      <w:r w:rsidR="006B6170">
        <w:rPr>
          <w:rStyle w:val="default"/>
          <w:rFonts w:cs="FrankRuehl" w:hint="cs"/>
          <w:rtl/>
        </w:rPr>
        <w:tab/>
        <w:t xml:space="preserve">שונתה הוראה בנספח 5 </w:t>
      </w:r>
      <w:r w:rsidR="006B6170">
        <w:rPr>
          <w:rStyle w:val="default"/>
          <w:rFonts w:cs="FrankRuehl"/>
          <w:rtl/>
        </w:rPr>
        <w:t>–</w:t>
      </w:r>
    </w:p>
    <w:p w:rsidR="006B6170" w:rsidRDefault="006B6170" w:rsidP="006B61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יפרסם המנהל, ברשומות ובאתר האינטרנט של הרשות, הודעה לציבור על שינוי אותה הוראה, בציון מספרה ומועד תחילתו של השינוי בישראל;</w:t>
      </w:r>
    </w:p>
    <w:p w:rsidR="006B6170" w:rsidRDefault="006B6170" w:rsidP="006B61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התחילה של שינוי כאמור לא יהיה אלא לאחר שחלפו ארבעה עשר ימים לפחות מיום הפרסום האמור בפסקה (1), אלא אם כן הורה המנהל, בהחלטה מנומקת, על תקופה קצרה יותר, ובלבד שזו לא תפחת משלושה ימים מיום הפרסום כאמור; הורה המנהל על תקופה קצרה כאמור, תפורסם הוראתו בפרסום כאמור בפסקה (1).</w:t>
      </w:r>
    </w:p>
    <w:p w:rsidR="006B6170" w:rsidRDefault="006B6170" w:rsidP="006B61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נספח 5 בנוסחו העדכני יעמוד לעיון הציבור במשרדי הרשות.</w:t>
      </w:r>
    </w:p>
    <w:p w:rsidR="00844CE7" w:rsidRDefault="00844CE7" w:rsidP="006B6170">
      <w:pPr>
        <w:pStyle w:val="P00"/>
        <w:spacing w:before="72"/>
        <w:ind w:left="0" w:right="1134"/>
        <w:rPr>
          <w:rStyle w:val="default"/>
          <w:rFonts w:cs="FrankRuehl" w:hint="cs"/>
          <w:rtl/>
        </w:rPr>
      </w:pPr>
      <w:bookmarkStart w:id="6" w:name="Seif7"/>
      <w:bookmarkEnd w:id="6"/>
      <w:r>
        <w:rPr>
          <w:lang w:val="he-IL"/>
        </w:rPr>
        <w:pict>
          <v:rect id="_x0000_s1074" style="position:absolute;left:0;text-align:left;margin-left:464.5pt;margin-top:8.05pt;width:75.05pt;height:13.55pt;z-index:251660800" o:allowincell="f" filled="f" stroked="f" strokecolor="lime" strokeweight=".25pt">
            <v:textbox inset="0,0,0,0">
              <w:txbxContent>
                <w:p w:rsidR="00844CE7" w:rsidRDefault="006B6170" w:rsidP="00844CE7">
                  <w:pPr>
                    <w:spacing w:line="160" w:lineRule="exact"/>
                    <w:jc w:val="left"/>
                    <w:rPr>
                      <w:rFonts w:cs="Miriam" w:hint="cs"/>
                      <w:noProof/>
                      <w:szCs w:val="18"/>
                      <w:rtl/>
                    </w:rPr>
                  </w:pPr>
                  <w:r>
                    <w:rPr>
                      <w:rFonts w:cs="Miriam" w:hint="cs"/>
                      <w:szCs w:val="18"/>
                      <w:rtl/>
                    </w:rPr>
                    <w:t>תחילה</w:t>
                  </w:r>
                </w:p>
              </w:txbxContent>
            </v:textbox>
            <w10:anchorlock/>
          </v:rect>
        </w:pict>
      </w:r>
      <w:r w:rsidR="006B6170">
        <w:rPr>
          <w:rStyle w:val="big-number"/>
          <w:rFonts w:hint="cs"/>
          <w:rtl/>
        </w:rPr>
        <w:t>7</w:t>
      </w:r>
      <w:r w:rsidRPr="00844CE7">
        <w:rPr>
          <w:rStyle w:val="default"/>
          <w:rFonts w:cs="FrankRuehl"/>
          <w:rtl/>
        </w:rPr>
        <w:t>.</w:t>
      </w:r>
      <w:r w:rsidRPr="00844CE7">
        <w:rPr>
          <w:rStyle w:val="default"/>
          <w:rFonts w:cs="FrankRuehl"/>
          <w:rtl/>
        </w:rPr>
        <w:tab/>
      </w:r>
      <w:r w:rsidR="006B6170">
        <w:rPr>
          <w:rStyle w:val="default"/>
          <w:rFonts w:cs="FrankRuehl" w:hint="cs"/>
          <w:rtl/>
        </w:rPr>
        <w:t>תחילתן של תקנות אלה שישה חודשים מיום פרסומן.</w:t>
      </w:r>
    </w:p>
    <w:p w:rsidR="00C93F42" w:rsidRDefault="00C93F42">
      <w:pPr>
        <w:pStyle w:val="P00"/>
        <w:spacing w:before="72"/>
        <w:ind w:left="0" w:right="1134"/>
        <w:rPr>
          <w:rStyle w:val="default"/>
          <w:rFonts w:cs="FrankRuehl" w:hint="cs"/>
          <w:rtl/>
        </w:rPr>
      </w:pPr>
    </w:p>
    <w:p w:rsidR="007D37F9" w:rsidRDefault="007D37F9">
      <w:pPr>
        <w:pStyle w:val="P00"/>
        <w:spacing w:before="72"/>
        <w:ind w:left="0" w:right="1134"/>
        <w:rPr>
          <w:rStyle w:val="default"/>
          <w:rFonts w:cs="FrankRuehl"/>
          <w:rtl/>
        </w:rPr>
      </w:pPr>
    </w:p>
    <w:p w:rsidR="007D37F9" w:rsidRDefault="006B6170" w:rsidP="00AE6D60">
      <w:pPr>
        <w:pStyle w:val="sig-0"/>
        <w:tabs>
          <w:tab w:val="clear" w:pos="4820"/>
          <w:tab w:val="center" w:pos="5670"/>
        </w:tabs>
        <w:spacing w:before="72"/>
        <w:ind w:left="0" w:right="1134"/>
        <w:rPr>
          <w:rtl/>
        </w:rPr>
      </w:pPr>
      <w:r>
        <w:rPr>
          <w:rFonts w:hint="cs"/>
          <w:rtl/>
        </w:rPr>
        <w:t>כ"ב באדר א' התשע"ו (2 במרס 2016</w:t>
      </w:r>
      <w:r w:rsidR="007D37F9">
        <w:rPr>
          <w:rFonts w:hint="cs"/>
          <w:rtl/>
        </w:rPr>
        <w:t>)</w:t>
      </w:r>
      <w:r w:rsidR="007D37F9">
        <w:rPr>
          <w:rtl/>
        </w:rPr>
        <w:tab/>
      </w:r>
      <w:r w:rsidR="00AE6D60">
        <w:rPr>
          <w:rFonts w:hint="cs"/>
          <w:rtl/>
        </w:rPr>
        <w:t>ישראל כ"ץ</w:t>
      </w:r>
    </w:p>
    <w:p w:rsidR="007D37F9" w:rsidRDefault="007D37F9" w:rsidP="00AE6D60">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AE6D60">
        <w:rPr>
          <w:rFonts w:hint="cs"/>
          <w:rtl/>
        </w:rPr>
        <w:t xml:space="preserve"> והבטיחות בדרכים</w:t>
      </w:r>
    </w:p>
    <w:p w:rsidR="00844CE7" w:rsidRDefault="00844CE7">
      <w:pPr>
        <w:pStyle w:val="P00"/>
        <w:spacing w:before="72"/>
        <w:ind w:left="0" w:right="1134"/>
        <w:rPr>
          <w:rStyle w:val="default"/>
          <w:rFonts w:cs="FrankRuehl" w:hint="cs"/>
          <w:rtl/>
        </w:rPr>
      </w:pPr>
    </w:p>
    <w:p w:rsidR="007D37F9" w:rsidRDefault="007D37F9">
      <w:pPr>
        <w:pStyle w:val="P00"/>
        <w:spacing w:before="72"/>
        <w:ind w:left="0" w:right="1134"/>
        <w:rPr>
          <w:rStyle w:val="default"/>
          <w:rFonts w:cs="FrankRuehl"/>
          <w:rtl/>
        </w:rPr>
      </w:pPr>
    </w:p>
    <w:p w:rsidR="007D37F9" w:rsidRDefault="007D37F9">
      <w:pPr>
        <w:pStyle w:val="P00"/>
        <w:spacing w:before="72"/>
        <w:ind w:left="0" w:right="1134"/>
        <w:rPr>
          <w:rStyle w:val="default"/>
          <w:rFonts w:cs="FrankRuehl"/>
          <w:rtl/>
        </w:rPr>
      </w:pPr>
      <w:bookmarkStart w:id="7" w:name="LawPartEnd"/>
    </w:p>
    <w:bookmarkEnd w:id="7"/>
    <w:p w:rsidR="002A349E" w:rsidRDefault="002A349E">
      <w:pPr>
        <w:pStyle w:val="P00"/>
        <w:spacing w:before="72"/>
        <w:ind w:left="0" w:right="1134"/>
        <w:rPr>
          <w:rStyle w:val="default"/>
          <w:rFonts w:cs="FrankRuehl"/>
          <w:rtl/>
        </w:rPr>
      </w:pPr>
    </w:p>
    <w:p w:rsidR="002A349E" w:rsidRDefault="002A349E">
      <w:pPr>
        <w:pStyle w:val="P00"/>
        <w:spacing w:before="72"/>
        <w:ind w:left="0" w:right="1134"/>
        <w:rPr>
          <w:rStyle w:val="default"/>
          <w:rFonts w:cs="FrankRuehl"/>
          <w:rtl/>
        </w:rPr>
      </w:pPr>
    </w:p>
    <w:p w:rsidR="002A349E" w:rsidRDefault="002A349E" w:rsidP="002A349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D32637" w:rsidRPr="002A349E" w:rsidRDefault="00D32637" w:rsidP="002A349E">
      <w:pPr>
        <w:pStyle w:val="P00"/>
        <w:spacing w:before="72"/>
        <w:ind w:left="0" w:right="1134"/>
        <w:jc w:val="center"/>
        <w:rPr>
          <w:rStyle w:val="default"/>
          <w:rFonts w:cs="David"/>
          <w:color w:val="0000FF"/>
          <w:szCs w:val="24"/>
          <w:u w:val="single"/>
          <w:rtl/>
        </w:rPr>
      </w:pPr>
    </w:p>
    <w:sectPr w:rsidR="00D32637" w:rsidRPr="002A349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74F9" w:rsidRDefault="008274F9">
      <w:r>
        <w:separator/>
      </w:r>
    </w:p>
  </w:endnote>
  <w:endnote w:type="continuationSeparator" w:id="0">
    <w:p w:rsidR="008274F9" w:rsidRDefault="0082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2637">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A349E">
      <w:rPr>
        <w:rFonts w:hAnsi="FrankRuehl"/>
        <w:noProof/>
        <w:sz w:val="24"/>
        <w:szCs w:val="24"/>
        <w:rtl/>
      </w:rPr>
      <w:t>3</w:t>
    </w:r>
    <w:r>
      <w:rPr>
        <w:rFonts w:hAnsi="FrankRuehl"/>
        <w:sz w:val="24"/>
        <w:szCs w:val="24"/>
        <w:rtl/>
      </w:rPr>
      <w:fldChar w:fldCharType="end"/>
    </w:r>
  </w:p>
  <w:p w:rsidR="007D37F9" w:rsidRDefault="007D37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D37F9" w:rsidRDefault="007D37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2637">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74F9" w:rsidRDefault="008274F9">
      <w:pPr>
        <w:spacing w:before="60" w:line="240" w:lineRule="auto"/>
        <w:ind w:right="1134"/>
      </w:pPr>
      <w:r>
        <w:separator/>
      </w:r>
    </w:p>
  </w:footnote>
  <w:footnote w:type="continuationSeparator" w:id="0">
    <w:p w:rsidR="008274F9" w:rsidRDefault="008274F9">
      <w:r>
        <w:continuationSeparator/>
      </w:r>
    </w:p>
  </w:footnote>
  <w:footnote w:id="1">
    <w:p w:rsidR="00253118" w:rsidRDefault="007D37F9" w:rsidP="002531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253118">
          <w:rPr>
            <w:rStyle w:val="Hyperlink"/>
            <w:rFonts w:hint="cs"/>
            <w:sz w:val="20"/>
            <w:rtl/>
          </w:rPr>
          <w:t>ק"ת תש</w:t>
        </w:r>
        <w:r w:rsidR="00C93F42" w:rsidRPr="00253118">
          <w:rPr>
            <w:rStyle w:val="Hyperlink"/>
            <w:rFonts w:hint="cs"/>
            <w:sz w:val="20"/>
            <w:rtl/>
          </w:rPr>
          <w:t>ע</w:t>
        </w:r>
        <w:r w:rsidR="00C93F42" w:rsidRPr="00253118">
          <w:rPr>
            <w:rStyle w:val="Hyperlink"/>
            <w:rFonts w:hint="cs"/>
            <w:sz w:val="20"/>
            <w:rtl/>
          </w:rPr>
          <w:t>"</w:t>
        </w:r>
        <w:r w:rsidR="00844CE7" w:rsidRPr="00253118">
          <w:rPr>
            <w:rStyle w:val="Hyperlink"/>
            <w:rFonts w:hint="cs"/>
            <w:sz w:val="20"/>
            <w:rtl/>
          </w:rPr>
          <w:t>ו</w:t>
        </w:r>
        <w:r w:rsidRPr="00253118">
          <w:rPr>
            <w:rStyle w:val="Hyperlink"/>
            <w:rFonts w:hint="cs"/>
            <w:sz w:val="20"/>
            <w:rtl/>
          </w:rPr>
          <w:t xml:space="preserve"> מס' </w:t>
        </w:r>
        <w:r w:rsidR="00844CE7" w:rsidRPr="00253118">
          <w:rPr>
            <w:rStyle w:val="Hyperlink"/>
            <w:rFonts w:hint="cs"/>
            <w:sz w:val="20"/>
            <w:rtl/>
          </w:rPr>
          <w:t>7635</w:t>
        </w:r>
      </w:hyperlink>
      <w:r>
        <w:rPr>
          <w:rFonts w:hint="cs"/>
          <w:sz w:val="20"/>
          <w:rtl/>
        </w:rPr>
        <w:t xml:space="preserve"> מיום </w:t>
      </w:r>
      <w:r w:rsidR="00844CE7">
        <w:rPr>
          <w:rFonts w:hint="cs"/>
          <w:sz w:val="20"/>
          <w:rtl/>
        </w:rPr>
        <w:t>28.3.2016</w:t>
      </w:r>
      <w:r>
        <w:rPr>
          <w:rFonts w:hint="cs"/>
          <w:sz w:val="20"/>
          <w:rtl/>
        </w:rPr>
        <w:t xml:space="preserve"> עמ' </w:t>
      </w:r>
      <w:r w:rsidR="00844CE7">
        <w:rPr>
          <w:rFonts w:hint="cs"/>
          <w:sz w:val="20"/>
          <w:rtl/>
        </w:rPr>
        <w:t>871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(חקירת תאונות ותקריות לכלי טיס), תשמ"ד–1984</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7F9" w:rsidRDefault="007D37F9" w:rsidP="00844CE7">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הטיס (</w:t>
    </w:r>
    <w:r w:rsidR="00844CE7">
      <w:rPr>
        <w:rFonts w:hAnsi="FrankRuehl" w:hint="cs"/>
        <w:color w:val="000000"/>
        <w:sz w:val="28"/>
        <w:szCs w:val="28"/>
        <w:rtl/>
      </w:rPr>
      <w:t>יחידות מידה</w:t>
    </w:r>
    <w:r w:rsidR="00C93F42">
      <w:rPr>
        <w:rFonts w:hAnsi="FrankRuehl" w:hint="cs"/>
        <w:color w:val="000000"/>
        <w:sz w:val="28"/>
        <w:szCs w:val="28"/>
        <w:rtl/>
      </w:rPr>
      <w:t>), תשע"</w:t>
    </w:r>
    <w:r w:rsidR="00844CE7">
      <w:rPr>
        <w:rFonts w:hAnsi="FrankRuehl" w:hint="cs"/>
        <w:color w:val="000000"/>
        <w:sz w:val="28"/>
        <w:szCs w:val="28"/>
        <w:rtl/>
      </w:rPr>
      <w:t>ו-2016</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D37F9" w:rsidRDefault="007D37F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812"/>
    <w:rsid w:val="00253118"/>
    <w:rsid w:val="002A349E"/>
    <w:rsid w:val="00457F7B"/>
    <w:rsid w:val="004E519D"/>
    <w:rsid w:val="004F4568"/>
    <w:rsid w:val="006037E9"/>
    <w:rsid w:val="006B6170"/>
    <w:rsid w:val="006F1B4D"/>
    <w:rsid w:val="007D37F9"/>
    <w:rsid w:val="008274F9"/>
    <w:rsid w:val="00844CE7"/>
    <w:rsid w:val="0085086E"/>
    <w:rsid w:val="008818F1"/>
    <w:rsid w:val="009A2528"/>
    <w:rsid w:val="009C6812"/>
    <w:rsid w:val="00AE6D60"/>
    <w:rsid w:val="00C93F42"/>
    <w:rsid w:val="00D0179D"/>
    <w:rsid w:val="00D32637"/>
    <w:rsid w:val="00E66048"/>
    <w:rsid w:val="00EA2C0C"/>
    <w:rsid w:val="00ED23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28D2445C-BD00-4A84-A0B9-85420A0E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4740</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8192011</vt:i4>
      </vt:variant>
      <vt:variant>
        <vt:i4>0</vt:i4>
      </vt:variant>
      <vt:variant>
        <vt:i4>0</vt:i4>
      </vt:variant>
      <vt:variant>
        <vt:i4>5</vt:i4>
      </vt:variant>
      <vt:variant>
        <vt:lpwstr>http://www.nevo.co.il/Law_word/law06/tak-7635.pdf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(יחידות מידה), תשע"ו-2016</vt:lpwstr>
  </property>
  <property fmtid="{D5CDD505-2E9C-101B-9397-08002B2CF9AE}" pid="5" name="LAWNUMBER">
    <vt:lpwstr>0373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הטיס</vt:lpwstr>
  </property>
  <property fmtid="{D5CDD505-2E9C-101B-9397-08002B2CF9AE}" pid="48" name="MEKOR_SAIF1">
    <vt:lpwstr>46XאX;166X;168X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http://www.nevo.co.il/Law_word/law06/tak-7635.pdf;‎רשומות - תקנות כלליות#פורסמו ק"ת תשע"ו ‏מס' 7635 #מיום 28.3.2016 עמ' 871‏</vt:lpwstr>
  </property>
</Properties>
</file>