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375A" w14:textId="77777777" w:rsidR="00A657A4" w:rsidRDefault="00A657A4" w:rsidP="0030756D">
      <w:pPr>
        <w:pStyle w:val="big-header"/>
        <w:ind w:left="0" w:right="1134"/>
        <w:rPr>
          <w:rFonts w:cs="FrankRuehl" w:hint="cs"/>
          <w:sz w:val="32"/>
          <w:rtl/>
        </w:rPr>
      </w:pPr>
      <w:r>
        <w:rPr>
          <w:rFonts w:cs="FrankRuehl"/>
          <w:sz w:val="32"/>
          <w:rtl/>
        </w:rPr>
        <w:t xml:space="preserve">תקנות </w:t>
      </w:r>
      <w:r w:rsidR="002827C0">
        <w:rPr>
          <w:rFonts w:cs="FrankRuehl" w:hint="cs"/>
          <w:sz w:val="32"/>
          <w:rtl/>
        </w:rPr>
        <w:t>הכניסה לישראל</w:t>
      </w:r>
      <w:r>
        <w:rPr>
          <w:rFonts w:cs="FrankRuehl"/>
          <w:sz w:val="32"/>
          <w:rtl/>
        </w:rPr>
        <w:t xml:space="preserve"> (סדרי דין במצב חירום מיוחד</w:t>
      </w:r>
      <w:r w:rsidR="002827C0">
        <w:rPr>
          <w:rFonts w:cs="FrankRuehl" w:hint="cs"/>
          <w:sz w:val="32"/>
          <w:rtl/>
        </w:rPr>
        <w:t xml:space="preserve"> בבית דין לעררים</w:t>
      </w:r>
      <w:r>
        <w:rPr>
          <w:rFonts w:cs="FrankRuehl"/>
          <w:sz w:val="32"/>
          <w:rtl/>
        </w:rPr>
        <w:t xml:space="preserve">), </w:t>
      </w:r>
      <w:r w:rsidR="002827C0">
        <w:rPr>
          <w:rFonts w:cs="FrankRuehl" w:hint="cs"/>
          <w:sz w:val="32"/>
          <w:rtl/>
        </w:rPr>
        <w:t>תש"ף-2020</w:t>
      </w:r>
    </w:p>
    <w:p w14:paraId="2E9D617F" w14:textId="77777777" w:rsidR="00296B63" w:rsidRPr="00296B63" w:rsidRDefault="00296B63" w:rsidP="00296B63">
      <w:pPr>
        <w:spacing w:line="320" w:lineRule="auto"/>
        <w:jc w:val="left"/>
        <w:rPr>
          <w:rFonts w:cs="FrankRuehl"/>
          <w:szCs w:val="26"/>
          <w:rtl/>
        </w:rPr>
      </w:pPr>
    </w:p>
    <w:p w14:paraId="66B20AE5" w14:textId="77777777" w:rsidR="00296B63" w:rsidRDefault="002827C0" w:rsidP="00296B63">
      <w:pPr>
        <w:spacing w:line="320" w:lineRule="auto"/>
        <w:jc w:val="left"/>
        <w:rPr>
          <w:rFonts w:cs="Miriam"/>
          <w:szCs w:val="22"/>
          <w:rtl/>
        </w:rPr>
      </w:pPr>
      <w:r>
        <w:rPr>
          <w:rFonts w:cs="Miriam" w:hint="cs"/>
          <w:szCs w:val="22"/>
          <w:rtl/>
        </w:rPr>
        <w:t>בטחון</w:t>
      </w:r>
      <w:r w:rsidR="00296B63" w:rsidRPr="00296B63">
        <w:rPr>
          <w:rFonts w:cs="FrankRuehl"/>
          <w:szCs w:val="26"/>
          <w:rtl/>
        </w:rPr>
        <w:t xml:space="preserve"> – </w:t>
      </w:r>
      <w:r>
        <w:rPr>
          <w:rFonts w:cs="FrankRuehl" w:hint="cs"/>
          <w:szCs w:val="26"/>
          <w:rtl/>
        </w:rPr>
        <w:t>כניסה לישראל</w:t>
      </w:r>
    </w:p>
    <w:p w14:paraId="5758D126" w14:textId="77777777" w:rsidR="00296B63" w:rsidRDefault="002827C0" w:rsidP="00296B63">
      <w:pPr>
        <w:spacing w:line="320" w:lineRule="auto"/>
        <w:jc w:val="left"/>
        <w:rPr>
          <w:rFonts w:cs="Miriam"/>
          <w:szCs w:val="22"/>
          <w:rtl/>
        </w:rPr>
      </w:pPr>
      <w:r>
        <w:rPr>
          <w:rFonts w:cs="Miriam" w:hint="cs"/>
          <w:szCs w:val="22"/>
          <w:rtl/>
        </w:rPr>
        <w:t>רשויות ומשפט מנהלי</w:t>
      </w:r>
      <w:r w:rsidR="00296B63" w:rsidRPr="00296B63">
        <w:rPr>
          <w:rFonts w:cs="FrankRuehl"/>
          <w:szCs w:val="26"/>
          <w:rtl/>
        </w:rPr>
        <w:t xml:space="preserve"> – </w:t>
      </w:r>
      <w:r>
        <w:rPr>
          <w:rFonts w:cs="FrankRuehl" w:hint="cs"/>
          <w:szCs w:val="26"/>
          <w:rtl/>
        </w:rPr>
        <w:t xml:space="preserve">בתי דין מינהליים </w:t>
      </w:r>
      <w:r w:rsidRPr="00296B63">
        <w:rPr>
          <w:rFonts w:cs="FrankRuehl"/>
          <w:szCs w:val="26"/>
          <w:rtl/>
        </w:rPr>
        <w:t>–</w:t>
      </w:r>
      <w:r>
        <w:rPr>
          <w:rFonts w:cs="FrankRuehl" w:hint="cs"/>
          <w:szCs w:val="26"/>
          <w:rtl/>
        </w:rPr>
        <w:t xml:space="preserve"> סדר דין</w:t>
      </w:r>
    </w:p>
    <w:p w14:paraId="055C9678" w14:textId="77777777" w:rsidR="00925C28" w:rsidRPr="00296B63" w:rsidRDefault="00296B63" w:rsidP="00296B63">
      <w:pPr>
        <w:spacing w:line="320" w:lineRule="auto"/>
        <w:jc w:val="left"/>
        <w:rPr>
          <w:rFonts w:cs="Miriam"/>
          <w:szCs w:val="22"/>
          <w:rtl/>
        </w:rPr>
      </w:pPr>
      <w:r w:rsidRPr="00296B63">
        <w:rPr>
          <w:rFonts w:cs="Miriam"/>
          <w:szCs w:val="22"/>
          <w:rtl/>
        </w:rPr>
        <w:t>בטחון</w:t>
      </w:r>
      <w:r w:rsidRPr="00296B63">
        <w:rPr>
          <w:rFonts w:cs="FrankRuehl"/>
          <w:szCs w:val="26"/>
          <w:rtl/>
        </w:rPr>
        <w:t xml:space="preserve"> – שעת חירום</w:t>
      </w:r>
    </w:p>
    <w:p w14:paraId="4C053024" w14:textId="77777777" w:rsidR="00A657A4" w:rsidRDefault="00A657A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2FDD" w:rsidRPr="00422FDD" w14:paraId="346C517C" w14:textId="77777777" w:rsidTr="00422FDD">
        <w:tblPrEx>
          <w:tblCellMar>
            <w:top w:w="0" w:type="dxa"/>
            <w:bottom w:w="0" w:type="dxa"/>
          </w:tblCellMar>
        </w:tblPrEx>
        <w:tc>
          <w:tcPr>
            <w:tcW w:w="1247" w:type="dxa"/>
          </w:tcPr>
          <w:p w14:paraId="7E14B7E8" w14:textId="77777777" w:rsidR="00422FDD" w:rsidRPr="00422FDD" w:rsidRDefault="00422FDD" w:rsidP="00422FDD">
            <w:pPr>
              <w:spacing w:line="240" w:lineRule="auto"/>
              <w:jc w:val="left"/>
              <w:rPr>
                <w:rFonts w:cs="Frankruhel"/>
                <w:sz w:val="24"/>
                <w:rtl/>
              </w:rPr>
            </w:pPr>
            <w:r>
              <w:rPr>
                <w:sz w:val="24"/>
                <w:rtl/>
              </w:rPr>
              <w:t xml:space="preserve">סעיף 1 </w:t>
            </w:r>
          </w:p>
        </w:tc>
        <w:tc>
          <w:tcPr>
            <w:tcW w:w="5669" w:type="dxa"/>
          </w:tcPr>
          <w:p w14:paraId="7BE02F85" w14:textId="77777777" w:rsidR="00422FDD" w:rsidRPr="00422FDD" w:rsidRDefault="00422FDD" w:rsidP="00422FDD">
            <w:pPr>
              <w:spacing w:line="240" w:lineRule="auto"/>
              <w:jc w:val="left"/>
              <w:rPr>
                <w:rFonts w:cs="Frankruhel"/>
                <w:sz w:val="24"/>
                <w:rtl/>
              </w:rPr>
            </w:pPr>
            <w:r>
              <w:rPr>
                <w:sz w:val="24"/>
                <w:rtl/>
              </w:rPr>
              <w:t>הגדרות</w:t>
            </w:r>
          </w:p>
        </w:tc>
        <w:tc>
          <w:tcPr>
            <w:tcW w:w="567" w:type="dxa"/>
          </w:tcPr>
          <w:p w14:paraId="628C056A" w14:textId="77777777" w:rsidR="00422FDD" w:rsidRPr="00422FDD" w:rsidRDefault="00422FDD" w:rsidP="00422FDD">
            <w:pPr>
              <w:spacing w:line="240" w:lineRule="auto"/>
              <w:jc w:val="left"/>
              <w:rPr>
                <w:rStyle w:val="Hyperlink"/>
                <w:rtl/>
              </w:rPr>
            </w:pPr>
            <w:hyperlink w:anchor="Seif1" w:tooltip="הגדרות" w:history="1">
              <w:r w:rsidRPr="00422FDD">
                <w:rPr>
                  <w:rStyle w:val="Hyperlink"/>
                </w:rPr>
                <w:t>Go</w:t>
              </w:r>
            </w:hyperlink>
          </w:p>
        </w:tc>
        <w:tc>
          <w:tcPr>
            <w:tcW w:w="850" w:type="dxa"/>
          </w:tcPr>
          <w:p w14:paraId="30B89657" w14:textId="77777777" w:rsidR="00422FDD" w:rsidRPr="00422FDD" w:rsidRDefault="00422FDD" w:rsidP="00422FD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2FDD" w:rsidRPr="00422FDD" w14:paraId="6DA8389F" w14:textId="77777777" w:rsidTr="00422FDD">
        <w:tblPrEx>
          <w:tblCellMar>
            <w:top w:w="0" w:type="dxa"/>
            <w:bottom w:w="0" w:type="dxa"/>
          </w:tblCellMar>
        </w:tblPrEx>
        <w:tc>
          <w:tcPr>
            <w:tcW w:w="1247" w:type="dxa"/>
          </w:tcPr>
          <w:p w14:paraId="3A7EDFA2" w14:textId="77777777" w:rsidR="00422FDD" w:rsidRPr="00422FDD" w:rsidRDefault="00422FDD" w:rsidP="00422FDD">
            <w:pPr>
              <w:spacing w:line="240" w:lineRule="auto"/>
              <w:jc w:val="left"/>
              <w:rPr>
                <w:rFonts w:cs="Frankruhel"/>
                <w:sz w:val="24"/>
                <w:rtl/>
              </w:rPr>
            </w:pPr>
            <w:r>
              <w:rPr>
                <w:sz w:val="24"/>
                <w:rtl/>
              </w:rPr>
              <w:t xml:space="preserve">סעיף 2 </w:t>
            </w:r>
          </w:p>
        </w:tc>
        <w:tc>
          <w:tcPr>
            <w:tcW w:w="5669" w:type="dxa"/>
          </w:tcPr>
          <w:p w14:paraId="30561EAC" w14:textId="77777777" w:rsidR="00422FDD" w:rsidRPr="00422FDD" w:rsidRDefault="00422FDD" w:rsidP="00422FDD">
            <w:pPr>
              <w:spacing w:line="240" w:lineRule="auto"/>
              <w:jc w:val="left"/>
              <w:rPr>
                <w:rFonts w:cs="Frankruhel"/>
                <w:sz w:val="24"/>
                <w:rtl/>
              </w:rPr>
            </w:pPr>
            <w:r>
              <w:rPr>
                <w:sz w:val="24"/>
                <w:rtl/>
              </w:rPr>
              <w:t>החלת התקנות</w:t>
            </w:r>
          </w:p>
        </w:tc>
        <w:tc>
          <w:tcPr>
            <w:tcW w:w="567" w:type="dxa"/>
          </w:tcPr>
          <w:p w14:paraId="72E377A2" w14:textId="77777777" w:rsidR="00422FDD" w:rsidRPr="00422FDD" w:rsidRDefault="00422FDD" w:rsidP="00422FDD">
            <w:pPr>
              <w:spacing w:line="240" w:lineRule="auto"/>
              <w:jc w:val="left"/>
              <w:rPr>
                <w:rStyle w:val="Hyperlink"/>
                <w:rtl/>
              </w:rPr>
            </w:pPr>
            <w:hyperlink w:anchor="Seif2" w:tooltip="החלת התקנות" w:history="1">
              <w:r w:rsidRPr="00422FDD">
                <w:rPr>
                  <w:rStyle w:val="Hyperlink"/>
                </w:rPr>
                <w:t>Go</w:t>
              </w:r>
            </w:hyperlink>
          </w:p>
        </w:tc>
        <w:tc>
          <w:tcPr>
            <w:tcW w:w="850" w:type="dxa"/>
          </w:tcPr>
          <w:p w14:paraId="1B71892D" w14:textId="77777777" w:rsidR="00422FDD" w:rsidRPr="00422FDD" w:rsidRDefault="00422FDD" w:rsidP="00422FD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2FDD" w:rsidRPr="00422FDD" w14:paraId="10F85040" w14:textId="77777777" w:rsidTr="00422FDD">
        <w:tblPrEx>
          <w:tblCellMar>
            <w:top w:w="0" w:type="dxa"/>
            <w:bottom w:w="0" w:type="dxa"/>
          </w:tblCellMar>
        </w:tblPrEx>
        <w:tc>
          <w:tcPr>
            <w:tcW w:w="1247" w:type="dxa"/>
          </w:tcPr>
          <w:p w14:paraId="69910B38" w14:textId="77777777" w:rsidR="00422FDD" w:rsidRPr="00422FDD" w:rsidRDefault="00422FDD" w:rsidP="00422FDD">
            <w:pPr>
              <w:spacing w:line="240" w:lineRule="auto"/>
              <w:jc w:val="left"/>
              <w:rPr>
                <w:rFonts w:cs="Frankruhel"/>
                <w:sz w:val="24"/>
                <w:rtl/>
              </w:rPr>
            </w:pPr>
            <w:r>
              <w:rPr>
                <w:sz w:val="24"/>
                <w:rtl/>
              </w:rPr>
              <w:t xml:space="preserve">סעיף 3 </w:t>
            </w:r>
          </w:p>
        </w:tc>
        <w:tc>
          <w:tcPr>
            <w:tcW w:w="5669" w:type="dxa"/>
          </w:tcPr>
          <w:p w14:paraId="7C684D10" w14:textId="77777777" w:rsidR="00422FDD" w:rsidRPr="00422FDD" w:rsidRDefault="00422FDD" w:rsidP="00422FDD">
            <w:pPr>
              <w:spacing w:line="240" w:lineRule="auto"/>
              <w:jc w:val="left"/>
              <w:rPr>
                <w:rFonts w:cs="Frankruhel"/>
                <w:sz w:val="24"/>
                <w:rtl/>
              </w:rPr>
            </w:pPr>
            <w:r>
              <w:rPr>
                <w:sz w:val="24"/>
                <w:rtl/>
              </w:rPr>
              <w:t>עניינים שבהם יקוימו הליכים</w:t>
            </w:r>
          </w:p>
        </w:tc>
        <w:tc>
          <w:tcPr>
            <w:tcW w:w="567" w:type="dxa"/>
          </w:tcPr>
          <w:p w14:paraId="48616A54" w14:textId="77777777" w:rsidR="00422FDD" w:rsidRPr="00422FDD" w:rsidRDefault="00422FDD" w:rsidP="00422FDD">
            <w:pPr>
              <w:spacing w:line="240" w:lineRule="auto"/>
              <w:jc w:val="left"/>
              <w:rPr>
                <w:rStyle w:val="Hyperlink"/>
                <w:rtl/>
              </w:rPr>
            </w:pPr>
            <w:hyperlink w:anchor="Seif3" w:tooltip="עניינים שבהם יקוימו הליכים" w:history="1">
              <w:r w:rsidRPr="00422FDD">
                <w:rPr>
                  <w:rStyle w:val="Hyperlink"/>
                </w:rPr>
                <w:t>Go</w:t>
              </w:r>
            </w:hyperlink>
          </w:p>
        </w:tc>
        <w:tc>
          <w:tcPr>
            <w:tcW w:w="850" w:type="dxa"/>
          </w:tcPr>
          <w:p w14:paraId="5C38FABF" w14:textId="77777777" w:rsidR="00422FDD" w:rsidRPr="00422FDD" w:rsidRDefault="00422FDD" w:rsidP="00422FD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2FDD" w:rsidRPr="00422FDD" w14:paraId="38A7B46F" w14:textId="77777777" w:rsidTr="00422FDD">
        <w:tblPrEx>
          <w:tblCellMar>
            <w:top w:w="0" w:type="dxa"/>
            <w:bottom w:w="0" w:type="dxa"/>
          </w:tblCellMar>
        </w:tblPrEx>
        <w:tc>
          <w:tcPr>
            <w:tcW w:w="1247" w:type="dxa"/>
          </w:tcPr>
          <w:p w14:paraId="212B5914" w14:textId="77777777" w:rsidR="00422FDD" w:rsidRPr="00422FDD" w:rsidRDefault="00422FDD" w:rsidP="00422FDD">
            <w:pPr>
              <w:spacing w:line="240" w:lineRule="auto"/>
              <w:jc w:val="left"/>
              <w:rPr>
                <w:rFonts w:cs="Frankruhel"/>
                <w:sz w:val="24"/>
                <w:rtl/>
              </w:rPr>
            </w:pPr>
            <w:r>
              <w:rPr>
                <w:sz w:val="24"/>
                <w:rtl/>
              </w:rPr>
              <w:t xml:space="preserve">סעיף 4 </w:t>
            </w:r>
          </w:p>
        </w:tc>
        <w:tc>
          <w:tcPr>
            <w:tcW w:w="5669" w:type="dxa"/>
          </w:tcPr>
          <w:p w14:paraId="17052617" w14:textId="77777777" w:rsidR="00422FDD" w:rsidRPr="00422FDD" w:rsidRDefault="00422FDD" w:rsidP="00422FDD">
            <w:pPr>
              <w:spacing w:line="240" w:lineRule="auto"/>
              <w:jc w:val="left"/>
              <w:rPr>
                <w:rFonts w:cs="Frankruhel"/>
                <w:sz w:val="24"/>
                <w:rtl/>
              </w:rPr>
            </w:pPr>
            <w:r>
              <w:rPr>
                <w:sz w:val="24"/>
                <w:rtl/>
              </w:rPr>
              <w:t>הארכת מועדים</w:t>
            </w:r>
          </w:p>
        </w:tc>
        <w:tc>
          <w:tcPr>
            <w:tcW w:w="567" w:type="dxa"/>
          </w:tcPr>
          <w:p w14:paraId="3B930152" w14:textId="77777777" w:rsidR="00422FDD" w:rsidRPr="00422FDD" w:rsidRDefault="00422FDD" w:rsidP="00422FDD">
            <w:pPr>
              <w:spacing w:line="240" w:lineRule="auto"/>
              <w:jc w:val="left"/>
              <w:rPr>
                <w:rStyle w:val="Hyperlink"/>
                <w:rtl/>
              </w:rPr>
            </w:pPr>
            <w:hyperlink w:anchor="Seif4" w:tooltip="הארכת מועדים" w:history="1">
              <w:r w:rsidRPr="00422FDD">
                <w:rPr>
                  <w:rStyle w:val="Hyperlink"/>
                </w:rPr>
                <w:t>Go</w:t>
              </w:r>
            </w:hyperlink>
          </w:p>
        </w:tc>
        <w:tc>
          <w:tcPr>
            <w:tcW w:w="850" w:type="dxa"/>
          </w:tcPr>
          <w:p w14:paraId="11A66CC6" w14:textId="77777777" w:rsidR="00422FDD" w:rsidRPr="00422FDD" w:rsidRDefault="00422FDD" w:rsidP="00422FD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2FDD" w:rsidRPr="00422FDD" w14:paraId="64C27F09" w14:textId="77777777" w:rsidTr="00422FDD">
        <w:tblPrEx>
          <w:tblCellMar>
            <w:top w:w="0" w:type="dxa"/>
            <w:bottom w:w="0" w:type="dxa"/>
          </w:tblCellMar>
        </w:tblPrEx>
        <w:tc>
          <w:tcPr>
            <w:tcW w:w="1247" w:type="dxa"/>
          </w:tcPr>
          <w:p w14:paraId="14C1CB43" w14:textId="77777777" w:rsidR="00422FDD" w:rsidRPr="00422FDD" w:rsidRDefault="00422FDD" w:rsidP="00422FDD">
            <w:pPr>
              <w:spacing w:line="240" w:lineRule="auto"/>
              <w:jc w:val="left"/>
              <w:rPr>
                <w:rFonts w:cs="Frankruhel"/>
                <w:sz w:val="24"/>
                <w:rtl/>
              </w:rPr>
            </w:pPr>
            <w:r>
              <w:rPr>
                <w:sz w:val="24"/>
                <w:rtl/>
              </w:rPr>
              <w:t xml:space="preserve">סעיף 5 </w:t>
            </w:r>
          </w:p>
        </w:tc>
        <w:tc>
          <w:tcPr>
            <w:tcW w:w="5669" w:type="dxa"/>
          </w:tcPr>
          <w:p w14:paraId="699F8102" w14:textId="77777777" w:rsidR="00422FDD" w:rsidRPr="00422FDD" w:rsidRDefault="00422FDD" w:rsidP="00422FDD">
            <w:pPr>
              <w:spacing w:line="240" w:lineRule="auto"/>
              <w:jc w:val="left"/>
              <w:rPr>
                <w:rFonts w:cs="Frankruhel"/>
                <w:sz w:val="24"/>
                <w:rtl/>
              </w:rPr>
            </w:pPr>
            <w:r>
              <w:rPr>
                <w:sz w:val="24"/>
                <w:rtl/>
              </w:rPr>
              <w:t>אגרה</w:t>
            </w:r>
          </w:p>
        </w:tc>
        <w:tc>
          <w:tcPr>
            <w:tcW w:w="567" w:type="dxa"/>
          </w:tcPr>
          <w:p w14:paraId="2725285B" w14:textId="77777777" w:rsidR="00422FDD" w:rsidRPr="00422FDD" w:rsidRDefault="00422FDD" w:rsidP="00422FDD">
            <w:pPr>
              <w:spacing w:line="240" w:lineRule="auto"/>
              <w:jc w:val="left"/>
              <w:rPr>
                <w:rStyle w:val="Hyperlink"/>
                <w:rtl/>
              </w:rPr>
            </w:pPr>
            <w:hyperlink w:anchor="Seif5" w:tooltip="אגרה" w:history="1">
              <w:r w:rsidRPr="00422FDD">
                <w:rPr>
                  <w:rStyle w:val="Hyperlink"/>
                </w:rPr>
                <w:t>Go</w:t>
              </w:r>
            </w:hyperlink>
          </w:p>
        </w:tc>
        <w:tc>
          <w:tcPr>
            <w:tcW w:w="850" w:type="dxa"/>
          </w:tcPr>
          <w:p w14:paraId="578A03D9" w14:textId="77777777" w:rsidR="00422FDD" w:rsidRPr="00422FDD" w:rsidRDefault="00422FDD" w:rsidP="00422FD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149068FE" w14:textId="77777777" w:rsidR="00A657A4" w:rsidRDefault="00A657A4">
      <w:pPr>
        <w:pStyle w:val="big-header"/>
        <w:ind w:left="0" w:right="1134"/>
        <w:rPr>
          <w:rFonts w:cs="FrankRuehl"/>
          <w:sz w:val="32"/>
          <w:rtl/>
        </w:rPr>
      </w:pPr>
    </w:p>
    <w:p w14:paraId="0318A142" w14:textId="77777777" w:rsidR="00A657A4" w:rsidRPr="00925C28" w:rsidRDefault="00A657A4" w:rsidP="00925C28">
      <w:pPr>
        <w:pStyle w:val="big-header"/>
        <w:ind w:left="0" w:right="1134"/>
        <w:rPr>
          <w:rStyle w:val="default"/>
          <w:rFonts w:hint="cs"/>
          <w:sz w:val="20"/>
          <w:szCs w:val="32"/>
          <w:rtl/>
        </w:rPr>
      </w:pPr>
      <w:r>
        <w:rPr>
          <w:rFonts w:cs="FrankRuehl"/>
          <w:sz w:val="32"/>
          <w:rtl/>
        </w:rPr>
        <w:br w:type="page"/>
      </w:r>
      <w:r w:rsidR="002827C0">
        <w:rPr>
          <w:rFonts w:cs="FrankRuehl"/>
          <w:sz w:val="32"/>
          <w:rtl/>
        </w:rPr>
        <w:lastRenderedPageBreak/>
        <w:t xml:space="preserve">תקנות </w:t>
      </w:r>
      <w:r w:rsidR="002827C0">
        <w:rPr>
          <w:rFonts w:cs="FrankRuehl" w:hint="cs"/>
          <w:sz w:val="32"/>
          <w:rtl/>
        </w:rPr>
        <w:t>הכניסה לישראל</w:t>
      </w:r>
      <w:r w:rsidR="002827C0">
        <w:rPr>
          <w:rFonts w:cs="FrankRuehl"/>
          <w:sz w:val="32"/>
          <w:rtl/>
        </w:rPr>
        <w:t xml:space="preserve"> (סדרי דין במצב חירום מיוחד</w:t>
      </w:r>
      <w:r w:rsidR="002827C0">
        <w:rPr>
          <w:rFonts w:cs="FrankRuehl" w:hint="cs"/>
          <w:sz w:val="32"/>
          <w:rtl/>
        </w:rPr>
        <w:t xml:space="preserve"> בבית דין לעררים</w:t>
      </w:r>
      <w:r w:rsidR="002827C0">
        <w:rPr>
          <w:rFonts w:cs="FrankRuehl"/>
          <w:sz w:val="32"/>
          <w:rtl/>
        </w:rPr>
        <w:t xml:space="preserve">), </w:t>
      </w:r>
      <w:r w:rsidR="002827C0">
        <w:rPr>
          <w:rFonts w:cs="FrankRuehl" w:hint="cs"/>
          <w:sz w:val="32"/>
          <w:rtl/>
        </w:rPr>
        <w:t>תש"ף-2020</w:t>
      </w:r>
      <w:r w:rsidR="0030756D">
        <w:rPr>
          <w:rStyle w:val="a6"/>
          <w:rFonts w:cs="FrankRuehl"/>
          <w:sz w:val="32"/>
          <w:rtl/>
        </w:rPr>
        <w:footnoteReference w:customMarkFollows="1" w:id="1"/>
        <w:t>*</w:t>
      </w:r>
    </w:p>
    <w:p w14:paraId="62EF114E" w14:textId="77777777" w:rsidR="00A657A4" w:rsidRDefault="00A657A4" w:rsidP="0030756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w:t>
      </w:r>
      <w:r w:rsidR="001B7C4F">
        <w:rPr>
          <w:rStyle w:val="default"/>
          <w:rFonts w:cs="FrankRuehl" w:hint="cs"/>
          <w:rtl/>
        </w:rPr>
        <w:t xml:space="preserve">13לד(א)(1) לחוק הכניסה לישראל, התשי"ב-1952 (להלן </w:t>
      </w:r>
      <w:r w:rsidR="001B7C4F">
        <w:rPr>
          <w:rStyle w:val="default"/>
          <w:rFonts w:cs="FrankRuehl"/>
          <w:rtl/>
        </w:rPr>
        <w:t>–</w:t>
      </w:r>
      <w:r w:rsidR="001B7C4F">
        <w:rPr>
          <w:rStyle w:val="default"/>
          <w:rFonts w:cs="FrankRuehl" w:hint="cs"/>
          <w:rtl/>
        </w:rPr>
        <w:t xml:space="preserve"> החוק)</w:t>
      </w:r>
      <w:r>
        <w:rPr>
          <w:rStyle w:val="default"/>
          <w:rFonts w:cs="FrankRuehl" w:hint="cs"/>
          <w:rtl/>
        </w:rPr>
        <w:t xml:space="preserve">, ולאחר התייעצות עם שר </w:t>
      </w:r>
      <w:r w:rsidR="001B7C4F">
        <w:rPr>
          <w:rStyle w:val="default"/>
          <w:rFonts w:cs="FrankRuehl" w:hint="cs"/>
          <w:rtl/>
        </w:rPr>
        <w:t>הפנים</w:t>
      </w:r>
      <w:r>
        <w:rPr>
          <w:rStyle w:val="default"/>
          <w:rFonts w:cs="FrankRuehl" w:hint="cs"/>
          <w:rtl/>
        </w:rPr>
        <w:t>, אני מתקין תקנות אלה:</w:t>
      </w:r>
    </w:p>
    <w:p w14:paraId="0877BD40" w14:textId="77777777" w:rsidR="00A657A4" w:rsidRDefault="00A657A4">
      <w:pPr>
        <w:pStyle w:val="P00"/>
        <w:spacing w:before="72"/>
        <w:ind w:left="0" w:right="1134"/>
        <w:rPr>
          <w:rStyle w:val="default"/>
          <w:rFonts w:cs="FrankRuehl" w:hint="cs"/>
          <w:rtl/>
        </w:rPr>
      </w:pPr>
      <w:bookmarkStart w:id="0" w:name="Seif1"/>
      <w:bookmarkEnd w:id="0"/>
      <w:r>
        <w:rPr>
          <w:lang w:val="he-IL"/>
        </w:rPr>
        <w:pict w14:anchorId="186ED25A">
          <v:rect id="_x0000_s1026" style="position:absolute;left:0;text-align:left;margin-left:464.5pt;margin-top:8.05pt;width:75.05pt;height:10pt;z-index:251655680" o:allowincell="f" filled="f" stroked="f" strokecolor="lime" strokeweight=".25pt">
            <v:textbox inset="0,0,0,0">
              <w:txbxContent>
                <w:p w14:paraId="5891FFDE" w14:textId="77777777" w:rsidR="00A657A4" w:rsidRDefault="00A657A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30756D">
        <w:rPr>
          <w:rStyle w:val="default"/>
          <w:rFonts w:cs="FrankRuehl" w:hint="cs"/>
          <w:rtl/>
        </w:rPr>
        <w:t xml:space="preserve">קנות אלה </w:t>
      </w:r>
      <w:r w:rsidR="0030756D">
        <w:rPr>
          <w:rStyle w:val="default"/>
          <w:rFonts w:cs="FrankRuehl"/>
          <w:rtl/>
        </w:rPr>
        <w:t>–</w:t>
      </w:r>
    </w:p>
    <w:p w14:paraId="74A3F78B" w14:textId="77777777" w:rsidR="00A657A4" w:rsidRDefault="00A657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דין" </w:t>
      </w:r>
      <w:r w:rsidR="001D3413">
        <w:rPr>
          <w:rStyle w:val="default"/>
          <w:rFonts w:cs="FrankRuehl"/>
          <w:rtl/>
        </w:rPr>
        <w:t>–</w:t>
      </w:r>
      <w:r>
        <w:rPr>
          <w:rStyle w:val="default"/>
          <w:rFonts w:cs="FrankRuehl" w:hint="cs"/>
          <w:rtl/>
        </w:rPr>
        <w:t xml:space="preserve"> בית </w:t>
      </w:r>
      <w:r w:rsidR="001B7C4F">
        <w:rPr>
          <w:rStyle w:val="default"/>
          <w:rFonts w:cs="FrankRuehl" w:hint="cs"/>
          <w:rtl/>
        </w:rPr>
        <w:t>דין לעררים שהוקם לפי סעיף 13כג לחוק</w:t>
      </w:r>
      <w:r>
        <w:rPr>
          <w:rStyle w:val="default"/>
          <w:rFonts w:cs="FrankRuehl" w:hint="cs"/>
          <w:rtl/>
        </w:rPr>
        <w:t>;</w:t>
      </w:r>
    </w:p>
    <w:p w14:paraId="515C91A5" w14:textId="77777777" w:rsidR="00A657A4" w:rsidRDefault="001D3413" w:rsidP="001D3413">
      <w:pPr>
        <w:pStyle w:val="P00"/>
        <w:spacing w:before="72"/>
        <w:ind w:left="0" w:right="1134"/>
        <w:rPr>
          <w:rStyle w:val="default"/>
          <w:rFonts w:cs="FrankRuehl"/>
          <w:rtl/>
        </w:rPr>
      </w:pPr>
      <w:r>
        <w:rPr>
          <w:sz w:val="26"/>
          <w:rtl/>
        </w:rPr>
        <w:tab/>
      </w:r>
      <w:r>
        <w:rPr>
          <w:rStyle w:val="default"/>
          <w:rFonts w:cs="FrankRuehl"/>
          <w:rtl/>
        </w:rPr>
        <w:t>"</w:t>
      </w:r>
      <w:r>
        <w:rPr>
          <w:rStyle w:val="default"/>
          <w:rFonts w:cs="FrankRuehl" w:hint="cs"/>
          <w:rtl/>
        </w:rPr>
        <w:t xml:space="preserve">מצב חירום מיוחד" </w:t>
      </w:r>
      <w:r>
        <w:rPr>
          <w:rStyle w:val="default"/>
          <w:rFonts w:cs="FrankRuehl"/>
          <w:rtl/>
        </w:rPr>
        <w:t>–</w:t>
      </w:r>
      <w:r>
        <w:rPr>
          <w:rStyle w:val="default"/>
          <w:rFonts w:cs="FrankRuehl" w:hint="cs"/>
          <w:rtl/>
        </w:rPr>
        <w:t xml:space="preserve"> </w:t>
      </w:r>
      <w:r w:rsidR="00A657A4">
        <w:rPr>
          <w:rStyle w:val="default"/>
          <w:rFonts w:cs="FrankRuehl" w:hint="cs"/>
          <w:rtl/>
        </w:rPr>
        <w:t xml:space="preserve">מצב שבו </w:t>
      </w:r>
      <w:r w:rsidR="001B7C4F">
        <w:rPr>
          <w:rStyle w:val="default"/>
          <w:rFonts w:cs="FrankRuehl" w:hint="cs"/>
          <w:rtl/>
        </w:rPr>
        <w:t>ה</w:t>
      </w:r>
      <w:r w:rsidR="00A657A4">
        <w:rPr>
          <w:rStyle w:val="default"/>
          <w:rFonts w:cs="FrankRuehl" w:hint="cs"/>
          <w:rtl/>
        </w:rPr>
        <w:t>שתבשו סדרי החיים התקינים במדינה או בחלק ממנה מחמת מצב הב</w:t>
      </w:r>
      <w:r w:rsidR="001B7C4F">
        <w:rPr>
          <w:rStyle w:val="default"/>
          <w:rFonts w:cs="FrankRuehl" w:hint="cs"/>
          <w:rtl/>
        </w:rPr>
        <w:t>י</w:t>
      </w:r>
      <w:r w:rsidR="00A657A4">
        <w:rPr>
          <w:rStyle w:val="default"/>
          <w:rFonts w:cs="FrankRuehl" w:hint="cs"/>
          <w:rtl/>
        </w:rPr>
        <w:t>טחון</w:t>
      </w:r>
      <w:r w:rsidRPr="001D3413">
        <w:rPr>
          <w:rStyle w:val="default"/>
          <w:rFonts w:cs="FrankRuehl" w:hint="cs"/>
          <w:rtl/>
        </w:rPr>
        <w:t>, מחמת חשש ממשי לפגיעה חמורה בבריאות הציבור או מחמת פגע טבע</w:t>
      </w:r>
      <w:r w:rsidR="001B7C4F">
        <w:rPr>
          <w:rStyle w:val="default"/>
          <w:rFonts w:cs="FrankRuehl" w:hint="cs"/>
          <w:rtl/>
        </w:rPr>
        <w:t>;</w:t>
      </w:r>
    </w:p>
    <w:p w14:paraId="674C5469" w14:textId="77777777" w:rsidR="001B7C4F" w:rsidRDefault="001B7C4F" w:rsidP="001D341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בית הדין" </w:t>
      </w:r>
      <w:r>
        <w:rPr>
          <w:rStyle w:val="default"/>
          <w:rFonts w:cs="FrankRuehl"/>
          <w:rtl/>
        </w:rPr>
        <w:t>–</w:t>
      </w:r>
      <w:r>
        <w:rPr>
          <w:rStyle w:val="default"/>
          <w:rFonts w:cs="FrankRuehl" w:hint="cs"/>
          <w:rtl/>
        </w:rPr>
        <w:t xml:space="preserve"> לרבות דיין אחר שראש בית הדין קבעו.</w:t>
      </w:r>
    </w:p>
    <w:p w14:paraId="764F2871" w14:textId="77777777" w:rsidR="00A657A4" w:rsidRDefault="00A657A4">
      <w:pPr>
        <w:pStyle w:val="P00"/>
        <w:spacing w:before="72"/>
        <w:ind w:left="0" w:right="1134"/>
        <w:rPr>
          <w:rStyle w:val="default"/>
          <w:rFonts w:cs="FrankRuehl"/>
          <w:rtl/>
        </w:rPr>
      </w:pPr>
      <w:bookmarkStart w:id="1" w:name="Seif2"/>
      <w:bookmarkEnd w:id="1"/>
      <w:r>
        <w:rPr>
          <w:lang w:val="he-IL"/>
        </w:rPr>
        <w:pict w14:anchorId="6E887EAA">
          <v:rect id="_x0000_s1027" style="position:absolute;left:0;text-align:left;margin-left:464.5pt;margin-top:8.05pt;width:75.05pt;height:10pt;z-index:251656704" o:allowincell="f" filled="f" stroked="f" strokecolor="lime" strokeweight=".25pt">
            <v:textbox inset="0,0,0,0">
              <w:txbxContent>
                <w:p w14:paraId="67BD0FA4" w14:textId="77777777" w:rsidR="00A657A4" w:rsidRDefault="00A657A4">
                  <w:pPr>
                    <w:spacing w:line="160" w:lineRule="exact"/>
                    <w:jc w:val="left"/>
                    <w:rPr>
                      <w:rFonts w:cs="Miriam"/>
                      <w:noProof/>
                      <w:sz w:val="18"/>
                      <w:szCs w:val="18"/>
                      <w:rtl/>
                    </w:rPr>
                  </w:pPr>
                  <w:r>
                    <w:rPr>
                      <w:rFonts w:cs="Miriam"/>
                      <w:sz w:val="18"/>
                      <w:szCs w:val="18"/>
                      <w:rtl/>
                    </w:rPr>
                    <w:t>הח</w:t>
                  </w:r>
                  <w:r>
                    <w:rPr>
                      <w:rFonts w:cs="Miriam" w:hint="cs"/>
                      <w:sz w:val="18"/>
                      <w:szCs w:val="18"/>
                      <w:rtl/>
                    </w:rPr>
                    <w:t>לת התקנות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קנות 3 עד 5, כולן או מקצתן, יחולו על בתי </w:t>
      </w:r>
      <w:r w:rsidR="001B7C4F">
        <w:rPr>
          <w:rStyle w:val="default"/>
          <w:rFonts w:cs="FrankRuehl" w:hint="cs"/>
          <w:rtl/>
        </w:rPr>
        <w:t>ה</w:t>
      </w:r>
      <w:r>
        <w:rPr>
          <w:rStyle w:val="default"/>
          <w:rFonts w:cs="FrankRuehl" w:hint="cs"/>
          <w:rtl/>
        </w:rPr>
        <w:t>דין, כולם או מקצתם, אם פרסם שר המשפטים ה</w:t>
      </w:r>
      <w:r>
        <w:rPr>
          <w:rStyle w:val="default"/>
          <w:rFonts w:cs="FrankRuehl"/>
          <w:rtl/>
        </w:rPr>
        <w:t>וד</w:t>
      </w:r>
      <w:r>
        <w:rPr>
          <w:rStyle w:val="default"/>
          <w:rFonts w:cs="FrankRuehl" w:hint="cs"/>
          <w:rtl/>
        </w:rPr>
        <w:t xml:space="preserve">עה על כך בשל מצב חירום מיוחד (להלן בתקנות אלה </w:t>
      </w:r>
      <w:r w:rsidR="001B7C4F">
        <w:rPr>
          <w:rStyle w:val="default"/>
          <w:rFonts w:cs="FrankRuehl"/>
          <w:rtl/>
        </w:rPr>
        <w:t>–</w:t>
      </w:r>
      <w:r>
        <w:rPr>
          <w:rStyle w:val="default"/>
          <w:rFonts w:cs="FrankRuehl" w:hint="cs"/>
          <w:rtl/>
        </w:rPr>
        <w:t xml:space="preserve"> ההודעה).</w:t>
      </w:r>
    </w:p>
    <w:p w14:paraId="55CF7142" w14:textId="77777777" w:rsidR="00A657A4" w:rsidRDefault="00A657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חולתן של התקנות</w:t>
      </w:r>
      <w:r>
        <w:rPr>
          <w:rStyle w:val="default"/>
          <w:rFonts w:cs="FrankRuehl"/>
          <w:rtl/>
        </w:rPr>
        <w:t xml:space="preserve"> </w:t>
      </w:r>
      <w:r>
        <w:rPr>
          <w:rStyle w:val="default"/>
          <w:rFonts w:cs="FrankRuehl" w:hint="cs"/>
          <w:rtl/>
        </w:rPr>
        <w:t>כאמור בתקנת משנה (א)</w:t>
      </w:r>
      <w:r w:rsidR="001B7C4F">
        <w:rPr>
          <w:rStyle w:val="default"/>
          <w:rFonts w:cs="FrankRuehl" w:hint="cs"/>
          <w:rtl/>
        </w:rPr>
        <w:t>,</w:t>
      </w:r>
      <w:r>
        <w:rPr>
          <w:rStyle w:val="default"/>
          <w:rFonts w:cs="FrankRuehl" w:hint="cs"/>
          <w:rtl/>
        </w:rPr>
        <w:t xml:space="preserve"> תהיה מן המועד שנקבע בהודעה, אף אם קדם לפרסומה, ועד למועד שייקבע.</w:t>
      </w:r>
    </w:p>
    <w:p w14:paraId="1238D4B6" w14:textId="77777777" w:rsidR="001B7C4F" w:rsidRDefault="001B7C4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פרסום הודעה כאמור בתקנת משנה (א), ייעשה בסמוך, ככל האפשר, למועד חתימתה, באתר האינטרנט של בית הדין וכן בשידורי רדיו או טלוויזיה הניתנים לציבור או בשני עיתונים יומיים, וכמו כן ייעשה ברשומות; הנוסח שפורסם ברשומות הוא המחייב אף אם קדם לו פרסום בדרך אחרת.</w:t>
      </w:r>
    </w:p>
    <w:p w14:paraId="2944F487" w14:textId="77777777" w:rsidR="00A657A4" w:rsidRDefault="00A657A4">
      <w:pPr>
        <w:pStyle w:val="P00"/>
        <w:spacing w:before="72"/>
        <w:ind w:left="0" w:right="1134"/>
        <w:rPr>
          <w:rStyle w:val="default"/>
          <w:rFonts w:cs="FrankRuehl"/>
          <w:rtl/>
        </w:rPr>
      </w:pPr>
      <w:bookmarkStart w:id="2" w:name="Seif3"/>
      <w:bookmarkEnd w:id="2"/>
      <w:r>
        <w:rPr>
          <w:lang w:val="he-IL"/>
        </w:rPr>
        <w:pict w14:anchorId="057033E7">
          <v:rect id="_x0000_s1028" style="position:absolute;left:0;text-align:left;margin-left:464.5pt;margin-top:8.05pt;width:75.05pt;height:20pt;z-index:251657728" o:allowincell="f" filled="f" stroked="f" strokecolor="lime" strokeweight=".25pt">
            <v:textbox inset="0,0,0,0">
              <w:txbxContent>
                <w:p w14:paraId="41E81232" w14:textId="77777777" w:rsidR="00A657A4" w:rsidRDefault="00A657A4">
                  <w:pPr>
                    <w:spacing w:line="160" w:lineRule="exact"/>
                    <w:jc w:val="left"/>
                    <w:rPr>
                      <w:rFonts w:cs="Miriam"/>
                      <w:noProof/>
                      <w:sz w:val="18"/>
                      <w:szCs w:val="18"/>
                      <w:rtl/>
                    </w:rPr>
                  </w:pPr>
                  <w:r>
                    <w:rPr>
                      <w:rFonts w:cs="Miriam"/>
                      <w:sz w:val="18"/>
                      <w:szCs w:val="18"/>
                      <w:rtl/>
                    </w:rPr>
                    <w:t>ענ</w:t>
                  </w:r>
                  <w:r>
                    <w:rPr>
                      <w:rFonts w:cs="Miriam" w:hint="cs"/>
                      <w:sz w:val="18"/>
                      <w:szCs w:val="18"/>
                      <w:rtl/>
                    </w:rPr>
                    <w:t>י</w:t>
                  </w:r>
                  <w:r w:rsidR="00F858ED">
                    <w:rPr>
                      <w:rFonts w:cs="Miriam" w:hint="cs"/>
                      <w:sz w:val="18"/>
                      <w:szCs w:val="18"/>
                      <w:rtl/>
                    </w:rPr>
                    <w:t>י</w:t>
                  </w:r>
                  <w:r>
                    <w:rPr>
                      <w:rFonts w:cs="Miriam" w:hint="cs"/>
                      <w:sz w:val="18"/>
                      <w:szCs w:val="18"/>
                      <w:rtl/>
                    </w:rPr>
                    <w:t>נים שבהם יקוימו הליכים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B7C4F">
        <w:rPr>
          <w:rStyle w:val="default"/>
          <w:rFonts w:cs="FrankRuehl" w:hint="cs"/>
          <w:rtl/>
        </w:rPr>
        <w:t>מצא דיין כי יש לקבוע דיון בתיק לפי תקנה 12 או 17 לתקנות הכניסה לישראל (סדרי הדין והמינהל בבית דין לעררים),</w:t>
      </w:r>
      <w:r>
        <w:rPr>
          <w:rStyle w:val="default"/>
          <w:rFonts w:cs="FrankRuehl" w:hint="cs"/>
          <w:rtl/>
        </w:rPr>
        <w:t xml:space="preserve"> </w:t>
      </w:r>
      <w:r w:rsidR="001B7C4F">
        <w:rPr>
          <w:rStyle w:val="default"/>
          <w:rFonts w:cs="FrankRuehl" w:hint="cs"/>
          <w:rtl/>
        </w:rPr>
        <w:t>התשע"ד-2014, יתקיים הדיון בתקופת ת</w:t>
      </w:r>
      <w:r w:rsidR="00273300">
        <w:rPr>
          <w:rStyle w:val="default"/>
          <w:rFonts w:cs="FrankRuehl" w:hint="cs"/>
          <w:rtl/>
        </w:rPr>
        <w:t>ו</w:t>
      </w:r>
      <w:r w:rsidR="001B7C4F">
        <w:rPr>
          <w:rStyle w:val="default"/>
          <w:rFonts w:cs="FrankRuehl" w:hint="cs"/>
          <w:rtl/>
        </w:rPr>
        <w:t>קפה של ההודעה רק אם הוא נמנה עם ה</w:t>
      </w:r>
      <w:r>
        <w:rPr>
          <w:rStyle w:val="default"/>
          <w:rFonts w:cs="FrankRuehl" w:hint="cs"/>
          <w:rtl/>
        </w:rPr>
        <w:t>ענ</w:t>
      </w:r>
      <w:r w:rsidR="001B7C4F">
        <w:rPr>
          <w:rStyle w:val="default"/>
          <w:rFonts w:cs="FrankRuehl" w:hint="cs"/>
          <w:rtl/>
        </w:rPr>
        <w:t>י</w:t>
      </w:r>
      <w:r>
        <w:rPr>
          <w:rStyle w:val="default"/>
          <w:rFonts w:cs="FrankRuehl" w:hint="cs"/>
          <w:rtl/>
        </w:rPr>
        <w:t>ינים</w:t>
      </w:r>
      <w:r>
        <w:rPr>
          <w:rStyle w:val="default"/>
          <w:rFonts w:cs="FrankRuehl"/>
          <w:rtl/>
        </w:rPr>
        <w:t xml:space="preserve"> ה</w:t>
      </w:r>
      <w:r>
        <w:rPr>
          <w:rStyle w:val="default"/>
          <w:rFonts w:cs="FrankRuehl" w:hint="cs"/>
          <w:rtl/>
        </w:rPr>
        <w:t>מפורטים להלן:</w:t>
      </w:r>
    </w:p>
    <w:p w14:paraId="5565B18A" w14:textId="77777777" w:rsidR="00A657A4" w:rsidRDefault="00A657A4">
      <w:pPr>
        <w:pStyle w:val="P22"/>
        <w:spacing w:before="72"/>
        <w:ind w:left="1021" w:right="1134"/>
        <w:rPr>
          <w:rStyle w:val="default"/>
          <w:rFonts w:cs="FrankRuehl"/>
          <w:rtl/>
        </w:rPr>
      </w:pPr>
      <w:r>
        <w:rPr>
          <w:rStyle w:val="default"/>
          <w:rFonts w:cs="FrankRuehl"/>
          <w:rtl/>
        </w:rPr>
        <w:t>(1)</w:t>
      </w:r>
      <w:r>
        <w:rPr>
          <w:rStyle w:val="default"/>
          <w:rFonts w:cs="FrankRuehl"/>
          <w:rtl/>
        </w:rPr>
        <w:tab/>
      </w:r>
      <w:r w:rsidR="001B7C4F">
        <w:rPr>
          <w:rStyle w:val="default"/>
          <w:rFonts w:cs="FrankRuehl" w:hint="cs"/>
          <w:rtl/>
        </w:rPr>
        <w:t>עררים דחופים</w:t>
      </w:r>
      <w:r>
        <w:rPr>
          <w:rStyle w:val="default"/>
          <w:rFonts w:cs="FrankRuehl" w:hint="cs"/>
          <w:rtl/>
        </w:rPr>
        <w:t>;</w:t>
      </w:r>
    </w:p>
    <w:p w14:paraId="3958D473" w14:textId="77777777" w:rsidR="00A657A4" w:rsidRDefault="00A657A4">
      <w:pPr>
        <w:pStyle w:val="P22"/>
        <w:spacing w:before="72"/>
        <w:ind w:left="1021" w:right="1134"/>
        <w:rPr>
          <w:rStyle w:val="default"/>
          <w:rFonts w:cs="FrankRuehl"/>
          <w:rtl/>
        </w:rPr>
      </w:pPr>
      <w:r>
        <w:rPr>
          <w:rStyle w:val="default"/>
          <w:rFonts w:cs="FrankRuehl" w:hint="cs"/>
          <w:rtl/>
        </w:rPr>
        <w:t>(2)</w:t>
      </w:r>
      <w:r>
        <w:rPr>
          <w:rStyle w:val="default"/>
          <w:rFonts w:cs="FrankRuehl"/>
          <w:rtl/>
        </w:rPr>
        <w:tab/>
      </w:r>
      <w:r w:rsidR="001B7C4F">
        <w:rPr>
          <w:rStyle w:val="default"/>
          <w:rFonts w:cs="FrankRuehl" w:hint="cs"/>
          <w:rtl/>
        </w:rPr>
        <w:t>בקשות דחופות לצווי ביניים או לצווים ארעיים</w:t>
      </w:r>
      <w:r>
        <w:rPr>
          <w:rStyle w:val="default"/>
          <w:rFonts w:cs="FrankRuehl" w:hint="cs"/>
          <w:rtl/>
        </w:rPr>
        <w:t>.</w:t>
      </w:r>
    </w:p>
    <w:p w14:paraId="1FDB0709" w14:textId="77777777" w:rsidR="001B7C4F" w:rsidRDefault="001B7C4F">
      <w:pPr>
        <w:pStyle w:val="P00"/>
        <w:spacing w:before="72"/>
        <w:ind w:left="0" w:right="1134"/>
        <w:rPr>
          <w:rFonts w:cs="FrankRuehl"/>
          <w:sz w:val="26"/>
          <w:rtl/>
        </w:rPr>
      </w:pPr>
      <w:r>
        <w:rPr>
          <w:rFonts w:cs="FrankRuehl"/>
          <w:sz w:val="26"/>
          <w:rtl/>
        </w:rPr>
        <w:tab/>
      </w:r>
      <w:r>
        <w:rPr>
          <w:rFonts w:cs="FrankRuehl" w:hint="cs"/>
          <w:sz w:val="26"/>
          <w:rtl/>
        </w:rPr>
        <w:t>(ב)</w:t>
      </w:r>
      <w:r>
        <w:rPr>
          <w:rFonts w:cs="FrankRuehl"/>
          <w:sz w:val="26"/>
          <w:rtl/>
        </w:rPr>
        <w:tab/>
      </w:r>
      <w:r>
        <w:rPr>
          <w:rFonts w:cs="FrankRuehl" w:hint="cs"/>
          <w:sz w:val="26"/>
          <w:rtl/>
        </w:rPr>
        <w:t>הדחיפות לעניין תקנת משנה (א) תיקבע בידי ראש בית הדין.</w:t>
      </w:r>
    </w:p>
    <w:p w14:paraId="30A9B425" w14:textId="77777777" w:rsidR="00A657A4" w:rsidRDefault="00A657A4">
      <w:pPr>
        <w:pStyle w:val="P00"/>
        <w:spacing w:before="72"/>
        <w:ind w:left="0" w:right="1134"/>
        <w:rPr>
          <w:rStyle w:val="default"/>
          <w:rFonts w:cs="FrankRuehl"/>
          <w:rtl/>
        </w:rPr>
      </w:pPr>
      <w:r>
        <w:rPr>
          <w:rFonts w:cs="FrankRuehl"/>
          <w:sz w:val="26"/>
          <w:rtl/>
        </w:rPr>
        <w:tab/>
      </w:r>
      <w:r>
        <w:rPr>
          <w:rStyle w:val="default"/>
          <w:rFonts w:cs="FrankRuehl"/>
          <w:rtl/>
        </w:rPr>
        <w:t>(</w:t>
      </w:r>
      <w:r w:rsidR="001B7C4F">
        <w:rPr>
          <w:rStyle w:val="default"/>
          <w:rFonts w:cs="FrankRuehl" w:hint="cs"/>
          <w:rtl/>
        </w:rPr>
        <w:t>ג</w:t>
      </w:r>
      <w:r>
        <w:rPr>
          <w:rStyle w:val="default"/>
          <w:rFonts w:cs="FrankRuehl" w:hint="cs"/>
          <w:rtl/>
        </w:rPr>
        <w:t>)</w:t>
      </w:r>
      <w:r>
        <w:rPr>
          <w:rStyle w:val="default"/>
          <w:rFonts w:cs="FrankRuehl"/>
          <w:rtl/>
        </w:rPr>
        <w:tab/>
        <w:t>מ</w:t>
      </w:r>
      <w:r>
        <w:rPr>
          <w:rStyle w:val="default"/>
          <w:rFonts w:cs="FrankRuehl" w:hint="cs"/>
          <w:rtl/>
        </w:rPr>
        <w:t>ועד דיון בעני</w:t>
      </w:r>
      <w:r w:rsidR="001B7C4F">
        <w:rPr>
          <w:rStyle w:val="default"/>
          <w:rFonts w:cs="FrankRuehl" w:hint="cs"/>
          <w:rtl/>
        </w:rPr>
        <w:t>י</w:t>
      </w:r>
      <w:r>
        <w:rPr>
          <w:rStyle w:val="default"/>
          <w:rFonts w:cs="FrankRuehl" w:hint="cs"/>
          <w:rtl/>
        </w:rPr>
        <w:t>ן שאינו מן העני</w:t>
      </w:r>
      <w:r w:rsidR="001B7C4F">
        <w:rPr>
          <w:rStyle w:val="default"/>
          <w:rFonts w:cs="FrankRuehl" w:hint="cs"/>
          <w:rtl/>
        </w:rPr>
        <w:t>י</w:t>
      </w:r>
      <w:r>
        <w:rPr>
          <w:rStyle w:val="default"/>
          <w:rFonts w:cs="FrankRuehl" w:hint="cs"/>
          <w:rtl/>
        </w:rPr>
        <w:t>נים המפורטים בתקנת משנה (א)</w:t>
      </w:r>
      <w:r w:rsidR="001B7C4F">
        <w:rPr>
          <w:rStyle w:val="default"/>
          <w:rFonts w:cs="FrankRuehl" w:hint="cs"/>
          <w:rtl/>
        </w:rPr>
        <w:t>,</w:t>
      </w:r>
      <w:r>
        <w:rPr>
          <w:rStyle w:val="default"/>
          <w:rFonts w:cs="FrankRuehl" w:hint="cs"/>
          <w:rtl/>
        </w:rPr>
        <w:t xml:space="preserve"> שנקבע לתקופת ת</w:t>
      </w:r>
      <w:r w:rsidR="001B7C4F">
        <w:rPr>
          <w:rStyle w:val="default"/>
          <w:rFonts w:cs="FrankRuehl" w:hint="cs"/>
          <w:rtl/>
        </w:rPr>
        <w:t>ו</w:t>
      </w:r>
      <w:r>
        <w:rPr>
          <w:rStyle w:val="default"/>
          <w:rFonts w:cs="FrankRuehl" w:hint="cs"/>
          <w:rtl/>
        </w:rPr>
        <w:t xml:space="preserve">קפה של ההודעה </w:t>
      </w:r>
      <w:r w:rsidR="001D3413">
        <w:rPr>
          <w:rStyle w:val="default"/>
          <w:rFonts w:cs="FrankRuehl"/>
          <w:rtl/>
        </w:rPr>
        <w:t>–</w:t>
      </w:r>
      <w:r>
        <w:rPr>
          <w:rStyle w:val="default"/>
          <w:rFonts w:cs="FrankRuehl" w:hint="cs"/>
          <w:rtl/>
        </w:rPr>
        <w:t xml:space="preserve"> ב</w:t>
      </w:r>
      <w:r>
        <w:rPr>
          <w:rStyle w:val="default"/>
          <w:rFonts w:cs="FrankRuehl"/>
          <w:rtl/>
        </w:rPr>
        <w:t>טל</w:t>
      </w:r>
      <w:r>
        <w:rPr>
          <w:rStyle w:val="default"/>
          <w:rFonts w:cs="FrankRuehl" w:hint="cs"/>
          <w:rtl/>
        </w:rPr>
        <w:t>; מועד דיון לעני</w:t>
      </w:r>
      <w:r w:rsidR="001B7C4F">
        <w:rPr>
          <w:rStyle w:val="default"/>
          <w:rFonts w:cs="FrankRuehl" w:hint="cs"/>
          <w:rtl/>
        </w:rPr>
        <w:t>י</w:t>
      </w:r>
      <w:r>
        <w:rPr>
          <w:rStyle w:val="default"/>
          <w:rFonts w:cs="FrankRuehl" w:hint="cs"/>
          <w:rtl/>
        </w:rPr>
        <w:t>ן כאמור ייקבע מחדש לאחר תום תקופת</w:t>
      </w:r>
      <w:r>
        <w:rPr>
          <w:rStyle w:val="default"/>
          <w:rFonts w:cs="FrankRuehl"/>
          <w:rtl/>
        </w:rPr>
        <w:t xml:space="preserve"> </w:t>
      </w:r>
      <w:r>
        <w:rPr>
          <w:rStyle w:val="default"/>
          <w:rFonts w:cs="FrankRuehl" w:hint="cs"/>
          <w:rtl/>
        </w:rPr>
        <w:t>ת</w:t>
      </w:r>
      <w:r w:rsidR="001B7C4F">
        <w:rPr>
          <w:rStyle w:val="default"/>
          <w:rFonts w:cs="FrankRuehl" w:hint="cs"/>
          <w:rtl/>
        </w:rPr>
        <w:t>ו</w:t>
      </w:r>
      <w:r>
        <w:rPr>
          <w:rStyle w:val="default"/>
          <w:rFonts w:cs="FrankRuehl" w:hint="cs"/>
          <w:rtl/>
        </w:rPr>
        <w:t>קפה של ההודעה.</w:t>
      </w:r>
    </w:p>
    <w:p w14:paraId="7970BB0A" w14:textId="77777777" w:rsidR="001B7C4F" w:rsidRDefault="001B7C4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בתקנת משנה (א), רשאי ראש בית הדין, מטעמים שיירשמו, לקבוע כי הליך מסוים הנמנה עם העניינים המפורטים בתקנת משנה (א) לא יידון, או שהליך מסוים שאינו נמנה עמהם </w:t>
      </w:r>
      <w:r>
        <w:rPr>
          <w:rStyle w:val="default"/>
          <w:rFonts w:cs="FrankRuehl"/>
          <w:rtl/>
        </w:rPr>
        <w:t>–</w:t>
      </w:r>
      <w:r>
        <w:rPr>
          <w:rStyle w:val="default"/>
          <w:rFonts w:cs="FrankRuehl" w:hint="cs"/>
          <w:rtl/>
        </w:rPr>
        <w:t xml:space="preserve"> יידון.</w:t>
      </w:r>
    </w:p>
    <w:p w14:paraId="74C47966" w14:textId="77777777" w:rsidR="00A657A4" w:rsidRDefault="00A657A4">
      <w:pPr>
        <w:pStyle w:val="P00"/>
        <w:spacing w:before="72"/>
        <w:ind w:left="0" w:right="1134"/>
        <w:rPr>
          <w:rStyle w:val="default"/>
          <w:rFonts w:cs="FrankRuehl"/>
          <w:rtl/>
        </w:rPr>
      </w:pPr>
      <w:bookmarkStart w:id="3" w:name="Seif4"/>
      <w:bookmarkEnd w:id="3"/>
      <w:r>
        <w:rPr>
          <w:lang w:val="he-IL"/>
        </w:rPr>
        <w:pict w14:anchorId="3C83C703">
          <v:rect id="_x0000_s1029" style="position:absolute;left:0;text-align:left;margin-left:464.5pt;margin-top:8.05pt;width:75.05pt;height:10pt;z-index:251658752" o:allowincell="f" filled="f" stroked="f" strokecolor="lime" strokeweight=".25pt">
            <v:textbox inset="0,0,0,0">
              <w:txbxContent>
                <w:p w14:paraId="75F8F4F3" w14:textId="77777777" w:rsidR="00A657A4" w:rsidRDefault="00A657A4">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ופת ת</w:t>
      </w:r>
      <w:r w:rsidR="001B7C4F">
        <w:rPr>
          <w:rStyle w:val="default"/>
          <w:rFonts w:cs="FrankRuehl" w:hint="cs"/>
          <w:rtl/>
        </w:rPr>
        <w:t>ו</w:t>
      </w:r>
      <w:r>
        <w:rPr>
          <w:rStyle w:val="default"/>
          <w:rFonts w:cs="FrankRuehl" w:hint="cs"/>
          <w:rtl/>
        </w:rPr>
        <w:t>קפה של ההודעה לא תבוא במני</w:t>
      </w:r>
      <w:r w:rsidR="001B7C4F">
        <w:rPr>
          <w:rStyle w:val="default"/>
          <w:rFonts w:cs="FrankRuehl" w:hint="cs"/>
          <w:rtl/>
        </w:rPr>
        <w:t>י</w:t>
      </w:r>
      <w:r>
        <w:rPr>
          <w:rStyle w:val="default"/>
          <w:rFonts w:cs="FrankRuehl" w:hint="cs"/>
          <w:rtl/>
        </w:rPr>
        <w:t>ן הימים לעשיית דבר שבסדרי דין או בנוהג</w:t>
      </w:r>
      <w:r w:rsidR="001B7C4F">
        <w:rPr>
          <w:rStyle w:val="default"/>
          <w:rFonts w:cs="FrankRuehl" w:hint="cs"/>
          <w:rtl/>
        </w:rPr>
        <w:t>,</w:t>
      </w:r>
      <w:r>
        <w:rPr>
          <w:rStyle w:val="default"/>
          <w:rFonts w:cs="FrankRuehl" w:hint="cs"/>
          <w:rtl/>
        </w:rPr>
        <w:t xml:space="preserve"> שנקבע</w:t>
      </w:r>
      <w:r w:rsidR="001B7C4F">
        <w:rPr>
          <w:rStyle w:val="default"/>
          <w:rFonts w:cs="FrankRuehl" w:hint="cs"/>
          <w:rtl/>
        </w:rPr>
        <w:t>ו</w:t>
      </w:r>
      <w:r>
        <w:rPr>
          <w:rStyle w:val="default"/>
          <w:rFonts w:cs="FrankRuehl" w:hint="cs"/>
          <w:rtl/>
        </w:rPr>
        <w:t xml:space="preserve"> בחיקוק או ש</w:t>
      </w:r>
      <w:r>
        <w:rPr>
          <w:rStyle w:val="default"/>
          <w:rFonts w:cs="FrankRuehl"/>
          <w:rtl/>
        </w:rPr>
        <w:t>קב</w:t>
      </w:r>
      <w:r>
        <w:rPr>
          <w:rStyle w:val="default"/>
          <w:rFonts w:cs="FrankRuehl" w:hint="cs"/>
          <w:rtl/>
        </w:rPr>
        <w:t xml:space="preserve">ע בית </w:t>
      </w:r>
      <w:r w:rsidR="001B7C4F">
        <w:rPr>
          <w:rStyle w:val="default"/>
          <w:rFonts w:cs="FrankRuehl" w:hint="cs"/>
          <w:rtl/>
        </w:rPr>
        <w:t>ה</w:t>
      </w:r>
      <w:r>
        <w:rPr>
          <w:rStyle w:val="default"/>
          <w:rFonts w:cs="FrankRuehl" w:hint="cs"/>
          <w:rtl/>
        </w:rPr>
        <w:t>דין</w:t>
      </w:r>
      <w:r w:rsidR="001B7C4F">
        <w:rPr>
          <w:rStyle w:val="default"/>
          <w:rFonts w:cs="FrankRuehl" w:hint="cs"/>
          <w:rtl/>
        </w:rPr>
        <w:t>,</w:t>
      </w:r>
      <w:r>
        <w:rPr>
          <w:rStyle w:val="default"/>
          <w:rFonts w:cs="FrankRuehl" w:hint="cs"/>
          <w:rtl/>
        </w:rPr>
        <w:t xml:space="preserve"> </w:t>
      </w:r>
      <w:r w:rsidR="001B7C4F">
        <w:rPr>
          <w:rStyle w:val="default"/>
          <w:rFonts w:cs="FrankRuehl" w:hint="cs"/>
          <w:rtl/>
        </w:rPr>
        <w:t>למעט בעניינים המפורטים בתקנה 3(א) או אם נקבע אחרת בהחלטת בית הדין</w:t>
      </w:r>
      <w:r>
        <w:rPr>
          <w:rStyle w:val="default"/>
          <w:rFonts w:cs="FrankRuehl" w:hint="cs"/>
          <w:rtl/>
        </w:rPr>
        <w:t>.</w:t>
      </w:r>
    </w:p>
    <w:p w14:paraId="3072272E" w14:textId="77777777" w:rsidR="00A657A4" w:rsidRDefault="00A657A4" w:rsidP="0030756D">
      <w:pPr>
        <w:pStyle w:val="P00"/>
        <w:spacing w:before="72"/>
        <w:ind w:left="0" w:right="1134"/>
        <w:rPr>
          <w:rStyle w:val="default"/>
          <w:rFonts w:cs="FrankRuehl"/>
          <w:rtl/>
        </w:rPr>
      </w:pPr>
      <w:bookmarkStart w:id="4" w:name="Seif5"/>
      <w:bookmarkEnd w:id="4"/>
      <w:r>
        <w:rPr>
          <w:lang w:val="he-IL"/>
        </w:rPr>
        <w:pict w14:anchorId="26768A5E">
          <v:rect id="_x0000_s1030" style="position:absolute;left:0;text-align:left;margin-left:464.5pt;margin-top:8.05pt;width:75.05pt;height:10pt;z-index:251659776" o:allowincell="f" filled="f" stroked="f" strokecolor="lime" strokeweight=".25pt">
            <v:textbox inset="0,0,0,0">
              <w:txbxContent>
                <w:p w14:paraId="4A5ED6F3" w14:textId="77777777" w:rsidR="00A657A4" w:rsidRDefault="00A657A4">
                  <w:pPr>
                    <w:spacing w:line="160" w:lineRule="exact"/>
                    <w:jc w:val="left"/>
                    <w:rPr>
                      <w:rFonts w:cs="Miriam"/>
                      <w:noProof/>
                      <w:sz w:val="18"/>
                      <w:szCs w:val="18"/>
                      <w:rtl/>
                    </w:rPr>
                  </w:pPr>
                  <w:r>
                    <w:rPr>
                      <w:rFonts w:cs="Miriam"/>
                      <w:sz w:val="18"/>
                      <w:szCs w:val="18"/>
                      <w:rtl/>
                    </w:rPr>
                    <w:t>אג</w:t>
                  </w:r>
                  <w:r>
                    <w:rPr>
                      <w:rFonts w:cs="Miriam" w:hint="cs"/>
                      <w:sz w:val="18"/>
                      <w:szCs w:val="18"/>
                      <w:rtl/>
                    </w:rPr>
                    <w:t>רה</w:t>
                  </w:r>
                </w:p>
              </w:txbxContent>
            </v:textbox>
            <w10:anchorlock/>
          </v:rect>
        </w:pict>
      </w:r>
      <w:r>
        <w:rPr>
          <w:rStyle w:val="big-number"/>
          <w:rFonts w:cs="Miriam"/>
          <w:rtl/>
        </w:rPr>
        <w:t>5.</w:t>
      </w:r>
      <w:r>
        <w:rPr>
          <w:rStyle w:val="big-number"/>
          <w:rFonts w:cs="Miriam"/>
          <w:rtl/>
        </w:rPr>
        <w:tab/>
      </w:r>
      <w:r>
        <w:rPr>
          <w:rStyle w:val="default"/>
          <w:rFonts w:cs="FrankRuehl"/>
          <w:rtl/>
        </w:rPr>
        <w:t>אג</w:t>
      </w:r>
      <w:r>
        <w:rPr>
          <w:rStyle w:val="default"/>
          <w:rFonts w:cs="FrankRuehl" w:hint="cs"/>
          <w:rtl/>
        </w:rPr>
        <w:t xml:space="preserve">רה שיש לשלמה לפני תחילת </w:t>
      </w:r>
      <w:r w:rsidR="001B7C4F">
        <w:rPr>
          <w:rStyle w:val="default"/>
          <w:rFonts w:cs="FrankRuehl" w:hint="cs"/>
          <w:rtl/>
        </w:rPr>
        <w:t>ה</w:t>
      </w:r>
      <w:r>
        <w:rPr>
          <w:rStyle w:val="default"/>
          <w:rFonts w:cs="FrankRuehl" w:hint="cs"/>
          <w:rtl/>
        </w:rPr>
        <w:t xml:space="preserve">הליך לפי תקנות </w:t>
      </w:r>
      <w:r w:rsidR="001B7C4F">
        <w:rPr>
          <w:rStyle w:val="default"/>
          <w:rFonts w:cs="FrankRuehl" w:hint="cs"/>
          <w:rtl/>
        </w:rPr>
        <w:t>הכניסה לישראל (אגרות בבית הדין לעררים), התשע"ד-2014</w:t>
      </w:r>
      <w:r>
        <w:rPr>
          <w:rStyle w:val="default"/>
          <w:rFonts w:cs="FrankRuehl" w:hint="cs"/>
          <w:rtl/>
        </w:rPr>
        <w:t xml:space="preserve">, </w:t>
      </w:r>
      <w:r w:rsidR="001B7C4F">
        <w:rPr>
          <w:rStyle w:val="default"/>
          <w:rFonts w:cs="FrankRuehl" w:hint="cs"/>
          <w:rtl/>
        </w:rPr>
        <w:t xml:space="preserve">ושלא ניתן לשלמה באמצעים מקוונים, </w:t>
      </w:r>
      <w:r>
        <w:rPr>
          <w:rStyle w:val="default"/>
          <w:rFonts w:cs="FrankRuehl" w:hint="cs"/>
          <w:rtl/>
        </w:rPr>
        <w:t>יידחה תשלומה עד תום תקופת ת</w:t>
      </w:r>
      <w:r w:rsidR="001B7C4F">
        <w:rPr>
          <w:rStyle w:val="default"/>
          <w:rFonts w:cs="FrankRuehl" w:hint="cs"/>
          <w:rtl/>
        </w:rPr>
        <w:t>ו</w:t>
      </w:r>
      <w:r>
        <w:rPr>
          <w:rStyle w:val="default"/>
          <w:rFonts w:cs="FrankRuehl" w:hint="cs"/>
          <w:rtl/>
        </w:rPr>
        <w:t xml:space="preserve">קפה של ההודעה, אלא אם כן </w:t>
      </w:r>
      <w:r w:rsidR="001B7C4F">
        <w:rPr>
          <w:rStyle w:val="default"/>
          <w:rFonts w:cs="FrankRuehl" w:hint="cs"/>
          <w:rtl/>
        </w:rPr>
        <w:t>נקבע אחרת בהחלטת</w:t>
      </w:r>
      <w:r>
        <w:rPr>
          <w:rStyle w:val="default"/>
          <w:rFonts w:cs="FrankRuehl" w:hint="cs"/>
          <w:rtl/>
        </w:rPr>
        <w:t xml:space="preserve"> בית הדין.</w:t>
      </w:r>
    </w:p>
    <w:p w14:paraId="2655E38F" w14:textId="77777777" w:rsidR="002827C0" w:rsidRDefault="002827C0" w:rsidP="0030756D">
      <w:pPr>
        <w:pStyle w:val="P00"/>
        <w:spacing w:before="72"/>
        <w:ind w:left="0" w:right="1134"/>
        <w:rPr>
          <w:rStyle w:val="default"/>
          <w:rFonts w:cs="FrankRuehl"/>
          <w:rtl/>
        </w:rPr>
      </w:pPr>
    </w:p>
    <w:p w14:paraId="4807A23E" w14:textId="77777777" w:rsidR="00A657A4" w:rsidRDefault="00A657A4">
      <w:pPr>
        <w:pStyle w:val="P00"/>
        <w:spacing w:before="72"/>
        <w:ind w:left="0" w:right="1134"/>
        <w:rPr>
          <w:rStyle w:val="default"/>
          <w:rFonts w:cs="FrankRuehl"/>
          <w:rtl/>
        </w:rPr>
      </w:pPr>
    </w:p>
    <w:p w14:paraId="67E7EE53" w14:textId="77777777" w:rsidR="00A657A4" w:rsidRDefault="001B7C4F" w:rsidP="001B7C4F">
      <w:pPr>
        <w:pStyle w:val="sig-0"/>
        <w:tabs>
          <w:tab w:val="clear" w:pos="4820"/>
          <w:tab w:val="center" w:pos="5670"/>
        </w:tabs>
        <w:ind w:left="0" w:right="1134"/>
        <w:rPr>
          <w:rFonts w:cs="FrankRuehl"/>
          <w:sz w:val="26"/>
          <w:rtl/>
        </w:rPr>
      </w:pPr>
      <w:r>
        <w:rPr>
          <w:rFonts w:cs="FrankRuehl" w:hint="cs"/>
          <w:sz w:val="26"/>
          <w:rtl/>
        </w:rPr>
        <w:t>כ"ג באדר התש"ף (19 במרס 2020</w:t>
      </w:r>
      <w:r w:rsidR="00A657A4">
        <w:rPr>
          <w:rFonts w:cs="FrankRuehl" w:hint="cs"/>
          <w:sz w:val="26"/>
          <w:rtl/>
        </w:rPr>
        <w:t>)</w:t>
      </w:r>
      <w:r w:rsidR="00A657A4">
        <w:rPr>
          <w:rFonts w:cs="FrankRuehl"/>
          <w:sz w:val="26"/>
          <w:rtl/>
        </w:rPr>
        <w:tab/>
      </w:r>
      <w:r>
        <w:rPr>
          <w:rFonts w:cs="FrankRuehl" w:hint="cs"/>
          <w:sz w:val="26"/>
          <w:rtl/>
        </w:rPr>
        <w:t>אמיר אוחנה</w:t>
      </w:r>
    </w:p>
    <w:p w14:paraId="47AEE322" w14:textId="77777777" w:rsidR="00A657A4" w:rsidRDefault="00A657A4" w:rsidP="001B7C4F">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1B4C684B" w14:textId="77777777" w:rsidR="002827C0" w:rsidRPr="0030756D" w:rsidRDefault="002827C0" w:rsidP="0030756D">
      <w:pPr>
        <w:pStyle w:val="P00"/>
        <w:spacing w:before="72"/>
        <w:ind w:left="0" w:right="1134"/>
        <w:rPr>
          <w:rStyle w:val="default"/>
          <w:rFonts w:cs="FrankRuehl"/>
          <w:rtl/>
        </w:rPr>
      </w:pPr>
    </w:p>
    <w:p w14:paraId="5D49D006" w14:textId="77777777" w:rsidR="00A657A4" w:rsidRPr="0030756D" w:rsidRDefault="00A657A4" w:rsidP="0030756D">
      <w:pPr>
        <w:pStyle w:val="P00"/>
        <w:spacing w:before="72"/>
        <w:ind w:left="0" w:right="1134"/>
        <w:rPr>
          <w:rStyle w:val="default"/>
          <w:rFonts w:cs="FrankRuehl"/>
          <w:rtl/>
        </w:rPr>
      </w:pPr>
    </w:p>
    <w:p w14:paraId="73BE5AA8" w14:textId="77777777" w:rsidR="00A657A4" w:rsidRPr="0030756D" w:rsidRDefault="00A657A4" w:rsidP="0030756D">
      <w:pPr>
        <w:pStyle w:val="P00"/>
        <w:spacing w:before="72"/>
        <w:ind w:left="0" w:right="1134"/>
        <w:rPr>
          <w:rStyle w:val="default"/>
          <w:rFonts w:cs="FrankRuehl"/>
          <w:rtl/>
        </w:rPr>
      </w:pPr>
      <w:bookmarkStart w:id="5" w:name="LawPartEnd"/>
    </w:p>
    <w:bookmarkEnd w:id="5"/>
    <w:p w14:paraId="68A8CF1F" w14:textId="77777777" w:rsidR="00422FDD" w:rsidRDefault="00422FDD" w:rsidP="0030756D">
      <w:pPr>
        <w:pStyle w:val="P00"/>
        <w:spacing w:before="72"/>
        <w:ind w:left="0" w:right="1134"/>
        <w:rPr>
          <w:rStyle w:val="default"/>
          <w:rFonts w:cs="FrankRuehl"/>
          <w:rtl/>
        </w:rPr>
      </w:pPr>
    </w:p>
    <w:p w14:paraId="2F1ECE46" w14:textId="77777777" w:rsidR="00422FDD" w:rsidRDefault="00422FDD" w:rsidP="0030756D">
      <w:pPr>
        <w:pStyle w:val="P00"/>
        <w:spacing w:before="72"/>
        <w:ind w:left="0" w:right="1134"/>
        <w:rPr>
          <w:rStyle w:val="default"/>
          <w:rFonts w:cs="FrankRuehl"/>
          <w:rtl/>
        </w:rPr>
      </w:pPr>
    </w:p>
    <w:p w14:paraId="4BDC307D" w14:textId="77777777" w:rsidR="00422FDD" w:rsidRDefault="00422FDD" w:rsidP="00422FDD">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93D1C2D" w14:textId="77777777" w:rsidR="00484FDE" w:rsidRPr="00422FDD" w:rsidRDefault="00484FDE" w:rsidP="00422FDD">
      <w:pPr>
        <w:pStyle w:val="P00"/>
        <w:spacing w:before="72"/>
        <w:ind w:left="0" w:right="1134"/>
        <w:jc w:val="center"/>
        <w:rPr>
          <w:rStyle w:val="default"/>
          <w:rFonts w:cs="David"/>
          <w:color w:val="0000FF"/>
          <w:szCs w:val="24"/>
          <w:u w:val="single"/>
          <w:rtl/>
        </w:rPr>
      </w:pPr>
    </w:p>
    <w:sectPr w:rsidR="00484FDE" w:rsidRPr="00422FD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1647" w14:textId="77777777" w:rsidR="00863F0F" w:rsidRDefault="00863F0F">
      <w:pPr>
        <w:spacing w:line="240" w:lineRule="auto"/>
      </w:pPr>
      <w:r>
        <w:separator/>
      </w:r>
    </w:p>
  </w:endnote>
  <w:endnote w:type="continuationSeparator" w:id="0">
    <w:p w14:paraId="1D77D2DA" w14:textId="77777777" w:rsidR="00863F0F" w:rsidRDefault="00863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6E7A" w14:textId="77777777" w:rsidR="00A657A4" w:rsidRDefault="00A657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68384D" w14:textId="77777777" w:rsidR="00A657A4" w:rsidRDefault="00A657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44D716" w14:textId="77777777" w:rsidR="00A657A4" w:rsidRDefault="00A657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3C7B">
      <w:rPr>
        <w:rFonts w:cs="TopType Jerushalmi"/>
        <w:noProof/>
        <w:color w:val="000000"/>
        <w:sz w:val="14"/>
        <w:szCs w:val="14"/>
      </w:rPr>
      <w:t>Z:\000000000000-law\yael\08-10-12\042_020.doc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60343" w14:textId="77777777" w:rsidR="00A657A4" w:rsidRDefault="00A657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2FDD">
      <w:rPr>
        <w:rFonts w:hAnsi="FrankRuehl" w:cs="FrankRuehl"/>
        <w:noProof/>
        <w:sz w:val="24"/>
        <w:szCs w:val="24"/>
        <w:rtl/>
      </w:rPr>
      <w:t>3</w:t>
    </w:r>
    <w:r>
      <w:rPr>
        <w:rFonts w:hAnsi="FrankRuehl" w:cs="FrankRuehl"/>
        <w:sz w:val="24"/>
        <w:szCs w:val="24"/>
        <w:rtl/>
      </w:rPr>
      <w:fldChar w:fldCharType="end"/>
    </w:r>
  </w:p>
  <w:p w14:paraId="4F77DA5C" w14:textId="77777777" w:rsidR="00A657A4" w:rsidRDefault="00A657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00DE07" w14:textId="77777777" w:rsidR="00A657A4" w:rsidRDefault="00A657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3C7B">
      <w:rPr>
        <w:rFonts w:cs="TopType Jerushalmi"/>
        <w:noProof/>
        <w:color w:val="000000"/>
        <w:sz w:val="14"/>
        <w:szCs w:val="14"/>
      </w:rPr>
      <w:t>Z:\000000000000-law\yael\08-10-12\042_020.doc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0E8B" w14:textId="77777777" w:rsidR="00863F0F" w:rsidRDefault="00863F0F" w:rsidP="0030756D">
      <w:pPr>
        <w:spacing w:before="60" w:line="240" w:lineRule="auto"/>
        <w:ind w:right="1134"/>
      </w:pPr>
      <w:r>
        <w:separator/>
      </w:r>
    </w:p>
  </w:footnote>
  <w:footnote w:type="continuationSeparator" w:id="0">
    <w:p w14:paraId="49656E8C" w14:textId="77777777" w:rsidR="00863F0F" w:rsidRDefault="00863F0F">
      <w:pPr>
        <w:spacing w:line="240" w:lineRule="auto"/>
      </w:pPr>
      <w:r>
        <w:continuationSeparator/>
      </w:r>
    </w:p>
  </w:footnote>
  <w:footnote w:id="1">
    <w:p w14:paraId="3CE765C8" w14:textId="77777777" w:rsidR="009C0B7A" w:rsidRPr="0030756D" w:rsidRDefault="0030756D" w:rsidP="009C0B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0756D">
        <w:rPr>
          <w:rFonts w:cs="FrankRuehl"/>
          <w:rtl/>
        </w:rPr>
        <w:t xml:space="preserve">* </w:t>
      </w:r>
      <w:r>
        <w:rPr>
          <w:rFonts w:cs="FrankRuehl"/>
          <w:rtl/>
        </w:rPr>
        <w:t>פו</w:t>
      </w:r>
      <w:r>
        <w:rPr>
          <w:rFonts w:cs="FrankRuehl" w:hint="cs"/>
          <w:rtl/>
        </w:rPr>
        <w:t xml:space="preserve">רסמו </w:t>
      </w:r>
      <w:hyperlink r:id="rId1" w:history="1">
        <w:r w:rsidRPr="009C0B7A">
          <w:rPr>
            <w:rStyle w:val="Hyperlink"/>
            <w:rFonts w:cs="FrankRuehl" w:hint="cs"/>
            <w:rtl/>
          </w:rPr>
          <w:t>ק"ת תש</w:t>
        </w:r>
        <w:r w:rsidR="002827C0" w:rsidRPr="009C0B7A">
          <w:rPr>
            <w:rStyle w:val="Hyperlink"/>
            <w:rFonts w:cs="FrankRuehl" w:hint="cs"/>
            <w:rtl/>
          </w:rPr>
          <w:t>"ף</w:t>
        </w:r>
        <w:r w:rsidRPr="009C0B7A">
          <w:rPr>
            <w:rStyle w:val="Hyperlink"/>
            <w:rFonts w:cs="FrankRuehl" w:hint="cs"/>
            <w:rtl/>
          </w:rPr>
          <w:t xml:space="preserve"> מס' </w:t>
        </w:r>
        <w:r w:rsidR="002827C0" w:rsidRPr="009C0B7A">
          <w:rPr>
            <w:rStyle w:val="Hyperlink"/>
            <w:rFonts w:cs="FrankRuehl" w:hint="cs"/>
            <w:rtl/>
          </w:rPr>
          <w:t>8397</w:t>
        </w:r>
      </w:hyperlink>
      <w:r>
        <w:rPr>
          <w:rFonts w:cs="FrankRuehl" w:hint="cs"/>
          <w:rtl/>
        </w:rPr>
        <w:t xml:space="preserve"> מיום </w:t>
      </w:r>
      <w:r w:rsidR="002827C0">
        <w:rPr>
          <w:rFonts w:cs="FrankRuehl" w:hint="cs"/>
          <w:rtl/>
        </w:rPr>
        <w:t>19.3.2020</w:t>
      </w:r>
      <w:r>
        <w:rPr>
          <w:rFonts w:cs="FrankRuehl" w:hint="cs"/>
          <w:rtl/>
        </w:rPr>
        <w:t xml:space="preserve"> עמ' </w:t>
      </w:r>
      <w:r w:rsidR="002827C0">
        <w:rPr>
          <w:rFonts w:cs="FrankRuehl" w:hint="cs"/>
          <w:rtl/>
        </w:rPr>
        <w:t>796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41D6" w14:textId="77777777" w:rsidR="00A657A4" w:rsidRDefault="00A657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הדין לעבודה (סדרי דין במצב חירום מיוחד), תשנ"א- 1991</w:t>
    </w:r>
  </w:p>
  <w:p w14:paraId="55809757"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3AD453"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0676" w14:textId="77777777" w:rsidR="00A657A4" w:rsidRDefault="00A657A4" w:rsidP="003075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sidR="002827C0">
      <w:rPr>
        <w:rFonts w:hAnsi="FrankRuehl" w:cs="FrankRuehl" w:hint="cs"/>
        <w:color w:val="000000"/>
        <w:sz w:val="28"/>
        <w:szCs w:val="28"/>
        <w:rtl/>
      </w:rPr>
      <w:t>הכניסה לישראל</w:t>
    </w:r>
    <w:r>
      <w:rPr>
        <w:rFonts w:hAnsi="FrankRuehl" w:cs="FrankRuehl"/>
        <w:color w:val="000000"/>
        <w:sz w:val="28"/>
        <w:szCs w:val="28"/>
        <w:rtl/>
      </w:rPr>
      <w:t xml:space="preserve"> (סדרי דין במצב חירום מיוחד</w:t>
    </w:r>
    <w:r w:rsidR="002827C0">
      <w:rPr>
        <w:rFonts w:hAnsi="FrankRuehl" w:cs="FrankRuehl" w:hint="cs"/>
        <w:color w:val="000000"/>
        <w:sz w:val="28"/>
        <w:szCs w:val="28"/>
        <w:rtl/>
      </w:rPr>
      <w:t xml:space="preserve"> בבית דין לעררים</w:t>
    </w:r>
    <w:r>
      <w:rPr>
        <w:rFonts w:hAnsi="FrankRuehl" w:cs="FrankRuehl"/>
        <w:color w:val="000000"/>
        <w:sz w:val="28"/>
        <w:szCs w:val="28"/>
        <w:rtl/>
      </w:rPr>
      <w:t xml:space="preserve">), </w:t>
    </w:r>
    <w:r w:rsidR="002827C0">
      <w:rPr>
        <w:rFonts w:hAnsi="FrankRuehl" w:cs="FrankRuehl" w:hint="cs"/>
        <w:color w:val="000000"/>
        <w:sz w:val="28"/>
        <w:szCs w:val="28"/>
        <w:rtl/>
      </w:rPr>
      <w:t>תש"ף-2020</w:t>
    </w:r>
  </w:p>
  <w:p w14:paraId="141D7F0A"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9F4F84" w14:textId="77777777" w:rsidR="00A657A4" w:rsidRDefault="00A657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3E36"/>
    <w:rsid w:val="000245A5"/>
    <w:rsid w:val="000B46A2"/>
    <w:rsid w:val="001B7C4F"/>
    <w:rsid w:val="001D3413"/>
    <w:rsid w:val="0022219C"/>
    <w:rsid w:val="00273300"/>
    <w:rsid w:val="002827C0"/>
    <w:rsid w:val="00296B63"/>
    <w:rsid w:val="0030756D"/>
    <w:rsid w:val="003C3E36"/>
    <w:rsid w:val="00422FDD"/>
    <w:rsid w:val="0042782B"/>
    <w:rsid w:val="00484FDE"/>
    <w:rsid w:val="005F2F01"/>
    <w:rsid w:val="0078689E"/>
    <w:rsid w:val="00863F0F"/>
    <w:rsid w:val="008B0823"/>
    <w:rsid w:val="00925C28"/>
    <w:rsid w:val="00990F77"/>
    <w:rsid w:val="009C0B7A"/>
    <w:rsid w:val="00A06D7A"/>
    <w:rsid w:val="00A53C7B"/>
    <w:rsid w:val="00A657A4"/>
    <w:rsid w:val="00A70F53"/>
    <w:rsid w:val="00AF6DA3"/>
    <w:rsid w:val="00BC69AD"/>
    <w:rsid w:val="00CE697E"/>
    <w:rsid w:val="00F858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CBCCD2"/>
  <w15:chartTrackingRefBased/>
  <w15:docId w15:val="{546EC880-C3A3-49B2-87F4-CDD6687B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30756D"/>
    <w:rPr>
      <w:sz w:val="20"/>
      <w:szCs w:val="20"/>
    </w:rPr>
  </w:style>
  <w:style w:type="character" w:styleId="a6">
    <w:name w:val="footnote reference"/>
    <w:semiHidden/>
    <w:rsid w:val="0030756D"/>
    <w:rPr>
      <w:vertAlign w:val="superscript"/>
    </w:rPr>
  </w:style>
  <w:style w:type="character" w:customStyle="1" w:styleId="UnresolvedMention">
    <w:name w:val="Unresolved Mention"/>
    <w:uiPriority w:val="99"/>
    <w:semiHidden/>
    <w:unhideWhenUsed/>
    <w:rsid w:val="001D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3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2889</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7864332</vt:i4>
      </vt:variant>
      <vt:variant>
        <vt:i4>0</vt:i4>
      </vt:variant>
      <vt:variant>
        <vt:i4>0</vt:i4>
      </vt:variant>
      <vt:variant>
        <vt:i4>5</vt:i4>
      </vt:variant>
      <vt:variant>
        <vt:lpwstr>http://www.nevo.co.il/Law_word/law06/tak-8397.pdf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כניסה לישראל</vt:lpwstr>
  </property>
  <property fmtid="{D5CDD505-2E9C-101B-9397-08002B2CF9AE}" pid="4" name="LAWNAME">
    <vt:lpwstr>תקנות הכניסה לישראל (סדרי דין במצב חירום מיוחד בבית דין לעררים), תש"ף-2020</vt:lpwstr>
  </property>
  <property fmtid="{D5CDD505-2E9C-101B-9397-08002B2CF9AE}" pid="5" name="LAWNUMBER">
    <vt:lpwstr>0261</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כניסה לישראל</vt:lpwstr>
  </property>
  <property fmtid="{D5CDD505-2E9C-101B-9397-08002B2CF9AE}" pid="9" name="NOSE41">
    <vt:lpwstr/>
  </property>
  <property fmtid="{D5CDD505-2E9C-101B-9397-08002B2CF9AE}" pid="10" name="NOSE12">
    <vt:lpwstr>רשויות ומשפט מנהלי</vt:lpwstr>
  </property>
  <property fmtid="{D5CDD505-2E9C-101B-9397-08002B2CF9AE}" pid="11" name="NOSE22">
    <vt:lpwstr>בתי דין מינהליים</vt:lpwstr>
  </property>
  <property fmtid="{D5CDD505-2E9C-101B-9397-08002B2CF9AE}" pid="12" name="NOSE32">
    <vt:lpwstr>סדר דין</vt:lpwstr>
  </property>
  <property fmtid="{D5CDD505-2E9C-101B-9397-08002B2CF9AE}" pid="13" name="NOSE43">
    <vt:lpwstr/>
  </property>
  <property fmtid="{D5CDD505-2E9C-101B-9397-08002B2CF9AE}" pid="14" name="NOSE34">
    <vt:lpwstr/>
  </property>
  <property fmtid="{D5CDD505-2E9C-101B-9397-08002B2CF9AE}" pid="15" name="NOSE44">
    <vt:lpwstr/>
  </property>
  <property fmtid="{D5CDD505-2E9C-101B-9397-08002B2CF9AE}" pid="16" name="NOSE15">
    <vt:lpwstr>בטחון</vt:lpwstr>
  </property>
  <property fmtid="{D5CDD505-2E9C-101B-9397-08002B2CF9AE}" pid="17" name="NOSE25">
    <vt:lpwstr>שעת חירום</vt:lpwstr>
  </property>
  <property fmtid="{D5CDD505-2E9C-101B-9397-08002B2CF9AE}" pid="18" name="NOSE45">
    <vt:lpwstr/>
  </property>
  <property fmtid="{D5CDD505-2E9C-101B-9397-08002B2CF9AE}" pid="19" name="NOSE16">
    <vt:lpwstr/>
  </property>
  <property fmtid="{D5CDD505-2E9C-101B-9397-08002B2CF9AE}" pid="20" name="NOSE26">
    <vt:lpwstr/>
  </property>
  <property fmtid="{D5CDD505-2E9C-101B-9397-08002B2CF9AE}" pid="21" name="NOSE36">
    <vt:lpwstr/>
  </property>
  <property fmtid="{D5CDD505-2E9C-101B-9397-08002B2CF9AE}" pid="22" name="NOSE46">
    <vt:lpwstr/>
  </property>
  <property fmtid="{D5CDD505-2E9C-101B-9397-08002B2CF9AE}" pid="23" name="NOSE17">
    <vt:lpwstr/>
  </property>
  <property fmtid="{D5CDD505-2E9C-101B-9397-08002B2CF9AE}" pid="24" name="NOSE27">
    <vt:lpwstr/>
  </property>
  <property fmtid="{D5CDD505-2E9C-101B-9397-08002B2CF9AE}" pid="25" name="NOSE37">
    <vt:lpwstr/>
  </property>
  <property fmtid="{D5CDD505-2E9C-101B-9397-08002B2CF9AE}" pid="26" name="NOSE47">
    <vt:lpwstr/>
  </property>
  <property fmtid="{D5CDD505-2E9C-101B-9397-08002B2CF9AE}" pid="27" name="NOSE18">
    <vt:lpwstr/>
  </property>
  <property fmtid="{D5CDD505-2E9C-101B-9397-08002B2CF9AE}" pid="28" name="NOSE28">
    <vt:lpwstr/>
  </property>
  <property fmtid="{D5CDD505-2E9C-101B-9397-08002B2CF9AE}" pid="29" name="NOSE38">
    <vt:lpwstr/>
  </property>
  <property fmtid="{D5CDD505-2E9C-101B-9397-08002B2CF9AE}" pid="30" name="NOSE48">
    <vt:lpwstr/>
  </property>
  <property fmtid="{D5CDD505-2E9C-101B-9397-08002B2CF9AE}" pid="31" name="NOSE19">
    <vt:lpwstr/>
  </property>
  <property fmtid="{D5CDD505-2E9C-101B-9397-08002B2CF9AE}" pid="32" name="NOSE29">
    <vt:lpwstr/>
  </property>
  <property fmtid="{D5CDD505-2E9C-101B-9397-08002B2CF9AE}" pid="33" name="NOSE39">
    <vt:lpwstr/>
  </property>
  <property fmtid="{D5CDD505-2E9C-101B-9397-08002B2CF9AE}" pid="34" name="NOSE49">
    <vt:lpwstr/>
  </property>
  <property fmtid="{D5CDD505-2E9C-101B-9397-08002B2CF9AE}" pid="35" name="NOSE110">
    <vt:lpwstr/>
  </property>
  <property fmtid="{D5CDD505-2E9C-101B-9397-08002B2CF9AE}" pid="36" name="NOSE210">
    <vt:lpwstr/>
  </property>
  <property fmtid="{D5CDD505-2E9C-101B-9397-08002B2CF9AE}" pid="37" name="NOSE310">
    <vt:lpwstr/>
  </property>
  <property fmtid="{D5CDD505-2E9C-101B-9397-08002B2CF9AE}" pid="38" name="NOSE410">
    <vt:lpwstr/>
  </property>
  <property fmtid="{D5CDD505-2E9C-101B-9397-08002B2CF9AE}" pid="39" name="MEKOR_NAME1">
    <vt:lpwstr>חוק הכניסה לישראל, תשי"ב-1952</vt:lpwstr>
  </property>
  <property fmtid="{D5CDD505-2E9C-101B-9397-08002B2CF9AE}" pid="40" name="MEKOR_SAIF1">
    <vt:lpwstr>13לדXאX1X</vt:lpwstr>
  </property>
  <property fmtid="{D5CDD505-2E9C-101B-9397-08002B2CF9AE}" pid="41" name="MEKORSAMCHUT">
    <vt:lpwstr/>
  </property>
  <property fmtid="{D5CDD505-2E9C-101B-9397-08002B2CF9AE}" pid="42" name="LINKK2">
    <vt:lpwstr/>
  </property>
  <property fmtid="{D5CDD505-2E9C-101B-9397-08002B2CF9AE}" pid="43" name="LINKK3">
    <vt:lpwstr/>
  </property>
  <property fmtid="{D5CDD505-2E9C-101B-9397-08002B2CF9AE}" pid="44" name="LINKK4">
    <vt:lpwstr/>
  </property>
  <property fmtid="{D5CDD505-2E9C-101B-9397-08002B2CF9AE}" pid="45" name="LINKK5">
    <vt:lpwstr/>
  </property>
  <property fmtid="{D5CDD505-2E9C-101B-9397-08002B2CF9AE}" pid="46" name="LINKK6">
    <vt:lpwstr/>
  </property>
  <property fmtid="{D5CDD505-2E9C-101B-9397-08002B2CF9AE}" pid="47" name="LINKK7">
    <vt:lpwstr/>
  </property>
  <property fmtid="{D5CDD505-2E9C-101B-9397-08002B2CF9AE}" pid="48" name="LINKK8">
    <vt:lpwstr/>
  </property>
  <property fmtid="{D5CDD505-2E9C-101B-9397-08002B2CF9AE}" pid="49" name="LINKK9">
    <vt:lpwstr/>
  </property>
  <property fmtid="{D5CDD505-2E9C-101B-9397-08002B2CF9AE}" pid="50" name="LINKK10">
    <vt:lpwstr/>
  </property>
  <property fmtid="{D5CDD505-2E9C-101B-9397-08002B2CF9AE}" pid="51" name="LINKI1">
    <vt:lpwstr/>
  </property>
  <property fmtid="{D5CDD505-2E9C-101B-9397-08002B2CF9AE}" pid="52" name="LINKI2">
    <vt:lpwstr/>
  </property>
  <property fmtid="{D5CDD505-2E9C-101B-9397-08002B2CF9AE}" pid="53" name="LINKI3">
    <vt:lpwstr/>
  </property>
  <property fmtid="{D5CDD505-2E9C-101B-9397-08002B2CF9AE}" pid="54" name="LINKI4">
    <vt:lpwstr/>
  </property>
  <property fmtid="{D5CDD505-2E9C-101B-9397-08002B2CF9AE}" pid="55" name="LINKI5">
    <vt:lpwstr/>
  </property>
  <property fmtid="{D5CDD505-2E9C-101B-9397-08002B2CF9AE}" pid="56" name="MEKOR_LAWID1">
    <vt:lpwstr>90721</vt:lpwstr>
  </property>
  <property fmtid="{D5CDD505-2E9C-101B-9397-08002B2CF9AE}" pid="57" name="LINKK1">
    <vt:lpwstr>http://www.nevo.co.il/Law_word/law06/tak-8397.pdf‏;רשומות - תקנות כלליות#פורסמו ק"ת תש"ף מס' ‏‏8397# מיום 19.3.2020 עמ' 796‏</vt:lpwstr>
  </property>
</Properties>
</file>