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BD30C" w14:textId="77777777" w:rsidR="00DD06B1" w:rsidRDefault="003D57D8" w:rsidP="003D57D8">
      <w:pPr>
        <w:pStyle w:val="big-header"/>
        <w:ind w:left="0" w:right="1134"/>
        <w:rPr>
          <w:rFonts w:cs="FrankRuehl" w:hint="cs"/>
          <w:sz w:val="32"/>
          <w:rtl/>
        </w:rPr>
      </w:pPr>
      <w:r>
        <w:rPr>
          <w:rFonts w:cs="FrankRuehl" w:hint="cs"/>
          <w:sz w:val="32"/>
          <w:rtl/>
        </w:rPr>
        <w:t>תקנות</w:t>
      </w:r>
      <w:r w:rsidR="00301EEF">
        <w:rPr>
          <w:rFonts w:cs="FrankRuehl" w:hint="cs"/>
          <w:sz w:val="32"/>
          <w:rtl/>
        </w:rPr>
        <w:t xml:space="preserve"> המאבק בתכנית הגרעין של איראן</w:t>
      </w:r>
      <w:r>
        <w:rPr>
          <w:rFonts w:cs="FrankRuehl" w:hint="cs"/>
          <w:sz w:val="32"/>
          <w:rtl/>
        </w:rPr>
        <w:t xml:space="preserve"> (מתן הודעות וסדרי עבודה)</w:t>
      </w:r>
      <w:r w:rsidR="00DD06B1">
        <w:rPr>
          <w:rFonts w:cs="FrankRuehl"/>
          <w:sz w:val="32"/>
          <w:rtl/>
        </w:rPr>
        <w:t xml:space="preserve">, </w:t>
      </w:r>
      <w:r>
        <w:rPr>
          <w:rFonts w:cs="FrankRuehl" w:hint="cs"/>
          <w:sz w:val="32"/>
          <w:rtl/>
        </w:rPr>
        <w:br/>
      </w:r>
      <w:r w:rsidR="00CC057B">
        <w:rPr>
          <w:rFonts w:cs="FrankRuehl" w:hint="cs"/>
          <w:sz w:val="32"/>
          <w:rtl/>
        </w:rPr>
        <w:t>תשע"</w:t>
      </w:r>
      <w:r>
        <w:rPr>
          <w:rFonts w:cs="FrankRuehl" w:hint="cs"/>
          <w:sz w:val="32"/>
          <w:rtl/>
        </w:rPr>
        <w:t>ד-2014</w:t>
      </w:r>
    </w:p>
    <w:p w14:paraId="4EDC5584" w14:textId="77777777" w:rsidR="00301EEF" w:rsidRPr="00301EEF" w:rsidRDefault="00301EEF" w:rsidP="00301EEF">
      <w:pPr>
        <w:spacing w:line="320" w:lineRule="auto"/>
        <w:jc w:val="left"/>
        <w:rPr>
          <w:rFonts w:cs="FrankRuehl"/>
          <w:szCs w:val="26"/>
          <w:rtl/>
        </w:rPr>
      </w:pPr>
    </w:p>
    <w:p w14:paraId="75C980D7" w14:textId="77777777" w:rsidR="00301EEF" w:rsidRDefault="00301EEF" w:rsidP="00301EEF">
      <w:pPr>
        <w:spacing w:line="320" w:lineRule="auto"/>
        <w:jc w:val="left"/>
        <w:rPr>
          <w:rtl/>
        </w:rPr>
      </w:pPr>
    </w:p>
    <w:p w14:paraId="4E60BAC8" w14:textId="77777777" w:rsidR="00301EEF" w:rsidRPr="00301EEF" w:rsidRDefault="00301EEF" w:rsidP="00301EEF">
      <w:pPr>
        <w:spacing w:line="320" w:lineRule="auto"/>
        <w:jc w:val="left"/>
        <w:rPr>
          <w:rFonts w:cs="Miriam" w:hint="cs"/>
          <w:szCs w:val="22"/>
          <w:rtl/>
        </w:rPr>
      </w:pPr>
      <w:r w:rsidRPr="00301EEF">
        <w:rPr>
          <w:rFonts w:cs="Miriam"/>
          <w:szCs w:val="22"/>
          <w:rtl/>
        </w:rPr>
        <w:t>בטחון</w:t>
      </w:r>
      <w:r w:rsidRPr="00301EEF">
        <w:rPr>
          <w:rFonts w:cs="FrankRuehl"/>
          <w:szCs w:val="26"/>
          <w:rtl/>
        </w:rPr>
        <w:t xml:space="preserve"> – טרור</w:t>
      </w:r>
    </w:p>
    <w:p w14:paraId="6FEA5C1A" w14:textId="77777777" w:rsidR="00DD06B1" w:rsidRDefault="00DD06B1">
      <w:pPr>
        <w:pStyle w:val="big-header"/>
        <w:ind w:left="0" w:right="1134"/>
        <w:rPr>
          <w:rStyle w:val="default"/>
          <w:rFonts w:cs="FrankRuehl"/>
          <w:sz w:val="32"/>
          <w:szCs w:val="32"/>
          <w:rtl/>
        </w:rPr>
      </w:pPr>
      <w:r>
        <w:rPr>
          <w:rStyle w:val="default"/>
          <w:rFonts w:cs="FrankRuehl"/>
          <w:sz w:val="32"/>
          <w:szCs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A563B" w:rsidRPr="004A563B" w14:paraId="025B5D49" w14:textId="77777777" w:rsidTr="004A563B">
        <w:tblPrEx>
          <w:tblCellMar>
            <w:top w:w="0" w:type="dxa"/>
            <w:bottom w:w="0" w:type="dxa"/>
          </w:tblCellMar>
        </w:tblPrEx>
        <w:tc>
          <w:tcPr>
            <w:tcW w:w="1247" w:type="dxa"/>
          </w:tcPr>
          <w:p w14:paraId="0CDC3C4C"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 xml:space="preserve">סעיף 1 </w:t>
            </w:r>
          </w:p>
        </w:tc>
        <w:tc>
          <w:tcPr>
            <w:tcW w:w="5669" w:type="dxa"/>
          </w:tcPr>
          <w:p w14:paraId="7801E3FB"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הגדרה</w:t>
            </w:r>
          </w:p>
        </w:tc>
        <w:tc>
          <w:tcPr>
            <w:tcW w:w="567" w:type="dxa"/>
          </w:tcPr>
          <w:p w14:paraId="7B94131C" w14:textId="77777777" w:rsidR="004A563B" w:rsidRPr="004A563B" w:rsidRDefault="004A563B" w:rsidP="004A563B">
            <w:pPr>
              <w:spacing w:line="240" w:lineRule="auto"/>
              <w:jc w:val="left"/>
              <w:rPr>
                <w:rStyle w:val="Hyperlink"/>
                <w:rtl/>
              </w:rPr>
            </w:pPr>
            <w:hyperlink w:anchor="Seif1" w:tooltip="הגדרה" w:history="1">
              <w:r w:rsidRPr="004A563B">
                <w:rPr>
                  <w:rStyle w:val="Hyperlink"/>
                </w:rPr>
                <w:t>Go</w:t>
              </w:r>
            </w:hyperlink>
          </w:p>
        </w:tc>
        <w:tc>
          <w:tcPr>
            <w:tcW w:w="850" w:type="dxa"/>
          </w:tcPr>
          <w:p w14:paraId="7AAE0DFB" w14:textId="77777777" w:rsidR="004A563B" w:rsidRPr="004A563B" w:rsidRDefault="004A563B" w:rsidP="004A563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A563B" w:rsidRPr="004A563B" w14:paraId="35AF109A" w14:textId="77777777" w:rsidTr="004A563B">
        <w:tblPrEx>
          <w:tblCellMar>
            <w:top w:w="0" w:type="dxa"/>
            <w:bottom w:w="0" w:type="dxa"/>
          </w:tblCellMar>
        </w:tblPrEx>
        <w:tc>
          <w:tcPr>
            <w:tcW w:w="1247" w:type="dxa"/>
          </w:tcPr>
          <w:p w14:paraId="061659D1"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 xml:space="preserve">סעיף 2 </w:t>
            </w:r>
          </w:p>
        </w:tc>
        <w:tc>
          <w:tcPr>
            <w:tcW w:w="5669" w:type="dxa"/>
          </w:tcPr>
          <w:p w14:paraId="2280656C"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דרכי ההודעה לגורם הזר על הכוונה להכריז עליו</w:t>
            </w:r>
          </w:p>
        </w:tc>
        <w:tc>
          <w:tcPr>
            <w:tcW w:w="567" w:type="dxa"/>
          </w:tcPr>
          <w:p w14:paraId="32BF9713" w14:textId="77777777" w:rsidR="004A563B" w:rsidRPr="004A563B" w:rsidRDefault="004A563B" w:rsidP="004A563B">
            <w:pPr>
              <w:spacing w:line="240" w:lineRule="auto"/>
              <w:jc w:val="left"/>
              <w:rPr>
                <w:rStyle w:val="Hyperlink"/>
                <w:rtl/>
              </w:rPr>
            </w:pPr>
            <w:hyperlink w:anchor="Seif2" w:tooltip="דרכי ההודעה לגורם הזר על הכוונה להכריז עליו" w:history="1">
              <w:r w:rsidRPr="004A563B">
                <w:rPr>
                  <w:rStyle w:val="Hyperlink"/>
                </w:rPr>
                <w:t>Go</w:t>
              </w:r>
            </w:hyperlink>
          </w:p>
        </w:tc>
        <w:tc>
          <w:tcPr>
            <w:tcW w:w="850" w:type="dxa"/>
          </w:tcPr>
          <w:p w14:paraId="7B137CFE" w14:textId="77777777" w:rsidR="004A563B" w:rsidRPr="004A563B" w:rsidRDefault="004A563B" w:rsidP="004A563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A563B" w:rsidRPr="004A563B" w14:paraId="34EFC055" w14:textId="77777777" w:rsidTr="004A563B">
        <w:tblPrEx>
          <w:tblCellMar>
            <w:top w:w="0" w:type="dxa"/>
            <w:bottom w:w="0" w:type="dxa"/>
          </w:tblCellMar>
        </w:tblPrEx>
        <w:tc>
          <w:tcPr>
            <w:tcW w:w="1247" w:type="dxa"/>
          </w:tcPr>
          <w:p w14:paraId="181CAA9B"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 xml:space="preserve">סעיף 3 </w:t>
            </w:r>
          </w:p>
        </w:tc>
        <w:tc>
          <w:tcPr>
            <w:tcW w:w="5669" w:type="dxa"/>
          </w:tcPr>
          <w:p w14:paraId="1EC9BACD"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הודעה על כוונה להכריז</w:t>
            </w:r>
          </w:p>
        </w:tc>
        <w:tc>
          <w:tcPr>
            <w:tcW w:w="567" w:type="dxa"/>
          </w:tcPr>
          <w:p w14:paraId="3C1010AE" w14:textId="77777777" w:rsidR="004A563B" w:rsidRPr="004A563B" w:rsidRDefault="004A563B" w:rsidP="004A563B">
            <w:pPr>
              <w:spacing w:line="240" w:lineRule="auto"/>
              <w:jc w:val="left"/>
              <w:rPr>
                <w:rStyle w:val="Hyperlink"/>
                <w:rtl/>
              </w:rPr>
            </w:pPr>
            <w:hyperlink w:anchor="Seif3" w:tooltip="הודעה על כוונה להכריז" w:history="1">
              <w:r w:rsidRPr="004A563B">
                <w:rPr>
                  <w:rStyle w:val="Hyperlink"/>
                </w:rPr>
                <w:t>Go</w:t>
              </w:r>
            </w:hyperlink>
          </w:p>
        </w:tc>
        <w:tc>
          <w:tcPr>
            <w:tcW w:w="850" w:type="dxa"/>
          </w:tcPr>
          <w:p w14:paraId="4F5CC49E" w14:textId="77777777" w:rsidR="004A563B" w:rsidRPr="004A563B" w:rsidRDefault="004A563B" w:rsidP="004A563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Seif3</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A563B" w:rsidRPr="004A563B" w14:paraId="56B34801" w14:textId="77777777" w:rsidTr="004A563B">
        <w:tblPrEx>
          <w:tblCellMar>
            <w:top w:w="0" w:type="dxa"/>
            <w:bottom w:w="0" w:type="dxa"/>
          </w:tblCellMar>
        </w:tblPrEx>
        <w:tc>
          <w:tcPr>
            <w:tcW w:w="1247" w:type="dxa"/>
          </w:tcPr>
          <w:p w14:paraId="6CB25C09"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 xml:space="preserve">סעיף 4 </w:t>
            </w:r>
          </w:p>
        </w:tc>
        <w:tc>
          <w:tcPr>
            <w:tcW w:w="5669" w:type="dxa"/>
          </w:tcPr>
          <w:p w14:paraId="1181B956"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בקשה שלא להכריז או בקשה לביטול הכרזה</w:t>
            </w:r>
          </w:p>
        </w:tc>
        <w:tc>
          <w:tcPr>
            <w:tcW w:w="567" w:type="dxa"/>
          </w:tcPr>
          <w:p w14:paraId="38AFD9A8" w14:textId="77777777" w:rsidR="004A563B" w:rsidRPr="004A563B" w:rsidRDefault="004A563B" w:rsidP="004A563B">
            <w:pPr>
              <w:spacing w:line="240" w:lineRule="auto"/>
              <w:jc w:val="left"/>
              <w:rPr>
                <w:rStyle w:val="Hyperlink"/>
                <w:rtl/>
              </w:rPr>
            </w:pPr>
            <w:hyperlink w:anchor="Seif4" w:tooltip="בקשה שלא להכריז או בקשה לביטול הכרזה" w:history="1">
              <w:r w:rsidRPr="004A563B">
                <w:rPr>
                  <w:rStyle w:val="Hyperlink"/>
                </w:rPr>
                <w:t>Go</w:t>
              </w:r>
            </w:hyperlink>
          </w:p>
        </w:tc>
        <w:tc>
          <w:tcPr>
            <w:tcW w:w="850" w:type="dxa"/>
          </w:tcPr>
          <w:p w14:paraId="4D3DCB76" w14:textId="77777777" w:rsidR="004A563B" w:rsidRPr="004A563B" w:rsidRDefault="004A563B" w:rsidP="004A563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Seif4</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A563B" w:rsidRPr="004A563B" w14:paraId="1D9D4F33" w14:textId="77777777" w:rsidTr="004A563B">
        <w:tblPrEx>
          <w:tblCellMar>
            <w:top w:w="0" w:type="dxa"/>
            <w:bottom w:w="0" w:type="dxa"/>
          </w:tblCellMar>
        </w:tblPrEx>
        <w:tc>
          <w:tcPr>
            <w:tcW w:w="1247" w:type="dxa"/>
          </w:tcPr>
          <w:p w14:paraId="36DE3BE9"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 xml:space="preserve">סעיף 5 </w:t>
            </w:r>
          </w:p>
        </w:tc>
        <w:tc>
          <w:tcPr>
            <w:tcW w:w="5669" w:type="dxa"/>
          </w:tcPr>
          <w:p w14:paraId="06AD228E"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סדרי עבודת הוועדה המייעצת</w:t>
            </w:r>
          </w:p>
        </w:tc>
        <w:tc>
          <w:tcPr>
            <w:tcW w:w="567" w:type="dxa"/>
          </w:tcPr>
          <w:p w14:paraId="3B134AF2" w14:textId="77777777" w:rsidR="004A563B" w:rsidRPr="004A563B" w:rsidRDefault="004A563B" w:rsidP="004A563B">
            <w:pPr>
              <w:spacing w:line="240" w:lineRule="auto"/>
              <w:jc w:val="left"/>
              <w:rPr>
                <w:rStyle w:val="Hyperlink"/>
                <w:rtl/>
              </w:rPr>
            </w:pPr>
            <w:hyperlink w:anchor="Seif5" w:tooltip="סדרי עבודת הוועדה המייעצת" w:history="1">
              <w:r w:rsidRPr="004A563B">
                <w:rPr>
                  <w:rStyle w:val="Hyperlink"/>
                </w:rPr>
                <w:t>Go</w:t>
              </w:r>
            </w:hyperlink>
          </w:p>
        </w:tc>
        <w:tc>
          <w:tcPr>
            <w:tcW w:w="850" w:type="dxa"/>
          </w:tcPr>
          <w:p w14:paraId="6E2F09F1" w14:textId="77777777" w:rsidR="004A563B" w:rsidRPr="004A563B" w:rsidRDefault="004A563B" w:rsidP="004A563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Seif5</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2</w:t>
            </w:r>
            <w:r>
              <w:rPr>
                <w:rStyle w:val="default"/>
                <w:rFonts w:cs="Frankruhel"/>
                <w:sz w:val="24"/>
                <w:szCs w:val="24"/>
                <w:rtl/>
              </w:rPr>
              <w:fldChar w:fldCharType="end"/>
            </w:r>
          </w:p>
        </w:tc>
      </w:tr>
      <w:tr w:rsidR="004A563B" w:rsidRPr="004A563B" w14:paraId="39C395D7" w14:textId="77777777" w:rsidTr="004A563B">
        <w:tblPrEx>
          <w:tblCellMar>
            <w:top w:w="0" w:type="dxa"/>
            <w:bottom w:w="0" w:type="dxa"/>
          </w:tblCellMar>
        </w:tblPrEx>
        <w:tc>
          <w:tcPr>
            <w:tcW w:w="1247" w:type="dxa"/>
          </w:tcPr>
          <w:p w14:paraId="36F419B1"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 xml:space="preserve">סעיף 6 </w:t>
            </w:r>
          </w:p>
        </w:tc>
        <w:tc>
          <w:tcPr>
            <w:tcW w:w="5669" w:type="dxa"/>
          </w:tcPr>
          <w:p w14:paraId="4D8A5DB0"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דיון טלפוני במקרים דחופים</w:t>
            </w:r>
          </w:p>
        </w:tc>
        <w:tc>
          <w:tcPr>
            <w:tcW w:w="567" w:type="dxa"/>
          </w:tcPr>
          <w:p w14:paraId="5039003A" w14:textId="77777777" w:rsidR="004A563B" w:rsidRPr="004A563B" w:rsidRDefault="004A563B" w:rsidP="004A563B">
            <w:pPr>
              <w:spacing w:line="240" w:lineRule="auto"/>
              <w:jc w:val="left"/>
              <w:rPr>
                <w:rStyle w:val="Hyperlink"/>
                <w:rtl/>
              </w:rPr>
            </w:pPr>
            <w:hyperlink w:anchor="Seif6" w:tooltip="דיון טלפוני במקרים דחופים" w:history="1">
              <w:r w:rsidRPr="004A563B">
                <w:rPr>
                  <w:rStyle w:val="Hyperlink"/>
                </w:rPr>
                <w:t>Go</w:t>
              </w:r>
            </w:hyperlink>
          </w:p>
        </w:tc>
        <w:tc>
          <w:tcPr>
            <w:tcW w:w="850" w:type="dxa"/>
          </w:tcPr>
          <w:p w14:paraId="35CAA25D" w14:textId="77777777" w:rsidR="004A563B" w:rsidRPr="004A563B" w:rsidRDefault="004A563B" w:rsidP="004A563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Seif6</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563B" w:rsidRPr="004A563B" w14:paraId="50E3D958" w14:textId="77777777" w:rsidTr="004A563B">
        <w:tblPrEx>
          <w:tblCellMar>
            <w:top w:w="0" w:type="dxa"/>
            <w:bottom w:w="0" w:type="dxa"/>
          </w:tblCellMar>
        </w:tblPrEx>
        <w:tc>
          <w:tcPr>
            <w:tcW w:w="1247" w:type="dxa"/>
          </w:tcPr>
          <w:p w14:paraId="1F581A98"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 xml:space="preserve">סעיף 7 </w:t>
            </w:r>
          </w:p>
        </w:tc>
        <w:tc>
          <w:tcPr>
            <w:tcW w:w="5669" w:type="dxa"/>
          </w:tcPr>
          <w:p w14:paraId="1201099F"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סדר יום לישיבות הוועדה המייעצת</w:t>
            </w:r>
          </w:p>
        </w:tc>
        <w:tc>
          <w:tcPr>
            <w:tcW w:w="567" w:type="dxa"/>
          </w:tcPr>
          <w:p w14:paraId="4CDAC86A" w14:textId="77777777" w:rsidR="004A563B" w:rsidRPr="004A563B" w:rsidRDefault="004A563B" w:rsidP="004A563B">
            <w:pPr>
              <w:spacing w:line="240" w:lineRule="auto"/>
              <w:jc w:val="left"/>
              <w:rPr>
                <w:rStyle w:val="Hyperlink"/>
                <w:rtl/>
              </w:rPr>
            </w:pPr>
            <w:hyperlink w:anchor="Seif7" w:tooltip="סדר יום לישיבות הוועדה המייעצת" w:history="1">
              <w:r w:rsidRPr="004A563B">
                <w:rPr>
                  <w:rStyle w:val="Hyperlink"/>
                </w:rPr>
                <w:t>Go</w:t>
              </w:r>
            </w:hyperlink>
          </w:p>
        </w:tc>
        <w:tc>
          <w:tcPr>
            <w:tcW w:w="850" w:type="dxa"/>
          </w:tcPr>
          <w:p w14:paraId="0047786F" w14:textId="77777777" w:rsidR="004A563B" w:rsidRPr="004A563B" w:rsidRDefault="004A563B" w:rsidP="004A563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Seif7</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563B" w:rsidRPr="004A563B" w14:paraId="15895523" w14:textId="77777777" w:rsidTr="004A563B">
        <w:tblPrEx>
          <w:tblCellMar>
            <w:top w:w="0" w:type="dxa"/>
            <w:bottom w:w="0" w:type="dxa"/>
          </w:tblCellMar>
        </w:tblPrEx>
        <w:tc>
          <w:tcPr>
            <w:tcW w:w="1247" w:type="dxa"/>
          </w:tcPr>
          <w:p w14:paraId="5015E674"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 xml:space="preserve">סעיף 8 </w:t>
            </w:r>
          </w:p>
        </w:tc>
        <w:tc>
          <w:tcPr>
            <w:tcW w:w="5669" w:type="dxa"/>
          </w:tcPr>
          <w:p w14:paraId="7336BE10"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מניין לקבלת החלטות</w:t>
            </w:r>
          </w:p>
        </w:tc>
        <w:tc>
          <w:tcPr>
            <w:tcW w:w="567" w:type="dxa"/>
          </w:tcPr>
          <w:p w14:paraId="1626686C" w14:textId="77777777" w:rsidR="004A563B" w:rsidRPr="004A563B" w:rsidRDefault="004A563B" w:rsidP="004A563B">
            <w:pPr>
              <w:spacing w:line="240" w:lineRule="auto"/>
              <w:jc w:val="left"/>
              <w:rPr>
                <w:rStyle w:val="Hyperlink"/>
                <w:rtl/>
              </w:rPr>
            </w:pPr>
            <w:hyperlink w:anchor="Seif8" w:tooltip="מניין לקבלת החלטות" w:history="1">
              <w:r w:rsidRPr="004A563B">
                <w:rPr>
                  <w:rStyle w:val="Hyperlink"/>
                </w:rPr>
                <w:t>Go</w:t>
              </w:r>
            </w:hyperlink>
          </w:p>
        </w:tc>
        <w:tc>
          <w:tcPr>
            <w:tcW w:w="850" w:type="dxa"/>
          </w:tcPr>
          <w:p w14:paraId="5A80AD68" w14:textId="77777777" w:rsidR="004A563B" w:rsidRPr="004A563B" w:rsidRDefault="004A563B" w:rsidP="004A563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Seif8</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563B" w:rsidRPr="004A563B" w14:paraId="149099BB" w14:textId="77777777" w:rsidTr="004A563B">
        <w:tblPrEx>
          <w:tblCellMar>
            <w:top w:w="0" w:type="dxa"/>
            <w:bottom w:w="0" w:type="dxa"/>
          </w:tblCellMar>
        </w:tblPrEx>
        <w:tc>
          <w:tcPr>
            <w:tcW w:w="1247" w:type="dxa"/>
          </w:tcPr>
          <w:p w14:paraId="5093D7D6"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 xml:space="preserve">סעיף 9 </w:t>
            </w:r>
          </w:p>
        </w:tc>
        <w:tc>
          <w:tcPr>
            <w:tcW w:w="5669" w:type="dxa"/>
          </w:tcPr>
          <w:p w14:paraId="52CC0874"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רישום פרוטוקול</w:t>
            </w:r>
          </w:p>
        </w:tc>
        <w:tc>
          <w:tcPr>
            <w:tcW w:w="567" w:type="dxa"/>
          </w:tcPr>
          <w:p w14:paraId="786D3091" w14:textId="77777777" w:rsidR="004A563B" w:rsidRPr="004A563B" w:rsidRDefault="004A563B" w:rsidP="004A563B">
            <w:pPr>
              <w:spacing w:line="240" w:lineRule="auto"/>
              <w:jc w:val="left"/>
              <w:rPr>
                <w:rStyle w:val="Hyperlink"/>
                <w:rtl/>
              </w:rPr>
            </w:pPr>
            <w:hyperlink w:anchor="Seif9" w:tooltip="רישום פרוטוקול" w:history="1">
              <w:r w:rsidRPr="004A563B">
                <w:rPr>
                  <w:rStyle w:val="Hyperlink"/>
                </w:rPr>
                <w:t>Go</w:t>
              </w:r>
            </w:hyperlink>
          </w:p>
        </w:tc>
        <w:tc>
          <w:tcPr>
            <w:tcW w:w="850" w:type="dxa"/>
          </w:tcPr>
          <w:p w14:paraId="0FED1022" w14:textId="77777777" w:rsidR="004A563B" w:rsidRPr="004A563B" w:rsidRDefault="004A563B" w:rsidP="004A563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Seif9</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563B" w:rsidRPr="004A563B" w14:paraId="6C9496E3" w14:textId="77777777" w:rsidTr="004A563B">
        <w:tblPrEx>
          <w:tblCellMar>
            <w:top w:w="0" w:type="dxa"/>
            <w:bottom w:w="0" w:type="dxa"/>
          </w:tblCellMar>
        </w:tblPrEx>
        <w:tc>
          <w:tcPr>
            <w:tcW w:w="1247" w:type="dxa"/>
          </w:tcPr>
          <w:p w14:paraId="0A666950"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 xml:space="preserve">סעיף 10 </w:t>
            </w:r>
          </w:p>
        </w:tc>
        <w:tc>
          <w:tcPr>
            <w:tcW w:w="5669" w:type="dxa"/>
          </w:tcPr>
          <w:p w14:paraId="15E2D564"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סדרי עבודת מטה הסנקציות</w:t>
            </w:r>
          </w:p>
        </w:tc>
        <w:tc>
          <w:tcPr>
            <w:tcW w:w="567" w:type="dxa"/>
          </w:tcPr>
          <w:p w14:paraId="3A212110" w14:textId="77777777" w:rsidR="004A563B" w:rsidRPr="004A563B" w:rsidRDefault="004A563B" w:rsidP="004A563B">
            <w:pPr>
              <w:spacing w:line="240" w:lineRule="auto"/>
              <w:jc w:val="left"/>
              <w:rPr>
                <w:rStyle w:val="Hyperlink"/>
                <w:rtl/>
              </w:rPr>
            </w:pPr>
            <w:hyperlink w:anchor="Seif10" w:tooltip="סדרי עבודת מטה הסנקציות" w:history="1">
              <w:r w:rsidRPr="004A563B">
                <w:rPr>
                  <w:rStyle w:val="Hyperlink"/>
                </w:rPr>
                <w:t>Go</w:t>
              </w:r>
            </w:hyperlink>
          </w:p>
        </w:tc>
        <w:tc>
          <w:tcPr>
            <w:tcW w:w="850" w:type="dxa"/>
          </w:tcPr>
          <w:p w14:paraId="23FE4472" w14:textId="77777777" w:rsidR="004A563B" w:rsidRPr="004A563B" w:rsidRDefault="004A563B" w:rsidP="004A563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Seif10</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563B" w:rsidRPr="004A563B" w14:paraId="5B6C04D2" w14:textId="77777777" w:rsidTr="004A563B">
        <w:tblPrEx>
          <w:tblCellMar>
            <w:top w:w="0" w:type="dxa"/>
            <w:bottom w:w="0" w:type="dxa"/>
          </w:tblCellMar>
        </w:tblPrEx>
        <w:tc>
          <w:tcPr>
            <w:tcW w:w="1247" w:type="dxa"/>
          </w:tcPr>
          <w:p w14:paraId="1B6D7BA0"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 xml:space="preserve">סעיף 11 </w:t>
            </w:r>
          </w:p>
        </w:tc>
        <w:tc>
          <w:tcPr>
            <w:tcW w:w="5669" w:type="dxa"/>
          </w:tcPr>
          <w:p w14:paraId="522C7806"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תשובה לפניית מטה הסנקציות</w:t>
            </w:r>
          </w:p>
        </w:tc>
        <w:tc>
          <w:tcPr>
            <w:tcW w:w="567" w:type="dxa"/>
          </w:tcPr>
          <w:p w14:paraId="0F05624A" w14:textId="77777777" w:rsidR="004A563B" w:rsidRPr="004A563B" w:rsidRDefault="004A563B" w:rsidP="004A563B">
            <w:pPr>
              <w:spacing w:line="240" w:lineRule="auto"/>
              <w:jc w:val="left"/>
              <w:rPr>
                <w:rStyle w:val="Hyperlink"/>
                <w:rtl/>
              </w:rPr>
            </w:pPr>
            <w:hyperlink w:anchor="Seif11" w:tooltip="תשובה לפניית מטה הסנקציות" w:history="1">
              <w:r w:rsidRPr="004A563B">
                <w:rPr>
                  <w:rStyle w:val="Hyperlink"/>
                </w:rPr>
                <w:t>Go</w:t>
              </w:r>
            </w:hyperlink>
          </w:p>
        </w:tc>
        <w:tc>
          <w:tcPr>
            <w:tcW w:w="850" w:type="dxa"/>
          </w:tcPr>
          <w:p w14:paraId="5C9857C5" w14:textId="77777777" w:rsidR="004A563B" w:rsidRPr="004A563B" w:rsidRDefault="004A563B" w:rsidP="004A563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Seif11</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r w:rsidR="004A563B" w:rsidRPr="004A563B" w14:paraId="366D7B48" w14:textId="77777777" w:rsidTr="004A563B">
        <w:tblPrEx>
          <w:tblCellMar>
            <w:top w:w="0" w:type="dxa"/>
            <w:bottom w:w="0" w:type="dxa"/>
          </w:tblCellMar>
        </w:tblPrEx>
        <w:tc>
          <w:tcPr>
            <w:tcW w:w="1247" w:type="dxa"/>
          </w:tcPr>
          <w:p w14:paraId="5A01C77A"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 xml:space="preserve">סעיף 12 </w:t>
            </w:r>
          </w:p>
        </w:tc>
        <w:tc>
          <w:tcPr>
            <w:tcW w:w="5669" w:type="dxa"/>
          </w:tcPr>
          <w:p w14:paraId="114E6F56" w14:textId="77777777" w:rsidR="004A563B" w:rsidRPr="004A563B" w:rsidRDefault="004A563B" w:rsidP="004A563B">
            <w:pPr>
              <w:spacing w:line="240" w:lineRule="auto"/>
              <w:jc w:val="left"/>
              <w:rPr>
                <w:rStyle w:val="default"/>
                <w:rFonts w:cs="Frankruhel"/>
                <w:sz w:val="24"/>
                <w:szCs w:val="24"/>
                <w:rtl/>
              </w:rPr>
            </w:pPr>
            <w:r>
              <w:rPr>
                <w:rStyle w:val="default"/>
                <w:sz w:val="24"/>
                <w:szCs w:val="24"/>
                <w:rtl/>
              </w:rPr>
              <w:t>תחילה</w:t>
            </w:r>
          </w:p>
        </w:tc>
        <w:tc>
          <w:tcPr>
            <w:tcW w:w="567" w:type="dxa"/>
          </w:tcPr>
          <w:p w14:paraId="0911EBD2" w14:textId="77777777" w:rsidR="004A563B" w:rsidRPr="004A563B" w:rsidRDefault="004A563B" w:rsidP="004A563B">
            <w:pPr>
              <w:spacing w:line="240" w:lineRule="auto"/>
              <w:jc w:val="left"/>
              <w:rPr>
                <w:rStyle w:val="Hyperlink"/>
                <w:rtl/>
              </w:rPr>
            </w:pPr>
            <w:hyperlink w:anchor="Seif12" w:tooltip="תחילה" w:history="1">
              <w:r w:rsidRPr="004A563B">
                <w:rPr>
                  <w:rStyle w:val="Hyperlink"/>
                </w:rPr>
                <w:t>Go</w:t>
              </w:r>
            </w:hyperlink>
          </w:p>
        </w:tc>
        <w:tc>
          <w:tcPr>
            <w:tcW w:w="850" w:type="dxa"/>
          </w:tcPr>
          <w:p w14:paraId="0F9085E6" w14:textId="77777777" w:rsidR="004A563B" w:rsidRPr="004A563B" w:rsidRDefault="004A563B" w:rsidP="004A563B">
            <w:pPr>
              <w:spacing w:line="240" w:lineRule="auto"/>
              <w:jc w:val="left"/>
              <w:rPr>
                <w:rStyle w:val="default"/>
                <w:rFonts w:cs="Frankruhel"/>
                <w:sz w:val="24"/>
                <w:szCs w:val="24"/>
                <w:rtl/>
              </w:rPr>
            </w:pPr>
            <w:r>
              <w:rPr>
                <w:rStyle w:val="default"/>
                <w:rFonts w:cs="Frankruhel"/>
                <w:sz w:val="24"/>
                <w:szCs w:val="24"/>
                <w:rtl/>
              </w:rPr>
              <w:fldChar w:fldCharType="begin"/>
            </w:r>
            <w:r>
              <w:rPr>
                <w:rStyle w:val="default"/>
                <w:sz w:val="24"/>
                <w:szCs w:val="24"/>
                <w:rtl/>
              </w:rPr>
              <w:instrText xml:space="preserve"> </w:instrText>
            </w:r>
            <w:r>
              <w:rPr>
                <w:rStyle w:val="default"/>
                <w:rFonts w:cs="Frankruhel"/>
                <w:sz w:val="24"/>
                <w:szCs w:val="24"/>
              </w:rPr>
              <w:instrText>PAGEREF</w:instrText>
            </w:r>
            <w:r>
              <w:rPr>
                <w:rStyle w:val="default"/>
                <w:sz w:val="24"/>
                <w:szCs w:val="24"/>
                <w:rtl/>
              </w:rPr>
              <w:instrText xml:space="preserve"> </w:instrText>
            </w:r>
            <w:r>
              <w:rPr>
                <w:rStyle w:val="default"/>
                <w:rFonts w:cs="Frankruhel"/>
                <w:sz w:val="24"/>
                <w:szCs w:val="24"/>
              </w:rPr>
              <w:instrText>Seif12</w:instrText>
            </w:r>
            <w:r>
              <w:rPr>
                <w:rStyle w:val="default"/>
                <w:sz w:val="24"/>
                <w:szCs w:val="24"/>
                <w:rtl/>
              </w:rPr>
              <w:instrText xml:space="preserve"> </w:instrText>
            </w:r>
            <w:r>
              <w:rPr>
                <w:rStyle w:val="default"/>
                <w:rFonts w:cs="Frankruhel"/>
                <w:sz w:val="24"/>
                <w:szCs w:val="24"/>
                <w:rtl/>
              </w:rPr>
              <w:fldChar w:fldCharType="separate"/>
            </w:r>
            <w:r>
              <w:rPr>
                <w:rStyle w:val="default"/>
                <w:noProof/>
                <w:sz w:val="24"/>
                <w:szCs w:val="24"/>
                <w:rtl/>
              </w:rPr>
              <w:t>3</w:t>
            </w:r>
            <w:r>
              <w:rPr>
                <w:rStyle w:val="default"/>
                <w:rFonts w:cs="Frankruhel"/>
                <w:sz w:val="24"/>
                <w:szCs w:val="24"/>
                <w:rtl/>
              </w:rPr>
              <w:fldChar w:fldCharType="end"/>
            </w:r>
          </w:p>
        </w:tc>
      </w:tr>
    </w:tbl>
    <w:p w14:paraId="211F51E0" w14:textId="77777777" w:rsidR="00DD06B1" w:rsidRDefault="00DD06B1">
      <w:pPr>
        <w:pStyle w:val="big-header"/>
        <w:ind w:left="0" w:right="1134"/>
        <w:rPr>
          <w:rStyle w:val="default"/>
          <w:rFonts w:cs="FrankRuehl"/>
          <w:rtl/>
        </w:rPr>
      </w:pPr>
    </w:p>
    <w:p w14:paraId="4994B440" w14:textId="77777777" w:rsidR="00DD06B1" w:rsidRPr="002914E8" w:rsidRDefault="00DD06B1" w:rsidP="003D57D8">
      <w:pPr>
        <w:pStyle w:val="big-header"/>
        <w:ind w:left="0" w:right="1134"/>
        <w:rPr>
          <w:rStyle w:val="default"/>
          <w:rFonts w:cs="FrankRuehl" w:hint="cs"/>
          <w:sz w:val="32"/>
          <w:szCs w:val="32"/>
          <w:rtl/>
        </w:rPr>
      </w:pPr>
      <w:r>
        <w:rPr>
          <w:rStyle w:val="default"/>
          <w:rFonts w:cs="FrankRuehl"/>
          <w:rtl/>
        </w:rPr>
        <w:br w:type="page"/>
      </w:r>
      <w:r w:rsidR="003D57D8">
        <w:rPr>
          <w:rFonts w:cs="FrankRuehl" w:hint="cs"/>
          <w:sz w:val="32"/>
          <w:rtl/>
        </w:rPr>
        <w:lastRenderedPageBreak/>
        <w:t>תקנות המאבק בתכנית הגרעין של איראן (מתן הודעות וסדרי עבודה)</w:t>
      </w:r>
      <w:r w:rsidR="003D57D8">
        <w:rPr>
          <w:rFonts w:cs="FrankRuehl"/>
          <w:sz w:val="32"/>
          <w:rtl/>
        </w:rPr>
        <w:t xml:space="preserve">, </w:t>
      </w:r>
      <w:r w:rsidR="003D57D8">
        <w:rPr>
          <w:rFonts w:cs="FrankRuehl" w:hint="cs"/>
          <w:sz w:val="32"/>
          <w:rtl/>
        </w:rPr>
        <w:br/>
        <w:t>תשע"ד-2014</w:t>
      </w:r>
      <w:r>
        <w:rPr>
          <w:rStyle w:val="default"/>
          <w:rtl/>
        </w:rPr>
        <w:footnoteReference w:customMarkFollows="1" w:id="1"/>
        <w:t>*</w:t>
      </w:r>
    </w:p>
    <w:p w14:paraId="68D3C5BA" w14:textId="77777777" w:rsidR="00DD06B1" w:rsidRDefault="006433E9" w:rsidP="006433E9">
      <w:pPr>
        <w:pStyle w:val="P00"/>
        <w:spacing w:before="72"/>
        <w:ind w:left="0" w:right="1134"/>
        <w:rPr>
          <w:rStyle w:val="default"/>
          <w:rFonts w:cs="FrankRuehl" w:hint="cs"/>
          <w:rtl/>
        </w:rPr>
      </w:pPr>
      <w:r>
        <w:rPr>
          <w:rStyle w:val="default"/>
          <w:rFonts w:cs="FrankRuehl" w:hint="cs"/>
          <w:rtl/>
        </w:rPr>
        <w:tab/>
        <w:t xml:space="preserve">בתוקף סמכותי לפי סעיף 37(א) לחוק המאבק בתכנית הגרעין של איראן, התשע"ב-2012 (להלן </w:t>
      </w:r>
      <w:r>
        <w:rPr>
          <w:rStyle w:val="default"/>
          <w:rFonts w:cs="FrankRuehl"/>
          <w:rtl/>
        </w:rPr>
        <w:t>–</w:t>
      </w:r>
      <w:r>
        <w:rPr>
          <w:rStyle w:val="default"/>
          <w:rFonts w:cs="FrankRuehl" w:hint="cs"/>
          <w:rtl/>
        </w:rPr>
        <w:t xml:space="preserve"> החוק), בהסכמת ראש הממשלה ובאישור ועדת החוקה חוק ומשפט של הכנסת, אני מתקין תקנות אלה:</w:t>
      </w:r>
    </w:p>
    <w:p w14:paraId="1F555F8B" w14:textId="77777777" w:rsidR="00DD06B1" w:rsidRDefault="00DD06B1" w:rsidP="006F3DF6">
      <w:pPr>
        <w:pStyle w:val="P00"/>
        <w:spacing w:before="72"/>
        <w:ind w:left="0" w:right="1134"/>
        <w:rPr>
          <w:rStyle w:val="default"/>
          <w:rFonts w:cs="FrankRuehl" w:hint="cs"/>
          <w:rtl/>
        </w:rPr>
      </w:pPr>
      <w:bookmarkStart w:id="0" w:name="Seif1"/>
      <w:bookmarkEnd w:id="0"/>
      <w:r>
        <w:rPr>
          <w:lang w:val="he-IL"/>
        </w:rPr>
        <w:pict w14:anchorId="1BD7EEC0">
          <v:rect id="_x0000_s1026" style="position:absolute;left:0;text-align:left;margin-left:464.5pt;margin-top:8.05pt;width:75.05pt;height:12.4pt;z-index:251652096" o:allowincell="f" filled="f" stroked="f" strokecolor="lime" strokeweight=".25pt">
            <v:textbox style="mso-next-textbox:#_x0000_s1026" inset="0,0,0,0">
              <w:txbxContent>
                <w:p w14:paraId="52C6998E" w14:textId="77777777" w:rsidR="00A45F06" w:rsidRDefault="006F3DF6">
                  <w:pPr>
                    <w:spacing w:line="160" w:lineRule="exact"/>
                    <w:jc w:val="left"/>
                    <w:rPr>
                      <w:rFonts w:cs="Miriam" w:hint="cs"/>
                      <w:noProof/>
                      <w:sz w:val="18"/>
                      <w:szCs w:val="18"/>
                      <w:rtl/>
                    </w:rPr>
                  </w:pPr>
                  <w:r>
                    <w:rPr>
                      <w:rFonts w:cs="Miriam" w:hint="cs"/>
                      <w:sz w:val="18"/>
                      <w:szCs w:val="18"/>
                      <w:rtl/>
                    </w:rPr>
                    <w:t>הגדרה</w:t>
                  </w:r>
                </w:p>
              </w:txbxContent>
            </v:textbox>
            <w10:anchorlock/>
          </v:rect>
        </w:pict>
      </w:r>
      <w:r>
        <w:rPr>
          <w:rStyle w:val="big-number"/>
          <w:rFonts w:cs="Miriam"/>
          <w:rtl/>
        </w:rPr>
        <w:t>1.</w:t>
      </w:r>
      <w:r>
        <w:rPr>
          <w:rStyle w:val="big-number"/>
          <w:rFonts w:cs="Miriam"/>
          <w:rtl/>
        </w:rPr>
        <w:tab/>
      </w:r>
      <w:r w:rsidR="006F3DF6">
        <w:rPr>
          <w:rStyle w:val="default"/>
          <w:rFonts w:cs="FrankRuehl" w:hint="cs"/>
          <w:rtl/>
        </w:rPr>
        <w:t xml:space="preserve">בתקנות אלה, "הרשימה" </w:t>
      </w:r>
      <w:r w:rsidR="006F3DF6">
        <w:rPr>
          <w:rStyle w:val="default"/>
          <w:rFonts w:cs="FrankRuehl"/>
          <w:rtl/>
        </w:rPr>
        <w:t>–</w:t>
      </w:r>
      <w:r w:rsidR="006F3DF6">
        <w:rPr>
          <w:rStyle w:val="default"/>
          <w:rFonts w:cs="FrankRuehl" w:hint="cs"/>
          <w:rtl/>
        </w:rPr>
        <w:t xml:space="preserve"> כל אחת מאלה:</w:t>
      </w:r>
    </w:p>
    <w:p w14:paraId="293F0B59" w14:textId="77777777" w:rsidR="006F3DF6" w:rsidRDefault="006F3DF6" w:rsidP="006F3DF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רשימת הגורמים שהוכרזו כמסייעים לתכנית הגרעין של איראן לפי סעיף 3(א) ו-(ב) לחוק;</w:t>
      </w:r>
    </w:p>
    <w:p w14:paraId="72A3237B" w14:textId="77777777" w:rsidR="006F3DF6" w:rsidRDefault="006F3DF6" w:rsidP="006F3DF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רשימת התאגידים שהוכרזו כמקיימים קשר עסקי עם איראן שהוכרזו לפי סעיף 9(א) ו-(ג) לחוק.</w:t>
      </w:r>
    </w:p>
    <w:p w14:paraId="779510D4" w14:textId="77777777" w:rsidR="00DD06B1" w:rsidRDefault="00DD06B1" w:rsidP="006F3DF6">
      <w:pPr>
        <w:pStyle w:val="P00"/>
        <w:spacing w:before="72"/>
        <w:ind w:left="0" w:right="1134"/>
        <w:rPr>
          <w:rStyle w:val="default"/>
          <w:rFonts w:cs="FrankRuehl" w:hint="cs"/>
          <w:rtl/>
        </w:rPr>
      </w:pPr>
      <w:bookmarkStart w:id="1" w:name="Seif2"/>
      <w:bookmarkEnd w:id="1"/>
      <w:r>
        <w:rPr>
          <w:lang w:val="he-IL"/>
        </w:rPr>
        <w:pict w14:anchorId="45EF0C4C">
          <v:rect id="_x0000_s1027" style="position:absolute;left:0;text-align:left;margin-left:464.5pt;margin-top:8.05pt;width:75.05pt;height:29.05pt;z-index:251653120" o:allowincell="f" filled="f" stroked="f" strokecolor="lime" strokeweight=".25pt">
            <v:textbox style="mso-next-textbox:#_x0000_s1027" inset="0,0,0,0">
              <w:txbxContent>
                <w:p w14:paraId="4A0A53C1" w14:textId="77777777" w:rsidR="00A45F06" w:rsidRDefault="006F3DF6">
                  <w:pPr>
                    <w:spacing w:line="160" w:lineRule="exact"/>
                    <w:jc w:val="left"/>
                    <w:rPr>
                      <w:rFonts w:cs="Miriam" w:hint="cs"/>
                      <w:noProof/>
                      <w:sz w:val="18"/>
                      <w:szCs w:val="18"/>
                      <w:rtl/>
                    </w:rPr>
                  </w:pPr>
                  <w:r>
                    <w:rPr>
                      <w:rFonts w:cs="Miriam" w:hint="cs"/>
                      <w:sz w:val="18"/>
                      <w:szCs w:val="18"/>
                      <w:rtl/>
                    </w:rPr>
                    <w:t>דרכי ההודעה לגורם הזר על הכוונה להכריז עליו</w:t>
                  </w:r>
                </w:p>
              </w:txbxContent>
            </v:textbox>
            <w10:anchorlock/>
          </v:rect>
        </w:pict>
      </w:r>
      <w:r>
        <w:rPr>
          <w:rStyle w:val="big-number"/>
          <w:rFonts w:cs="Miriam"/>
          <w:rtl/>
        </w:rPr>
        <w:t>2</w:t>
      </w:r>
      <w:r w:rsidRPr="00301EEF">
        <w:rPr>
          <w:rStyle w:val="default"/>
          <w:rFonts w:cs="FrankRuehl"/>
          <w:rtl/>
        </w:rPr>
        <w:t>.</w:t>
      </w:r>
      <w:r w:rsidRPr="00301EEF">
        <w:rPr>
          <w:rStyle w:val="default"/>
          <w:rFonts w:cs="FrankRuehl"/>
          <w:rtl/>
        </w:rPr>
        <w:tab/>
      </w:r>
      <w:r w:rsidR="006F3DF6">
        <w:rPr>
          <w:rStyle w:val="default"/>
          <w:rFonts w:cs="FrankRuehl" w:hint="cs"/>
          <w:rtl/>
        </w:rPr>
        <w:t>(א)</w:t>
      </w:r>
      <w:r w:rsidR="006F3DF6">
        <w:rPr>
          <w:rStyle w:val="default"/>
          <w:rFonts w:cs="FrankRuehl" w:hint="cs"/>
          <w:rtl/>
        </w:rPr>
        <w:tab/>
        <w:t>ועדת השרים תשלח הודעה על כוונה להכריז לפי סעיף 12 לחוק ולכלול גורם זר ברשימה, לגורם הזר שבכוונתה להכריז עליו לפי הסעיף האמור; הודעה על כוונה להכרזה תישלח בדואר רשום לכתובתו הידועה של הגורם הזר, בתוך 15 ימים מיום שוועדת השרים החליטה על כוונתה להכריז כאמור; אם כתובתו של הגורם הזר אינה ידועה, על אף שננקטו אמצעים סבירים לאיתורה, תימסר ההודעה, למדינת התושבות של גורם זר שהוא יחיד, אם היא ידועה, או למדינת ההתאגדות של התאגיד, וזאת באמצעות נציגות אותה מדינה בישראל, אם יש לה נציגות כאמור.</w:t>
      </w:r>
    </w:p>
    <w:p w14:paraId="2CB38BA1" w14:textId="77777777" w:rsidR="006F3DF6" w:rsidRDefault="006F3DF6" w:rsidP="006F3D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השרים תשלח הודעה על הכרזה לפי סעיפים 3 ו-9 לחוק לגורם שאותו החליטה להכליל ברשימה; הודעה כאמור תישלח בדרכים שנקבעו בתקנת משנה (א) בתוך 15 ימים מיום שוועדת השרים החליטה להכליל את אותו הגורם ברשימה.</w:t>
      </w:r>
    </w:p>
    <w:p w14:paraId="7F0067A4" w14:textId="77777777" w:rsidR="00301EEF" w:rsidRDefault="00301EEF" w:rsidP="006F3DF6">
      <w:pPr>
        <w:pStyle w:val="P00"/>
        <w:spacing w:before="72"/>
        <w:ind w:left="0" w:right="1134"/>
        <w:rPr>
          <w:rStyle w:val="default"/>
          <w:rFonts w:cs="FrankRuehl" w:hint="cs"/>
          <w:rtl/>
        </w:rPr>
      </w:pPr>
      <w:bookmarkStart w:id="2" w:name="Seif3"/>
      <w:bookmarkEnd w:id="2"/>
      <w:r>
        <w:rPr>
          <w:lang w:val="he-IL"/>
        </w:rPr>
        <w:pict w14:anchorId="7EB7A38F">
          <v:rect id="_x0000_s1053" style="position:absolute;left:0;text-align:left;margin-left:464.5pt;margin-top:8.05pt;width:75.05pt;height:19.1pt;z-index:251654144" o:allowincell="f" filled="f" stroked="f" strokecolor="lime" strokeweight=".25pt">
            <v:textbox style="mso-next-textbox:#_x0000_s1053" inset="0,0,0,0">
              <w:txbxContent>
                <w:p w14:paraId="5B1ADD05" w14:textId="77777777" w:rsidR="00A45F06" w:rsidRDefault="006F3DF6" w:rsidP="00301EEF">
                  <w:pPr>
                    <w:spacing w:line="160" w:lineRule="exact"/>
                    <w:jc w:val="left"/>
                    <w:rPr>
                      <w:rFonts w:cs="Miriam" w:hint="cs"/>
                      <w:noProof/>
                      <w:sz w:val="18"/>
                      <w:szCs w:val="18"/>
                      <w:rtl/>
                    </w:rPr>
                  </w:pPr>
                  <w:r>
                    <w:rPr>
                      <w:rFonts w:cs="Miriam" w:hint="cs"/>
                      <w:sz w:val="18"/>
                      <w:szCs w:val="18"/>
                      <w:rtl/>
                    </w:rPr>
                    <w:t>הודעה על כוונה להכריז</w:t>
                  </w:r>
                </w:p>
              </w:txbxContent>
            </v:textbox>
            <w10:anchorlock/>
          </v:rect>
        </w:pict>
      </w:r>
      <w:r w:rsidR="005D5B03">
        <w:rPr>
          <w:rStyle w:val="big-number"/>
          <w:rFonts w:cs="Miriam" w:hint="cs"/>
          <w:rtl/>
        </w:rPr>
        <w:t>3</w:t>
      </w:r>
      <w:r w:rsidRPr="00301EEF">
        <w:rPr>
          <w:rStyle w:val="default"/>
          <w:rFonts w:cs="FrankRuehl"/>
          <w:rtl/>
        </w:rPr>
        <w:t>.</w:t>
      </w:r>
      <w:r w:rsidRPr="00301EEF">
        <w:rPr>
          <w:rStyle w:val="default"/>
          <w:rFonts w:cs="FrankRuehl"/>
          <w:rtl/>
        </w:rPr>
        <w:tab/>
      </w:r>
      <w:r w:rsidR="005D5B03">
        <w:rPr>
          <w:rStyle w:val="default"/>
          <w:rFonts w:cs="FrankRuehl" w:hint="cs"/>
          <w:rtl/>
        </w:rPr>
        <w:t>(א)</w:t>
      </w:r>
      <w:r w:rsidR="005D5B03">
        <w:rPr>
          <w:rStyle w:val="default"/>
          <w:rFonts w:cs="FrankRuehl" w:hint="cs"/>
          <w:rtl/>
        </w:rPr>
        <w:tab/>
      </w:r>
      <w:r w:rsidR="006F3DF6">
        <w:rPr>
          <w:rStyle w:val="default"/>
          <w:rFonts w:cs="FrankRuehl" w:hint="cs"/>
          <w:rtl/>
        </w:rPr>
        <w:t>פרסום בדבר הכוונה להכרזה יהיה לפי סעיף 12 לחוק וכן יכלול את פרטי זהותו של הגורם הזר כמפורט להלן</w:t>
      </w:r>
      <w:r w:rsidR="005D5B03">
        <w:rPr>
          <w:rStyle w:val="default"/>
          <w:rFonts w:cs="FrankRuehl" w:hint="cs"/>
          <w:rtl/>
        </w:rPr>
        <w:t>:</w:t>
      </w:r>
    </w:p>
    <w:p w14:paraId="4D94FBB5" w14:textId="77777777" w:rsidR="006F3DF6" w:rsidRDefault="006F3DF6" w:rsidP="0034076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שם הגורם הזר באותיות לטיניות;</w:t>
      </w:r>
    </w:p>
    <w:p w14:paraId="678935C7" w14:textId="77777777" w:rsidR="006F3DF6" w:rsidRDefault="006F3DF6" w:rsidP="0034076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לגבי תאגיד </w:t>
      </w:r>
      <w:r>
        <w:rPr>
          <w:rStyle w:val="default"/>
          <w:rFonts w:cs="FrankRuehl"/>
          <w:rtl/>
        </w:rPr>
        <w:t>–</w:t>
      </w:r>
      <w:r>
        <w:rPr>
          <w:rStyle w:val="default"/>
          <w:rFonts w:cs="FrankRuehl" w:hint="cs"/>
          <w:rtl/>
        </w:rPr>
        <w:t xml:space="preserve"> מספר הרישום של התאגיד במרשם הנוגע לתאגיד המתנהל לפי חוק במדינת התאגדותו, ולגבי מי שאינו תאגיד </w:t>
      </w:r>
      <w:r>
        <w:rPr>
          <w:rStyle w:val="default"/>
          <w:rFonts w:cs="FrankRuehl"/>
          <w:rtl/>
        </w:rPr>
        <w:t>–</w:t>
      </w:r>
      <w:r>
        <w:rPr>
          <w:rStyle w:val="default"/>
          <w:rFonts w:cs="FrankRuehl" w:hint="cs"/>
          <w:rtl/>
        </w:rPr>
        <w:t xml:space="preserve"> מספר זיהוי או מספר דרכון במדינה שבה הוא תושב או אזרח;</w:t>
      </w:r>
    </w:p>
    <w:p w14:paraId="15E10A22" w14:textId="77777777" w:rsidR="006F3DF6" w:rsidRDefault="006F3DF6" w:rsidP="0034076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לגבי תאגיד </w:t>
      </w:r>
      <w:r>
        <w:rPr>
          <w:rStyle w:val="default"/>
          <w:rFonts w:cs="FrankRuehl"/>
          <w:rtl/>
        </w:rPr>
        <w:t>–</w:t>
      </w:r>
      <w:r>
        <w:rPr>
          <w:rStyle w:val="default"/>
          <w:rFonts w:cs="FrankRuehl" w:hint="cs"/>
          <w:rtl/>
        </w:rPr>
        <w:t xml:space="preserve"> תאריך ההתאגדות, אם ידוע;</w:t>
      </w:r>
    </w:p>
    <w:p w14:paraId="754E70F9" w14:textId="77777777" w:rsidR="006F3DF6" w:rsidRDefault="006F3DF6" w:rsidP="00340767">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לגבי תאגיד </w:t>
      </w:r>
      <w:r>
        <w:rPr>
          <w:rStyle w:val="default"/>
          <w:rFonts w:cs="FrankRuehl"/>
          <w:rtl/>
        </w:rPr>
        <w:t>–</w:t>
      </w:r>
      <w:r>
        <w:rPr>
          <w:rStyle w:val="default"/>
          <w:rFonts w:cs="FrankRuehl" w:hint="cs"/>
          <w:rtl/>
        </w:rPr>
        <w:t xml:space="preserve"> מדינת ההתאגדות ולגבי מי שאינו תאגיד </w:t>
      </w:r>
      <w:r>
        <w:rPr>
          <w:rStyle w:val="default"/>
          <w:rFonts w:cs="FrankRuehl"/>
          <w:rtl/>
        </w:rPr>
        <w:t>–</w:t>
      </w:r>
      <w:r>
        <w:rPr>
          <w:rStyle w:val="default"/>
          <w:rFonts w:cs="FrankRuehl" w:hint="cs"/>
          <w:rtl/>
        </w:rPr>
        <w:t xml:space="preserve"> המדינה שבה הוא תושב או אזרח.</w:t>
      </w:r>
    </w:p>
    <w:p w14:paraId="5D50EA41" w14:textId="77777777" w:rsidR="006F3DF6" w:rsidRDefault="006F3DF6" w:rsidP="006F3DF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אם ההחלטה על הכוונה להכריז מבוססת על הכרזת מועצת הביטחון של האומות המאוחדות או של גוף מוסמך של מדינה כאמור בסעיף 3(א)(2) ו-(3) או סעיף 9(א)(2) ו-(3) לחוק, יכלול הפרסום </w:t>
      </w:r>
      <w:r w:rsidR="00732AF0">
        <w:rPr>
          <w:rStyle w:val="default"/>
          <w:rFonts w:cs="FrankRuehl" w:hint="cs"/>
          <w:rtl/>
        </w:rPr>
        <w:t>אם ההחלטה על הכוונה להכריז מבוססת על הכרזת מועצת הביטחון של האומות המאוחדות או של גוף מוסמך של מדינה כאמור בסעיף 3(א)(2) ו-(3) או סעיף 9(א)(2) ו-(3) לחוק, יכלול הפרסום האמור בתקנת משנה (א), גם את זהות הגורם המוסמך במדינה האחרת שקבע כי הגורם הזר נותן סיוע לאיראן בקידום תכנית הגרעין שלה או בהשגת נשק להשמדה המונית או אמצעי נשיאה לנשק כאמור, או שקבע כי הגורם הזר מקיים קשר עסקי מהותי עם איראן או קשר כלכלי עמה, לפי העניין.</w:t>
      </w:r>
    </w:p>
    <w:p w14:paraId="0437ABBD" w14:textId="77777777" w:rsidR="00301EEF" w:rsidRDefault="00301EEF" w:rsidP="00732AF0">
      <w:pPr>
        <w:pStyle w:val="P00"/>
        <w:spacing w:before="72"/>
        <w:ind w:left="0" w:right="1134"/>
        <w:rPr>
          <w:rStyle w:val="default"/>
          <w:rFonts w:cs="FrankRuehl" w:hint="cs"/>
          <w:rtl/>
        </w:rPr>
      </w:pPr>
      <w:bookmarkStart w:id="3" w:name="Seif4"/>
      <w:bookmarkEnd w:id="3"/>
      <w:r>
        <w:rPr>
          <w:lang w:val="he-IL"/>
        </w:rPr>
        <w:pict w14:anchorId="660AB0FD">
          <v:rect id="_x0000_s1054" style="position:absolute;left:0;text-align:left;margin-left:464.5pt;margin-top:8.05pt;width:75.05pt;height:30.8pt;z-index:251655168" o:allowincell="f" filled="f" stroked="f" strokecolor="lime" strokeweight=".25pt">
            <v:textbox style="mso-next-textbox:#_x0000_s1054" inset="0,0,0,0">
              <w:txbxContent>
                <w:p w14:paraId="6987AD8D" w14:textId="77777777" w:rsidR="00A45F06" w:rsidRDefault="00732AF0" w:rsidP="00301EEF">
                  <w:pPr>
                    <w:spacing w:line="160" w:lineRule="exact"/>
                    <w:jc w:val="left"/>
                    <w:rPr>
                      <w:rFonts w:cs="Miriam" w:hint="cs"/>
                      <w:noProof/>
                      <w:sz w:val="18"/>
                      <w:szCs w:val="18"/>
                      <w:rtl/>
                    </w:rPr>
                  </w:pPr>
                  <w:r>
                    <w:rPr>
                      <w:rFonts w:cs="Miriam" w:hint="cs"/>
                      <w:sz w:val="18"/>
                      <w:szCs w:val="18"/>
                      <w:rtl/>
                    </w:rPr>
                    <w:t>בקשה שלא להכריז או בקשה לביטול הכרזה</w:t>
                  </w:r>
                </w:p>
              </w:txbxContent>
            </v:textbox>
            <w10:anchorlock/>
          </v:rect>
        </w:pict>
      </w:r>
      <w:r w:rsidR="001C177E">
        <w:rPr>
          <w:rStyle w:val="big-number"/>
          <w:rFonts w:cs="Miriam" w:hint="cs"/>
          <w:rtl/>
        </w:rPr>
        <w:t>4</w:t>
      </w:r>
      <w:r w:rsidRPr="00301EEF">
        <w:rPr>
          <w:rStyle w:val="default"/>
          <w:rFonts w:cs="FrankRuehl"/>
          <w:rtl/>
        </w:rPr>
        <w:t>.</w:t>
      </w:r>
      <w:r w:rsidRPr="00301EEF">
        <w:rPr>
          <w:rStyle w:val="default"/>
          <w:rFonts w:cs="FrankRuehl"/>
          <w:rtl/>
        </w:rPr>
        <w:tab/>
      </w:r>
      <w:r w:rsidR="00732AF0">
        <w:rPr>
          <w:rStyle w:val="default"/>
          <w:rFonts w:cs="FrankRuehl" w:hint="cs"/>
          <w:rtl/>
        </w:rPr>
        <w:t>בקשה שלא להכריז לפי סעיף 13 לחוק או בקשה לבטל הכרזה לפי סעיף 17 לחוק, תוגש לוועדה המייעצת, באמצעות מטה הסנקציות, בכתב, בשפה העברית או האנגלית, בשלושה עותקים; הבקשה תהיה מנומקת והעובדות שהיא מבוססת עליהן יאומתו בתצהיר של מגיש הבקשה או של מי שהעובדות הן בידיעתו</w:t>
      </w:r>
      <w:r w:rsidR="001C177E">
        <w:rPr>
          <w:rStyle w:val="default"/>
          <w:rFonts w:cs="FrankRuehl" w:hint="cs"/>
          <w:rtl/>
        </w:rPr>
        <w:t>.</w:t>
      </w:r>
    </w:p>
    <w:p w14:paraId="66C42941" w14:textId="77777777" w:rsidR="00301EEF" w:rsidRDefault="00301EEF" w:rsidP="00732AF0">
      <w:pPr>
        <w:pStyle w:val="P00"/>
        <w:spacing w:before="72"/>
        <w:ind w:left="0" w:right="1134"/>
        <w:rPr>
          <w:rStyle w:val="default"/>
          <w:rFonts w:cs="FrankRuehl" w:hint="cs"/>
          <w:rtl/>
        </w:rPr>
      </w:pPr>
      <w:bookmarkStart w:id="4" w:name="Seif5"/>
      <w:bookmarkEnd w:id="4"/>
      <w:r>
        <w:rPr>
          <w:lang w:val="he-IL"/>
        </w:rPr>
        <w:pict w14:anchorId="4334C67B">
          <v:rect id="_x0000_s1055" style="position:absolute;left:0;text-align:left;margin-left:464.5pt;margin-top:8.05pt;width:75.05pt;height:22.25pt;z-index:251656192" o:allowincell="f" filled="f" stroked="f" strokecolor="lime" strokeweight=".25pt">
            <v:textbox style="mso-next-textbox:#_x0000_s1055" inset="0,0,0,0">
              <w:txbxContent>
                <w:p w14:paraId="425A6E8C" w14:textId="77777777" w:rsidR="00A45F06" w:rsidRDefault="00732AF0" w:rsidP="00301EEF">
                  <w:pPr>
                    <w:spacing w:line="160" w:lineRule="exact"/>
                    <w:jc w:val="left"/>
                    <w:rPr>
                      <w:rFonts w:cs="Miriam" w:hint="cs"/>
                      <w:noProof/>
                      <w:sz w:val="18"/>
                      <w:szCs w:val="18"/>
                      <w:rtl/>
                    </w:rPr>
                  </w:pPr>
                  <w:r>
                    <w:rPr>
                      <w:rFonts w:cs="Miriam" w:hint="cs"/>
                      <w:sz w:val="18"/>
                      <w:szCs w:val="18"/>
                      <w:rtl/>
                    </w:rPr>
                    <w:t>סדרי עבודת הוועדה המייעצת</w:t>
                  </w:r>
                </w:p>
              </w:txbxContent>
            </v:textbox>
            <w10:anchorlock/>
          </v:rect>
        </w:pict>
      </w:r>
      <w:r w:rsidR="001C177E">
        <w:rPr>
          <w:rStyle w:val="big-number"/>
          <w:rFonts w:cs="Miriam" w:hint="cs"/>
          <w:rtl/>
        </w:rPr>
        <w:t>5</w:t>
      </w:r>
      <w:r w:rsidRPr="00301EEF">
        <w:rPr>
          <w:rStyle w:val="default"/>
          <w:rFonts w:cs="FrankRuehl"/>
          <w:rtl/>
        </w:rPr>
        <w:t>.</w:t>
      </w:r>
      <w:r w:rsidRPr="00301EEF">
        <w:rPr>
          <w:rStyle w:val="default"/>
          <w:rFonts w:cs="FrankRuehl"/>
          <w:rtl/>
        </w:rPr>
        <w:tab/>
      </w:r>
      <w:r w:rsidR="001C177E">
        <w:rPr>
          <w:rStyle w:val="default"/>
          <w:rFonts w:cs="FrankRuehl" w:hint="cs"/>
          <w:rtl/>
        </w:rPr>
        <w:t>(א)</w:t>
      </w:r>
      <w:r w:rsidR="001C177E">
        <w:rPr>
          <w:rStyle w:val="default"/>
          <w:rFonts w:cs="FrankRuehl" w:hint="cs"/>
          <w:rtl/>
        </w:rPr>
        <w:tab/>
      </w:r>
      <w:r w:rsidR="00732AF0">
        <w:rPr>
          <w:rStyle w:val="default"/>
          <w:rFonts w:cs="FrankRuehl" w:hint="cs"/>
          <w:rtl/>
        </w:rPr>
        <w:t xml:space="preserve">יושב ראש הוועדה המייעצת יכנס ישיבה של הוועדה המייעצת לצורך דיון בבקשה </w:t>
      </w:r>
      <w:r w:rsidR="00732AF0">
        <w:rPr>
          <w:rStyle w:val="default"/>
          <w:rFonts w:cs="FrankRuehl" w:hint="cs"/>
          <w:rtl/>
        </w:rPr>
        <w:lastRenderedPageBreak/>
        <w:t>שלא להכריז לפי סעיף 13(א) לחוק או בבקשה לביטול הכרזה לפי סעיף 17(א) לחוק.</w:t>
      </w:r>
    </w:p>
    <w:p w14:paraId="0E6F9A47" w14:textId="77777777" w:rsidR="00732AF0" w:rsidRDefault="00732AF0" w:rsidP="00732A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ישיבה ראשונה לצורך דיון בבקשה כאמור, תתכנס בתוך 21 ימים ממועד קבלתה אצל מטה הסנקציות.</w:t>
      </w:r>
    </w:p>
    <w:p w14:paraId="6A7E4C57" w14:textId="77777777" w:rsidR="00732AF0" w:rsidRDefault="00732AF0" w:rsidP="00732A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ראה יושב ראש הוועדה המייעצת כי יש צורך בקיום ישיבות נוספות, יכנס את הוועדה המייעצת לפי שיקול דעתו או לבקשת אחד מחבריה.</w:t>
      </w:r>
    </w:p>
    <w:p w14:paraId="0A438871" w14:textId="77777777" w:rsidR="00301EEF" w:rsidRDefault="00301EEF" w:rsidP="00732AF0">
      <w:pPr>
        <w:pStyle w:val="P00"/>
        <w:spacing w:before="72"/>
        <w:ind w:left="0" w:right="1134"/>
        <w:rPr>
          <w:rStyle w:val="default"/>
          <w:rFonts w:cs="FrankRuehl" w:hint="cs"/>
          <w:rtl/>
        </w:rPr>
      </w:pPr>
      <w:bookmarkStart w:id="5" w:name="Seif6"/>
      <w:bookmarkEnd w:id="5"/>
      <w:r>
        <w:rPr>
          <w:lang w:val="he-IL"/>
        </w:rPr>
        <w:pict w14:anchorId="5AAF3E17">
          <v:rect id="_x0000_s1056" style="position:absolute;left:0;text-align:left;margin-left:464.5pt;margin-top:8.05pt;width:75.05pt;height:20.95pt;z-index:251657216" o:allowincell="f" filled="f" stroked="f" strokecolor="lime" strokeweight=".25pt">
            <v:textbox style="mso-next-textbox:#_x0000_s1056" inset="0,0,0,0">
              <w:txbxContent>
                <w:p w14:paraId="6B4AA678" w14:textId="77777777" w:rsidR="00A45F06" w:rsidRDefault="00732AF0" w:rsidP="00301EEF">
                  <w:pPr>
                    <w:spacing w:line="160" w:lineRule="exact"/>
                    <w:jc w:val="left"/>
                    <w:rPr>
                      <w:rFonts w:cs="Miriam" w:hint="cs"/>
                      <w:noProof/>
                      <w:sz w:val="18"/>
                      <w:szCs w:val="18"/>
                      <w:rtl/>
                    </w:rPr>
                  </w:pPr>
                  <w:r>
                    <w:rPr>
                      <w:rFonts w:cs="Miriam" w:hint="cs"/>
                      <w:sz w:val="18"/>
                      <w:szCs w:val="18"/>
                      <w:rtl/>
                    </w:rPr>
                    <w:t>דיון טלפוני במקרים דחופים</w:t>
                  </w:r>
                </w:p>
              </w:txbxContent>
            </v:textbox>
            <w10:anchorlock/>
          </v:rect>
        </w:pict>
      </w:r>
      <w:r w:rsidR="001C177E">
        <w:rPr>
          <w:rStyle w:val="big-number"/>
          <w:rFonts w:cs="Miriam" w:hint="cs"/>
          <w:rtl/>
        </w:rPr>
        <w:t>6</w:t>
      </w:r>
      <w:r w:rsidRPr="00301EEF">
        <w:rPr>
          <w:rStyle w:val="default"/>
          <w:rFonts w:cs="FrankRuehl"/>
          <w:rtl/>
        </w:rPr>
        <w:t>.</w:t>
      </w:r>
      <w:r w:rsidRPr="00301EEF">
        <w:rPr>
          <w:rStyle w:val="default"/>
          <w:rFonts w:cs="FrankRuehl"/>
          <w:rtl/>
        </w:rPr>
        <w:tab/>
      </w:r>
      <w:r w:rsidR="00732AF0">
        <w:rPr>
          <w:rStyle w:val="default"/>
          <w:rFonts w:cs="FrankRuehl" w:hint="cs"/>
          <w:rtl/>
        </w:rPr>
        <w:t>יושב ראש הוועדה המייעצת רשאי לקיים ישיבה טלפונית במקרה דחוף לאחר שנוכח לדעת כי אין אפשרות לכנס את הוועדה המייעצת בדרך הרגילה; יושב ראש הוועדה המייעצת ירשום פרוטוקול דיון דחוף כאמור, ויעבירו לכל חברי הוועדה המייעצת</w:t>
      </w:r>
      <w:r w:rsidR="001C177E">
        <w:rPr>
          <w:rStyle w:val="default"/>
          <w:rFonts w:cs="FrankRuehl" w:hint="cs"/>
          <w:rtl/>
        </w:rPr>
        <w:t>.</w:t>
      </w:r>
    </w:p>
    <w:p w14:paraId="5BD5FA91" w14:textId="77777777" w:rsidR="00301EEF" w:rsidRDefault="00301EEF" w:rsidP="00732AF0">
      <w:pPr>
        <w:pStyle w:val="P00"/>
        <w:spacing w:before="72"/>
        <w:ind w:left="0" w:right="1134"/>
        <w:rPr>
          <w:rStyle w:val="default"/>
          <w:rFonts w:cs="FrankRuehl" w:hint="cs"/>
          <w:rtl/>
        </w:rPr>
      </w:pPr>
      <w:bookmarkStart w:id="6" w:name="Seif7"/>
      <w:bookmarkEnd w:id="6"/>
      <w:r>
        <w:rPr>
          <w:lang w:val="he-IL"/>
        </w:rPr>
        <w:pict w14:anchorId="0FEDD74B">
          <v:rect id="_x0000_s1057" style="position:absolute;left:0;text-align:left;margin-left:464.5pt;margin-top:8.05pt;width:75.05pt;height:24.65pt;z-index:251658240" o:allowincell="f" filled="f" stroked="f" strokecolor="lime" strokeweight=".25pt">
            <v:textbox style="mso-next-textbox:#_x0000_s1057" inset="0,0,0,0">
              <w:txbxContent>
                <w:p w14:paraId="201F7B96" w14:textId="77777777" w:rsidR="00A45F06" w:rsidRDefault="00732AF0" w:rsidP="00301EEF">
                  <w:pPr>
                    <w:spacing w:line="160" w:lineRule="exact"/>
                    <w:jc w:val="left"/>
                    <w:rPr>
                      <w:rFonts w:cs="Miriam" w:hint="cs"/>
                      <w:noProof/>
                      <w:sz w:val="18"/>
                      <w:szCs w:val="18"/>
                      <w:rtl/>
                    </w:rPr>
                  </w:pPr>
                  <w:r>
                    <w:rPr>
                      <w:rFonts w:cs="Miriam" w:hint="cs"/>
                      <w:sz w:val="18"/>
                      <w:szCs w:val="18"/>
                      <w:rtl/>
                    </w:rPr>
                    <w:t>סדר יום לישיבות הוועדה המייעצת</w:t>
                  </w:r>
                </w:p>
              </w:txbxContent>
            </v:textbox>
            <w10:anchorlock/>
          </v:rect>
        </w:pict>
      </w:r>
      <w:r w:rsidR="001C177E">
        <w:rPr>
          <w:rStyle w:val="big-number"/>
          <w:rFonts w:cs="Miriam" w:hint="cs"/>
          <w:rtl/>
        </w:rPr>
        <w:t>7</w:t>
      </w:r>
      <w:r w:rsidRPr="00301EEF">
        <w:rPr>
          <w:rStyle w:val="default"/>
          <w:rFonts w:cs="FrankRuehl"/>
          <w:rtl/>
        </w:rPr>
        <w:t>.</w:t>
      </w:r>
      <w:r w:rsidRPr="00301EEF">
        <w:rPr>
          <w:rStyle w:val="default"/>
          <w:rFonts w:cs="FrankRuehl"/>
          <w:rtl/>
        </w:rPr>
        <w:tab/>
      </w:r>
      <w:r w:rsidR="001C177E">
        <w:rPr>
          <w:rStyle w:val="default"/>
          <w:rFonts w:cs="FrankRuehl" w:hint="cs"/>
          <w:rtl/>
        </w:rPr>
        <w:t>(א)</w:t>
      </w:r>
      <w:r w:rsidR="001C177E">
        <w:rPr>
          <w:rStyle w:val="default"/>
          <w:rFonts w:cs="FrankRuehl" w:hint="cs"/>
          <w:rtl/>
        </w:rPr>
        <w:tab/>
      </w:r>
      <w:r w:rsidR="00732AF0">
        <w:rPr>
          <w:rStyle w:val="default"/>
          <w:rFonts w:cs="FrankRuehl" w:hint="cs"/>
          <w:rtl/>
        </w:rPr>
        <w:t>יושב ראש הוועדה המייעצת יקבע את סדר היום לישיבות הוועדה המייעצת.</w:t>
      </w:r>
    </w:p>
    <w:p w14:paraId="3AFA6A43" w14:textId="77777777" w:rsidR="00732AF0" w:rsidRDefault="00732AF0" w:rsidP="00732A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בהזמנה לישיבת הוועדה המייעצת יפורט סדר היום שלה והיא תימסר לחברי הוועדה המייעצת שלושה ימי עבודה לפחות לפני המועד שנקבע לישיבה.</w:t>
      </w:r>
    </w:p>
    <w:p w14:paraId="33CB6129" w14:textId="77777777" w:rsidR="00732AF0" w:rsidRDefault="00732AF0" w:rsidP="00732A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הזמנה, או כל הודעה אחרת תיעשה בכתב ותומצא לחבר הוועדה המייעצת באמצעות מטה הסנקציות.</w:t>
      </w:r>
    </w:p>
    <w:p w14:paraId="1C5B2D0D" w14:textId="77777777" w:rsidR="00732AF0" w:rsidRDefault="00732AF0" w:rsidP="00732AF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קטן (ג), הזמנה לישיבה דחופה וכן הודעה על ביטול ישיבה או על דחייתה, תימסר בכל דרך הנראית ליושב ראש מועילה בנסיבות העניין.</w:t>
      </w:r>
    </w:p>
    <w:p w14:paraId="70DC0650" w14:textId="77777777" w:rsidR="00301EEF" w:rsidRDefault="00301EEF" w:rsidP="00732AF0">
      <w:pPr>
        <w:pStyle w:val="P00"/>
        <w:spacing w:before="72"/>
        <w:ind w:left="0" w:right="1134"/>
        <w:rPr>
          <w:rStyle w:val="default"/>
          <w:rFonts w:cs="FrankRuehl" w:hint="cs"/>
          <w:rtl/>
        </w:rPr>
      </w:pPr>
      <w:bookmarkStart w:id="7" w:name="Seif8"/>
      <w:bookmarkEnd w:id="7"/>
      <w:r>
        <w:rPr>
          <w:lang w:val="he-IL"/>
        </w:rPr>
        <w:pict w14:anchorId="3269110B">
          <v:rect id="_x0000_s1058" style="position:absolute;left:0;text-align:left;margin-left:464.5pt;margin-top:8.05pt;width:75.05pt;height:16.75pt;z-index:251659264" o:allowincell="f" filled="f" stroked="f" strokecolor="lime" strokeweight=".25pt">
            <v:textbox style="mso-next-textbox:#_x0000_s1058" inset="0,0,0,0">
              <w:txbxContent>
                <w:p w14:paraId="5B05DCC1" w14:textId="77777777" w:rsidR="00A45F06" w:rsidRDefault="00732AF0" w:rsidP="00A21362">
                  <w:pPr>
                    <w:spacing w:line="160" w:lineRule="exact"/>
                    <w:jc w:val="left"/>
                    <w:rPr>
                      <w:rFonts w:cs="Miriam" w:hint="cs"/>
                      <w:noProof/>
                      <w:sz w:val="18"/>
                      <w:szCs w:val="18"/>
                      <w:rtl/>
                    </w:rPr>
                  </w:pPr>
                  <w:r>
                    <w:rPr>
                      <w:rFonts w:cs="Miriam" w:hint="cs"/>
                      <w:sz w:val="18"/>
                      <w:szCs w:val="18"/>
                      <w:rtl/>
                    </w:rPr>
                    <w:t>מניין לקבלת החלטות</w:t>
                  </w:r>
                </w:p>
              </w:txbxContent>
            </v:textbox>
            <w10:anchorlock/>
          </v:rect>
        </w:pict>
      </w:r>
      <w:r w:rsidR="001C177E">
        <w:rPr>
          <w:rStyle w:val="big-number"/>
          <w:rFonts w:cs="Miriam" w:hint="cs"/>
          <w:rtl/>
        </w:rPr>
        <w:t>8</w:t>
      </w:r>
      <w:r w:rsidRPr="00301EEF">
        <w:rPr>
          <w:rStyle w:val="default"/>
          <w:rFonts w:cs="FrankRuehl"/>
          <w:rtl/>
        </w:rPr>
        <w:t>.</w:t>
      </w:r>
      <w:r w:rsidRPr="00301EEF">
        <w:rPr>
          <w:rStyle w:val="default"/>
          <w:rFonts w:cs="FrankRuehl"/>
          <w:rtl/>
        </w:rPr>
        <w:tab/>
      </w:r>
      <w:r w:rsidR="00A21362">
        <w:rPr>
          <w:rStyle w:val="default"/>
          <w:rFonts w:cs="FrankRuehl" w:hint="cs"/>
          <w:rtl/>
        </w:rPr>
        <w:t>(א)</w:t>
      </w:r>
      <w:r w:rsidR="00A21362">
        <w:rPr>
          <w:rStyle w:val="default"/>
          <w:rFonts w:cs="FrankRuehl" w:hint="cs"/>
          <w:rtl/>
        </w:rPr>
        <w:tab/>
      </w:r>
      <w:r w:rsidR="00732AF0">
        <w:rPr>
          <w:rStyle w:val="default"/>
          <w:rFonts w:cs="FrankRuehl" w:hint="cs"/>
          <w:rtl/>
        </w:rPr>
        <w:t>כל חברי הוועדה המייעצת יהיו מניין חוקי בישיבותיה</w:t>
      </w:r>
      <w:r w:rsidR="00A21362">
        <w:rPr>
          <w:rStyle w:val="default"/>
          <w:rFonts w:cs="FrankRuehl" w:hint="cs"/>
          <w:rtl/>
        </w:rPr>
        <w:t>.</w:t>
      </w:r>
    </w:p>
    <w:p w14:paraId="43EB2CEA" w14:textId="77777777" w:rsidR="00732AF0" w:rsidRDefault="00732AF0" w:rsidP="00732A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החלטות הוועדה המייעצת יתקבלו ברוב המצביעים בישיבה.</w:t>
      </w:r>
    </w:p>
    <w:p w14:paraId="3026DE9B" w14:textId="77777777" w:rsidR="00301EEF" w:rsidRDefault="00301EEF" w:rsidP="00732AF0">
      <w:pPr>
        <w:pStyle w:val="P00"/>
        <w:spacing w:before="72"/>
        <w:ind w:left="0" w:right="1134"/>
        <w:rPr>
          <w:rStyle w:val="default"/>
          <w:rFonts w:cs="FrankRuehl" w:hint="cs"/>
          <w:rtl/>
        </w:rPr>
      </w:pPr>
      <w:bookmarkStart w:id="8" w:name="Seif9"/>
      <w:bookmarkEnd w:id="8"/>
      <w:r>
        <w:rPr>
          <w:lang w:val="he-IL"/>
        </w:rPr>
        <w:pict w14:anchorId="03BFA0B3">
          <v:rect id="_x0000_s1059" style="position:absolute;left:0;text-align:left;margin-left:464.5pt;margin-top:8.05pt;width:75.05pt;height:9pt;z-index:251660288" o:allowincell="f" filled="f" stroked="f" strokecolor="lime" strokeweight=".25pt">
            <v:textbox style="mso-next-textbox:#_x0000_s1059" inset="0,0,0,0">
              <w:txbxContent>
                <w:p w14:paraId="4D9FDCAE" w14:textId="77777777" w:rsidR="00A45F06" w:rsidRDefault="00732AF0" w:rsidP="00301EEF">
                  <w:pPr>
                    <w:spacing w:line="160" w:lineRule="exact"/>
                    <w:jc w:val="left"/>
                    <w:rPr>
                      <w:rFonts w:cs="Miriam" w:hint="cs"/>
                      <w:noProof/>
                      <w:sz w:val="18"/>
                      <w:szCs w:val="18"/>
                      <w:rtl/>
                    </w:rPr>
                  </w:pPr>
                  <w:r>
                    <w:rPr>
                      <w:rFonts w:cs="Miriam" w:hint="cs"/>
                      <w:sz w:val="18"/>
                      <w:szCs w:val="18"/>
                      <w:rtl/>
                    </w:rPr>
                    <w:t>רישום פרוטוקול</w:t>
                  </w:r>
                </w:p>
              </w:txbxContent>
            </v:textbox>
            <w10:anchorlock/>
          </v:rect>
        </w:pict>
      </w:r>
      <w:r w:rsidR="0019398B">
        <w:rPr>
          <w:rStyle w:val="big-number"/>
          <w:rFonts w:cs="Miriam" w:hint="cs"/>
          <w:rtl/>
        </w:rPr>
        <w:t>9</w:t>
      </w:r>
      <w:r w:rsidRPr="00301EEF">
        <w:rPr>
          <w:rStyle w:val="default"/>
          <w:rFonts w:cs="FrankRuehl"/>
          <w:rtl/>
        </w:rPr>
        <w:t>.</w:t>
      </w:r>
      <w:r w:rsidRPr="00301EEF">
        <w:rPr>
          <w:rStyle w:val="default"/>
          <w:rFonts w:cs="FrankRuehl"/>
          <w:rtl/>
        </w:rPr>
        <w:tab/>
      </w:r>
      <w:r w:rsidR="00732AF0">
        <w:rPr>
          <w:rStyle w:val="default"/>
          <w:rFonts w:cs="FrankRuehl" w:hint="cs"/>
          <w:rtl/>
        </w:rPr>
        <w:t>מי שיושב ראש הוועדה המייעצת מינהו לכך ירשום את פרוטוקול ישיבת הוועדה המייעצת וישלח אותו, כשהוא חתום ביד היושב ראש, לכל חברי הוועדה המייעצת.</w:t>
      </w:r>
    </w:p>
    <w:p w14:paraId="5E36B2BA" w14:textId="77777777" w:rsidR="00301EEF" w:rsidRDefault="00301EEF" w:rsidP="00732AF0">
      <w:pPr>
        <w:pStyle w:val="P00"/>
        <w:spacing w:before="72"/>
        <w:ind w:left="0" w:right="1134"/>
        <w:rPr>
          <w:rStyle w:val="default"/>
          <w:rFonts w:cs="FrankRuehl" w:hint="cs"/>
          <w:rtl/>
        </w:rPr>
      </w:pPr>
      <w:bookmarkStart w:id="9" w:name="Seif10"/>
      <w:bookmarkEnd w:id="9"/>
      <w:r>
        <w:rPr>
          <w:lang w:val="he-IL"/>
        </w:rPr>
        <w:pict w14:anchorId="6984B45D">
          <v:rect id="_x0000_s1060" style="position:absolute;left:0;text-align:left;margin-left:464.5pt;margin-top:8.05pt;width:75.05pt;height:20.85pt;z-index:251661312" o:allowincell="f" filled="f" stroked="f" strokecolor="lime" strokeweight=".25pt">
            <v:textbox style="mso-next-textbox:#_x0000_s1060" inset="0,0,0,0">
              <w:txbxContent>
                <w:p w14:paraId="13C0E8F3" w14:textId="77777777" w:rsidR="00A45F06" w:rsidRDefault="00732AF0" w:rsidP="00301EEF">
                  <w:pPr>
                    <w:spacing w:line="160" w:lineRule="exact"/>
                    <w:jc w:val="left"/>
                    <w:rPr>
                      <w:rFonts w:cs="Miriam" w:hint="cs"/>
                      <w:noProof/>
                      <w:sz w:val="18"/>
                      <w:szCs w:val="18"/>
                      <w:rtl/>
                    </w:rPr>
                  </w:pPr>
                  <w:r>
                    <w:rPr>
                      <w:rFonts w:cs="Miriam" w:hint="cs"/>
                      <w:sz w:val="18"/>
                      <w:szCs w:val="18"/>
                      <w:rtl/>
                    </w:rPr>
                    <w:t>סדרי עבודת מטה הסנקציות</w:t>
                  </w:r>
                </w:p>
              </w:txbxContent>
            </v:textbox>
            <w10:anchorlock/>
          </v:rect>
        </w:pict>
      </w:r>
      <w:r>
        <w:rPr>
          <w:rStyle w:val="big-number"/>
          <w:rFonts w:cs="Miriam" w:hint="cs"/>
          <w:rtl/>
        </w:rPr>
        <w:t>10</w:t>
      </w:r>
      <w:r w:rsidRPr="00301EEF">
        <w:rPr>
          <w:rStyle w:val="default"/>
          <w:rFonts w:cs="FrankRuehl"/>
          <w:rtl/>
        </w:rPr>
        <w:t>.</w:t>
      </w:r>
      <w:r w:rsidRPr="00301EEF">
        <w:rPr>
          <w:rStyle w:val="default"/>
          <w:rFonts w:cs="FrankRuehl"/>
          <w:rtl/>
        </w:rPr>
        <w:tab/>
      </w:r>
      <w:r w:rsidR="00732AF0">
        <w:rPr>
          <w:rStyle w:val="default"/>
          <w:rFonts w:cs="FrankRuehl" w:hint="cs"/>
          <w:rtl/>
        </w:rPr>
        <w:t>לצורך קבלת מידע לפי סעיף 28(א)(2) לחוק, מטה הסנקציות יפנה בכתב למנהל הכללי של המשרד הממשלתי או לראש הרשות הביטחונית או למי שאחד מהם הסמיך לקבל את הפנייה</w:t>
      </w:r>
      <w:r w:rsidR="00FC243C">
        <w:rPr>
          <w:rStyle w:val="default"/>
          <w:rFonts w:cs="FrankRuehl" w:hint="cs"/>
          <w:rtl/>
        </w:rPr>
        <w:t>.</w:t>
      </w:r>
    </w:p>
    <w:p w14:paraId="73738247" w14:textId="77777777" w:rsidR="00301EEF" w:rsidRDefault="00301EEF" w:rsidP="00732AF0">
      <w:pPr>
        <w:pStyle w:val="P00"/>
        <w:spacing w:before="72"/>
        <w:ind w:left="0" w:right="1134"/>
        <w:rPr>
          <w:rStyle w:val="default"/>
          <w:rFonts w:cs="FrankRuehl" w:hint="cs"/>
          <w:rtl/>
        </w:rPr>
      </w:pPr>
      <w:bookmarkStart w:id="10" w:name="Seif11"/>
      <w:bookmarkEnd w:id="10"/>
      <w:r>
        <w:rPr>
          <w:lang w:val="he-IL"/>
        </w:rPr>
        <w:pict w14:anchorId="23083C9D">
          <v:rect id="_x0000_s1061" style="position:absolute;left:0;text-align:left;margin-left:464.5pt;margin-top:8.05pt;width:75.05pt;height:21.55pt;z-index:251662336" o:allowincell="f" filled="f" stroked="f" strokecolor="lime" strokeweight=".25pt">
            <v:textbox style="mso-next-textbox:#_x0000_s1061" inset="0,0,0,0">
              <w:txbxContent>
                <w:p w14:paraId="1C241FC2" w14:textId="77777777" w:rsidR="00A45F06" w:rsidRDefault="00732AF0" w:rsidP="00301EEF">
                  <w:pPr>
                    <w:spacing w:line="160" w:lineRule="exact"/>
                    <w:jc w:val="left"/>
                    <w:rPr>
                      <w:rFonts w:cs="Miriam" w:hint="cs"/>
                      <w:noProof/>
                      <w:sz w:val="18"/>
                      <w:szCs w:val="18"/>
                      <w:rtl/>
                    </w:rPr>
                  </w:pPr>
                  <w:r>
                    <w:rPr>
                      <w:rFonts w:cs="Miriam" w:hint="cs"/>
                      <w:sz w:val="18"/>
                      <w:szCs w:val="18"/>
                      <w:rtl/>
                    </w:rPr>
                    <w:t>תשובה לפניית מטה הסנקציות</w:t>
                  </w:r>
                </w:p>
              </w:txbxContent>
            </v:textbox>
            <w10:anchorlock/>
          </v:rect>
        </w:pict>
      </w:r>
      <w:r>
        <w:rPr>
          <w:rStyle w:val="big-number"/>
          <w:rFonts w:cs="Miriam" w:hint="cs"/>
          <w:rtl/>
        </w:rPr>
        <w:t>1</w:t>
      </w:r>
      <w:r w:rsidR="001D4C4D">
        <w:rPr>
          <w:rStyle w:val="big-number"/>
          <w:rFonts w:cs="Miriam" w:hint="cs"/>
          <w:rtl/>
        </w:rPr>
        <w:t>1</w:t>
      </w:r>
      <w:r w:rsidRPr="00301EEF">
        <w:rPr>
          <w:rStyle w:val="default"/>
          <w:rFonts w:cs="FrankRuehl"/>
          <w:rtl/>
        </w:rPr>
        <w:t>.</w:t>
      </w:r>
      <w:r w:rsidRPr="00301EEF">
        <w:rPr>
          <w:rStyle w:val="default"/>
          <w:rFonts w:cs="FrankRuehl"/>
          <w:rtl/>
        </w:rPr>
        <w:tab/>
      </w:r>
      <w:r w:rsidR="00732AF0">
        <w:rPr>
          <w:rStyle w:val="default"/>
          <w:rFonts w:cs="FrankRuehl" w:hint="cs"/>
          <w:rtl/>
        </w:rPr>
        <w:t>מי שקיבל פנייה כאמור בתקנה 10 ישיב אליה בתוך ארבעה עשר ימים מיום קבלתה; התשובה לפנייה תועבר למטה הסנקציות בכתב לכתובת שצוינה בפניית מטה הסנקציות.</w:t>
      </w:r>
    </w:p>
    <w:p w14:paraId="3159CF89" w14:textId="77777777" w:rsidR="00301EEF" w:rsidRDefault="00301EEF" w:rsidP="00732AF0">
      <w:pPr>
        <w:pStyle w:val="P00"/>
        <w:spacing w:before="72"/>
        <w:ind w:left="0" w:right="1134"/>
        <w:rPr>
          <w:rStyle w:val="default"/>
          <w:rFonts w:cs="FrankRuehl" w:hint="cs"/>
          <w:rtl/>
        </w:rPr>
      </w:pPr>
      <w:bookmarkStart w:id="11" w:name="Seif12"/>
      <w:bookmarkEnd w:id="11"/>
      <w:r>
        <w:rPr>
          <w:lang w:val="he-IL"/>
        </w:rPr>
        <w:pict w14:anchorId="0E0A0AEF">
          <v:rect id="_x0000_s1062" style="position:absolute;left:0;text-align:left;margin-left:464.5pt;margin-top:8.05pt;width:75.05pt;height:11.05pt;z-index:251663360" o:allowincell="f" filled="f" stroked="f" strokecolor="lime" strokeweight=".25pt">
            <v:textbox style="mso-next-textbox:#_x0000_s1062" inset="0,0,0,0">
              <w:txbxContent>
                <w:p w14:paraId="02166B4F" w14:textId="77777777" w:rsidR="00A45F06" w:rsidRDefault="00732AF0" w:rsidP="00301EEF">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hint="cs"/>
          <w:rtl/>
        </w:rPr>
        <w:t>1</w:t>
      </w:r>
      <w:r w:rsidR="001D4C4D">
        <w:rPr>
          <w:rStyle w:val="big-number"/>
          <w:rFonts w:cs="Miriam" w:hint="cs"/>
          <w:rtl/>
        </w:rPr>
        <w:t>2</w:t>
      </w:r>
      <w:r w:rsidRPr="00301EEF">
        <w:rPr>
          <w:rStyle w:val="default"/>
          <w:rFonts w:cs="FrankRuehl"/>
          <w:rtl/>
        </w:rPr>
        <w:t>.</w:t>
      </w:r>
      <w:r w:rsidRPr="00301EEF">
        <w:rPr>
          <w:rStyle w:val="default"/>
          <w:rFonts w:cs="FrankRuehl"/>
          <w:rtl/>
        </w:rPr>
        <w:tab/>
      </w:r>
      <w:r w:rsidR="00732AF0">
        <w:rPr>
          <w:rStyle w:val="default"/>
          <w:rFonts w:cs="FrankRuehl" w:hint="cs"/>
          <w:rtl/>
        </w:rPr>
        <w:t>תחילתן של תקנות אלה 10 ימים מיום פרסומן</w:t>
      </w:r>
      <w:r w:rsidR="004A03A7">
        <w:rPr>
          <w:rStyle w:val="default"/>
          <w:rFonts w:cs="FrankRuehl" w:hint="cs"/>
          <w:rtl/>
        </w:rPr>
        <w:t>.</w:t>
      </w:r>
    </w:p>
    <w:p w14:paraId="5D7B8A6B" w14:textId="77777777" w:rsidR="006433E9" w:rsidRDefault="006433E9">
      <w:pPr>
        <w:pStyle w:val="P00"/>
        <w:spacing w:before="72"/>
        <w:ind w:left="0" w:right="1134"/>
        <w:rPr>
          <w:rStyle w:val="default"/>
          <w:rFonts w:cs="FrankRuehl" w:hint="cs"/>
          <w:rtl/>
        </w:rPr>
      </w:pPr>
    </w:p>
    <w:p w14:paraId="677A07EE" w14:textId="77777777" w:rsidR="00DD06B1" w:rsidRDefault="00DD06B1">
      <w:pPr>
        <w:pStyle w:val="P00"/>
        <w:spacing w:before="72"/>
        <w:ind w:left="0" w:right="1134"/>
        <w:rPr>
          <w:rStyle w:val="default"/>
          <w:rFonts w:cs="FrankRuehl"/>
          <w:rtl/>
        </w:rPr>
      </w:pPr>
    </w:p>
    <w:p w14:paraId="4F8F263A" w14:textId="77777777" w:rsidR="00303E68" w:rsidRDefault="00732AF0" w:rsidP="00732AF0">
      <w:pPr>
        <w:pStyle w:val="sig-1"/>
        <w:tabs>
          <w:tab w:val="clear" w:pos="851"/>
          <w:tab w:val="clear" w:pos="2835"/>
          <w:tab w:val="clear" w:pos="4820"/>
          <w:tab w:val="center" w:pos="5670"/>
        </w:tabs>
        <w:spacing w:before="72"/>
        <w:ind w:left="0" w:right="1134"/>
        <w:rPr>
          <w:rStyle w:val="default"/>
          <w:rFonts w:cs="FrankRuehl" w:hint="cs"/>
          <w:rtl/>
        </w:rPr>
      </w:pPr>
      <w:r>
        <w:rPr>
          <w:rStyle w:val="default"/>
          <w:rFonts w:cs="FrankRuehl" w:hint="cs"/>
          <w:rtl/>
        </w:rPr>
        <w:t>ט' באדר ב' התשע"ד (11 במרס 2014)</w:t>
      </w:r>
      <w:r w:rsidR="00303E68">
        <w:rPr>
          <w:rStyle w:val="default"/>
          <w:rFonts w:cs="FrankRuehl" w:hint="cs"/>
          <w:rtl/>
        </w:rPr>
        <w:tab/>
      </w:r>
      <w:r>
        <w:rPr>
          <w:rStyle w:val="default"/>
          <w:rFonts w:cs="FrankRuehl" w:hint="cs"/>
          <w:rtl/>
        </w:rPr>
        <w:t>יאיר לפיד</w:t>
      </w:r>
    </w:p>
    <w:p w14:paraId="41BA6712" w14:textId="77777777" w:rsidR="00303E68" w:rsidRDefault="00303E68" w:rsidP="00732AF0">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t>שר האוצר</w:t>
      </w:r>
    </w:p>
    <w:p w14:paraId="2710FBE0" w14:textId="77777777" w:rsidR="006433E9" w:rsidRDefault="006433E9">
      <w:pPr>
        <w:pStyle w:val="P00"/>
        <w:spacing w:before="72"/>
        <w:ind w:left="0" w:right="1134"/>
        <w:rPr>
          <w:rStyle w:val="default"/>
          <w:rFonts w:cs="FrankRuehl" w:hint="cs"/>
          <w:rtl/>
        </w:rPr>
      </w:pPr>
    </w:p>
    <w:p w14:paraId="519B8E26" w14:textId="77777777" w:rsidR="00DD06B1" w:rsidRDefault="00DD06B1">
      <w:pPr>
        <w:pStyle w:val="P00"/>
        <w:spacing w:before="72"/>
        <w:ind w:left="0" w:right="1134"/>
        <w:rPr>
          <w:rStyle w:val="default"/>
          <w:rFonts w:cs="FrankRuehl"/>
          <w:rtl/>
        </w:rPr>
      </w:pPr>
    </w:p>
    <w:p w14:paraId="57A93679" w14:textId="77777777" w:rsidR="00DD06B1" w:rsidRDefault="00DD06B1">
      <w:pPr>
        <w:pStyle w:val="P00"/>
        <w:spacing w:before="72"/>
        <w:ind w:left="0" w:right="1134"/>
        <w:rPr>
          <w:rStyle w:val="default"/>
          <w:rFonts w:cs="FrankRuehl"/>
          <w:rtl/>
        </w:rPr>
      </w:pPr>
      <w:bookmarkStart w:id="12" w:name="LawPartEnd"/>
    </w:p>
    <w:bookmarkEnd w:id="12"/>
    <w:p w14:paraId="119BA4AA" w14:textId="77777777" w:rsidR="004A563B" w:rsidRDefault="004A563B">
      <w:pPr>
        <w:pStyle w:val="P00"/>
        <w:spacing w:before="72"/>
        <w:ind w:left="0" w:right="1134"/>
        <w:rPr>
          <w:rStyle w:val="default"/>
          <w:rFonts w:cs="FrankRuehl"/>
          <w:rtl/>
        </w:rPr>
      </w:pPr>
    </w:p>
    <w:p w14:paraId="1B08C608" w14:textId="77777777" w:rsidR="004A563B" w:rsidRDefault="004A563B">
      <w:pPr>
        <w:pStyle w:val="P00"/>
        <w:spacing w:before="72"/>
        <w:ind w:left="0" w:right="1134"/>
        <w:rPr>
          <w:rStyle w:val="default"/>
          <w:rFonts w:cs="FrankRuehl"/>
          <w:rtl/>
        </w:rPr>
      </w:pPr>
    </w:p>
    <w:p w14:paraId="3AA1E431" w14:textId="77777777" w:rsidR="004A563B" w:rsidRDefault="004A563B" w:rsidP="004A563B">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14:paraId="6FBC09FC" w14:textId="77777777" w:rsidR="00513123" w:rsidRPr="004A563B" w:rsidRDefault="00513123" w:rsidP="004A563B">
      <w:pPr>
        <w:pStyle w:val="P00"/>
        <w:spacing w:before="72"/>
        <w:ind w:left="0" w:right="1134"/>
        <w:jc w:val="center"/>
        <w:rPr>
          <w:rStyle w:val="default"/>
          <w:rFonts w:cs="David"/>
          <w:color w:val="0000FF"/>
          <w:szCs w:val="24"/>
          <w:u w:val="single"/>
          <w:rtl/>
        </w:rPr>
      </w:pPr>
    </w:p>
    <w:sectPr w:rsidR="00513123" w:rsidRPr="004A563B">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079BC4" w14:textId="77777777" w:rsidR="001C419C" w:rsidRDefault="001C419C">
      <w:r>
        <w:separator/>
      </w:r>
    </w:p>
  </w:endnote>
  <w:endnote w:type="continuationSeparator" w:id="0">
    <w:p w14:paraId="21E20B46" w14:textId="77777777" w:rsidR="001C419C" w:rsidRDefault="001C41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3B10" w14:textId="77777777" w:rsidR="00A45F06" w:rsidRDefault="00A45F0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0755CD87" w14:textId="77777777" w:rsidR="00A45F06" w:rsidRDefault="00A45F0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1BA5923" w14:textId="77777777" w:rsidR="00A45F06" w:rsidRDefault="00A45F0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13123">
      <w:rPr>
        <w:rFonts w:cs="TopType Jerushalmi"/>
        <w:noProof/>
        <w:color w:val="000000"/>
        <w:sz w:val="14"/>
        <w:szCs w:val="14"/>
      </w:rPr>
      <w:t>Z:\000-law\yael\2012\2012-08-09\500_744.doc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089A4B" w14:textId="77777777" w:rsidR="00A45F06" w:rsidRDefault="00A45F0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A563B">
      <w:rPr>
        <w:rFonts w:hAnsi="FrankRuehl" w:cs="FrankRuehl"/>
        <w:noProof/>
        <w:sz w:val="24"/>
        <w:szCs w:val="24"/>
        <w:rtl/>
      </w:rPr>
      <w:t>3</w:t>
    </w:r>
    <w:r>
      <w:rPr>
        <w:rFonts w:hAnsi="FrankRuehl" w:cs="FrankRuehl"/>
        <w:sz w:val="24"/>
        <w:szCs w:val="24"/>
        <w:rtl/>
      </w:rPr>
      <w:fldChar w:fldCharType="end"/>
    </w:r>
  </w:p>
  <w:p w14:paraId="15141946" w14:textId="77777777" w:rsidR="00A45F06" w:rsidRDefault="00A45F0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F1A46CE" w14:textId="77777777" w:rsidR="00A45F06" w:rsidRDefault="00A45F0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513123">
      <w:rPr>
        <w:rFonts w:cs="TopType Jerushalmi"/>
        <w:noProof/>
        <w:color w:val="000000"/>
        <w:sz w:val="14"/>
        <w:szCs w:val="14"/>
      </w:rPr>
      <w:t>Z:\000-law\yael\2012\2012-08-09\500_744.doc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239A2" w14:textId="77777777" w:rsidR="001C419C" w:rsidRDefault="001C419C">
      <w:pPr>
        <w:spacing w:before="60" w:line="240" w:lineRule="auto"/>
        <w:ind w:right="1134"/>
      </w:pPr>
      <w:r>
        <w:separator/>
      </w:r>
    </w:p>
  </w:footnote>
  <w:footnote w:type="continuationSeparator" w:id="0">
    <w:p w14:paraId="3605301F" w14:textId="77777777" w:rsidR="001C419C" w:rsidRDefault="001C419C">
      <w:pPr>
        <w:spacing w:before="60" w:line="240" w:lineRule="auto"/>
        <w:ind w:right="1134"/>
      </w:pPr>
      <w:r>
        <w:separator/>
      </w:r>
    </w:p>
  </w:footnote>
  <w:footnote w:id="1">
    <w:p w14:paraId="3E199BA4" w14:textId="77777777" w:rsidR="009C32E8" w:rsidRPr="00811A69" w:rsidRDefault="00A45F06" w:rsidP="009C32E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Pr>
        <w:t>*</w:t>
      </w:r>
      <w:r>
        <w:rPr>
          <w:rFonts w:cs="FrankRuehl" w:hint="cs"/>
          <w:rtl/>
        </w:rPr>
        <w:t xml:space="preserve"> </w:t>
      </w:r>
      <w:r>
        <w:rPr>
          <w:rFonts w:cs="FrankRuehl"/>
          <w:rtl/>
        </w:rPr>
        <w:t>פו</w:t>
      </w:r>
      <w:r>
        <w:rPr>
          <w:rFonts w:cs="FrankRuehl" w:hint="cs"/>
          <w:rtl/>
        </w:rPr>
        <w:t>רס</w:t>
      </w:r>
      <w:r w:rsidR="003D57D8">
        <w:rPr>
          <w:rFonts w:cs="FrankRuehl" w:hint="cs"/>
          <w:rtl/>
        </w:rPr>
        <w:t>מו</w:t>
      </w:r>
      <w:r>
        <w:rPr>
          <w:rFonts w:cs="FrankRuehl" w:hint="cs"/>
          <w:rtl/>
        </w:rPr>
        <w:t xml:space="preserve"> </w:t>
      </w:r>
      <w:hyperlink r:id="rId1" w:history="1">
        <w:r w:rsidR="003D57D8" w:rsidRPr="009C32E8">
          <w:rPr>
            <w:rStyle w:val="Hyperlink"/>
            <w:rFonts w:cs="FrankRuehl" w:hint="cs"/>
            <w:rtl/>
          </w:rPr>
          <w:t>ק"ת</w:t>
        </w:r>
        <w:r w:rsidRPr="009C32E8">
          <w:rPr>
            <w:rStyle w:val="Hyperlink"/>
            <w:rFonts w:cs="FrankRuehl" w:hint="cs"/>
            <w:rtl/>
          </w:rPr>
          <w:t xml:space="preserve"> תשע"</w:t>
        </w:r>
        <w:r w:rsidR="003D57D8" w:rsidRPr="009C32E8">
          <w:rPr>
            <w:rStyle w:val="Hyperlink"/>
            <w:rFonts w:cs="FrankRuehl" w:hint="cs"/>
            <w:rtl/>
          </w:rPr>
          <w:t>ד</w:t>
        </w:r>
        <w:r w:rsidRPr="009C32E8">
          <w:rPr>
            <w:rStyle w:val="Hyperlink"/>
            <w:rFonts w:cs="FrankRuehl" w:hint="cs"/>
            <w:rtl/>
          </w:rPr>
          <w:t xml:space="preserve"> מס' </w:t>
        </w:r>
        <w:r w:rsidR="003D57D8" w:rsidRPr="009C32E8">
          <w:rPr>
            <w:rStyle w:val="Hyperlink"/>
            <w:rFonts w:cs="FrankRuehl" w:hint="cs"/>
            <w:rtl/>
          </w:rPr>
          <w:t>7362</w:t>
        </w:r>
      </w:hyperlink>
      <w:r>
        <w:rPr>
          <w:rFonts w:cs="FrankRuehl" w:hint="cs"/>
          <w:rtl/>
        </w:rPr>
        <w:t xml:space="preserve"> מיום </w:t>
      </w:r>
      <w:r w:rsidR="003D57D8">
        <w:rPr>
          <w:rFonts w:cs="FrankRuehl" w:hint="cs"/>
          <w:rtl/>
        </w:rPr>
        <w:t>31.3.2014</w:t>
      </w:r>
      <w:r>
        <w:rPr>
          <w:rFonts w:cs="FrankRuehl" w:hint="cs"/>
          <w:rtl/>
        </w:rPr>
        <w:t xml:space="preserve"> עמ' </w:t>
      </w:r>
      <w:r w:rsidR="003D57D8">
        <w:rPr>
          <w:rFonts w:cs="FrankRuehl" w:hint="cs"/>
          <w:rtl/>
        </w:rPr>
        <w:t>1016</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0A954C" w14:textId="77777777" w:rsidR="00A45F06" w:rsidRDefault="00A45F0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צו איסור הלבנת הון (חובות זיהוי, דיווח וניהול רישומים של בנק הדואר), תשס"ב- 2002</w:t>
    </w:r>
  </w:p>
  <w:p w14:paraId="0C0E5190" w14:textId="77777777" w:rsidR="00A45F06" w:rsidRDefault="00A45F0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C5BC9B2" w14:textId="77777777" w:rsidR="00A45F06" w:rsidRDefault="00A45F0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208F8" w14:textId="77777777" w:rsidR="00A45F06" w:rsidRDefault="003D57D8" w:rsidP="003D57D8">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w:t>
    </w:r>
    <w:r w:rsidR="00A45F06">
      <w:rPr>
        <w:rFonts w:hAnsi="FrankRuehl" w:cs="FrankRuehl" w:hint="cs"/>
        <w:color w:val="000000"/>
        <w:sz w:val="28"/>
        <w:szCs w:val="28"/>
        <w:rtl/>
      </w:rPr>
      <w:t xml:space="preserve"> המאבק בתכנית הגרעין של איראן</w:t>
    </w:r>
    <w:r>
      <w:rPr>
        <w:rFonts w:hAnsi="FrankRuehl" w:cs="FrankRuehl" w:hint="cs"/>
        <w:color w:val="000000"/>
        <w:sz w:val="28"/>
        <w:szCs w:val="28"/>
        <w:rtl/>
      </w:rPr>
      <w:t xml:space="preserve"> (מתן הודעות וסדרי עבודה)</w:t>
    </w:r>
    <w:r w:rsidR="00A45F06">
      <w:rPr>
        <w:rFonts w:hAnsi="FrankRuehl" w:cs="FrankRuehl"/>
        <w:color w:val="000000"/>
        <w:sz w:val="28"/>
        <w:szCs w:val="28"/>
        <w:rtl/>
      </w:rPr>
      <w:t xml:space="preserve">, </w:t>
    </w:r>
    <w:r w:rsidR="00A45F06">
      <w:rPr>
        <w:rFonts w:hAnsi="FrankRuehl" w:cs="FrankRuehl" w:hint="cs"/>
        <w:color w:val="000000"/>
        <w:sz w:val="28"/>
        <w:szCs w:val="28"/>
        <w:rtl/>
      </w:rPr>
      <w:t>תשע"</w:t>
    </w:r>
    <w:r>
      <w:rPr>
        <w:rFonts w:hAnsi="FrankRuehl" w:cs="FrankRuehl" w:hint="cs"/>
        <w:color w:val="000000"/>
        <w:sz w:val="28"/>
        <w:szCs w:val="28"/>
        <w:rtl/>
      </w:rPr>
      <w:t>ד-2014</w:t>
    </w:r>
  </w:p>
  <w:p w14:paraId="1BDEFC1F" w14:textId="77777777" w:rsidR="00A45F06" w:rsidRDefault="00A45F0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47AE590" w14:textId="77777777" w:rsidR="00A45F06" w:rsidRDefault="00A45F0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14E8"/>
    <w:rsid w:val="00014C7C"/>
    <w:rsid w:val="0002297D"/>
    <w:rsid w:val="0004339B"/>
    <w:rsid w:val="00076125"/>
    <w:rsid w:val="000A1DAC"/>
    <w:rsid w:val="000B5500"/>
    <w:rsid w:val="000E19E7"/>
    <w:rsid w:val="00107126"/>
    <w:rsid w:val="00120F7F"/>
    <w:rsid w:val="0014409F"/>
    <w:rsid w:val="00151A33"/>
    <w:rsid w:val="001541AF"/>
    <w:rsid w:val="001932D4"/>
    <w:rsid w:val="0019398B"/>
    <w:rsid w:val="001A4515"/>
    <w:rsid w:val="001C177E"/>
    <w:rsid w:val="001C24B4"/>
    <w:rsid w:val="001C419C"/>
    <w:rsid w:val="001D4C4D"/>
    <w:rsid w:val="001E47CB"/>
    <w:rsid w:val="001E6C97"/>
    <w:rsid w:val="001F4496"/>
    <w:rsid w:val="0020371A"/>
    <w:rsid w:val="00265115"/>
    <w:rsid w:val="00284859"/>
    <w:rsid w:val="002914E8"/>
    <w:rsid w:val="002A1D4E"/>
    <w:rsid w:val="00301EEF"/>
    <w:rsid w:val="00303E68"/>
    <w:rsid w:val="00314AE9"/>
    <w:rsid w:val="00340767"/>
    <w:rsid w:val="00344D96"/>
    <w:rsid w:val="003631D2"/>
    <w:rsid w:val="00363391"/>
    <w:rsid w:val="00370475"/>
    <w:rsid w:val="0038096B"/>
    <w:rsid w:val="003B0D31"/>
    <w:rsid w:val="003C7245"/>
    <w:rsid w:val="003D091F"/>
    <w:rsid w:val="003D57D8"/>
    <w:rsid w:val="00402F1C"/>
    <w:rsid w:val="00484999"/>
    <w:rsid w:val="004A03A7"/>
    <w:rsid w:val="004A563B"/>
    <w:rsid w:val="004C3B39"/>
    <w:rsid w:val="004C3D03"/>
    <w:rsid w:val="00513123"/>
    <w:rsid w:val="00526EE6"/>
    <w:rsid w:val="0056638B"/>
    <w:rsid w:val="005C2D48"/>
    <w:rsid w:val="005D5B03"/>
    <w:rsid w:val="005F5777"/>
    <w:rsid w:val="005F774E"/>
    <w:rsid w:val="005F7C94"/>
    <w:rsid w:val="00604F24"/>
    <w:rsid w:val="0060625E"/>
    <w:rsid w:val="00625F77"/>
    <w:rsid w:val="006433E9"/>
    <w:rsid w:val="00677CBE"/>
    <w:rsid w:val="006B56B2"/>
    <w:rsid w:val="006F3DF6"/>
    <w:rsid w:val="00716840"/>
    <w:rsid w:val="007261F8"/>
    <w:rsid w:val="00732AF0"/>
    <w:rsid w:val="00775DBF"/>
    <w:rsid w:val="007861AA"/>
    <w:rsid w:val="007A08D4"/>
    <w:rsid w:val="00811A69"/>
    <w:rsid w:val="00826A2A"/>
    <w:rsid w:val="008D4811"/>
    <w:rsid w:val="008E005F"/>
    <w:rsid w:val="008F789D"/>
    <w:rsid w:val="00904D1F"/>
    <w:rsid w:val="00923BA6"/>
    <w:rsid w:val="009342FC"/>
    <w:rsid w:val="00962737"/>
    <w:rsid w:val="009735E4"/>
    <w:rsid w:val="009C32E8"/>
    <w:rsid w:val="009E379E"/>
    <w:rsid w:val="009F64A5"/>
    <w:rsid w:val="00A110D6"/>
    <w:rsid w:val="00A21362"/>
    <w:rsid w:val="00A45F06"/>
    <w:rsid w:val="00A60D87"/>
    <w:rsid w:val="00A707DC"/>
    <w:rsid w:val="00A70D05"/>
    <w:rsid w:val="00A70D85"/>
    <w:rsid w:val="00AC5364"/>
    <w:rsid w:val="00AD484D"/>
    <w:rsid w:val="00AE04B8"/>
    <w:rsid w:val="00B05951"/>
    <w:rsid w:val="00B16E5F"/>
    <w:rsid w:val="00B2569C"/>
    <w:rsid w:val="00B51B37"/>
    <w:rsid w:val="00B871C8"/>
    <w:rsid w:val="00BA37D2"/>
    <w:rsid w:val="00BA383B"/>
    <w:rsid w:val="00BA65EF"/>
    <w:rsid w:val="00BB5B79"/>
    <w:rsid w:val="00BD0EA5"/>
    <w:rsid w:val="00C02563"/>
    <w:rsid w:val="00CC057B"/>
    <w:rsid w:val="00CC5A63"/>
    <w:rsid w:val="00D00151"/>
    <w:rsid w:val="00D01A2B"/>
    <w:rsid w:val="00D06915"/>
    <w:rsid w:val="00D1058C"/>
    <w:rsid w:val="00D53E30"/>
    <w:rsid w:val="00D9053D"/>
    <w:rsid w:val="00DC13F1"/>
    <w:rsid w:val="00DD06B1"/>
    <w:rsid w:val="00DE49E3"/>
    <w:rsid w:val="00E03A2C"/>
    <w:rsid w:val="00E61561"/>
    <w:rsid w:val="00E76CE1"/>
    <w:rsid w:val="00EA257F"/>
    <w:rsid w:val="00EF5CDC"/>
    <w:rsid w:val="00F112B7"/>
    <w:rsid w:val="00F21D43"/>
    <w:rsid w:val="00FA065A"/>
    <w:rsid w:val="00FC243C"/>
    <w:rsid w:val="00FE0877"/>
    <w:rsid w:val="00FE7F3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339CC39D"/>
  <w15:chartTrackingRefBased/>
  <w15:docId w15:val="{14C4356A-1221-4EB4-A7D8-727EC9920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character" w:customStyle="1" w:styleId="default">
    <w:name w:val="default"/>
    <w:basedOn w:val="a0"/>
    <w:rPr>
      <w:rFonts w:ascii="Times New Roman" w:hAnsi="Times New Roman" w:cs="Times New Roman"/>
      <w:sz w:val="26"/>
      <w:szCs w:val="26"/>
    </w:rPr>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character" w:customStyle="1" w:styleId="big-number">
    <w:name w:val="big-number"/>
    <w:basedOn w:val="default"/>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P33">
    <w:name w:val="P33"/>
    <w:basedOn w:val="P00"/>
    <w:pPr>
      <w:tabs>
        <w:tab w:val="clear" w:pos="624"/>
        <w:tab w:val="clear" w:pos="1021"/>
        <w:tab w:val="clear" w:pos="1474"/>
      </w:tabs>
      <w:ind w:right="1474"/>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table" w:styleId="a7">
    <w:name w:val="Table Grid"/>
    <w:basedOn w:val="a1"/>
    <w:rsid w:val="00DC13F1"/>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2">
    <w:name w:val="header-2"/>
    <w:basedOn w:val="P00"/>
    <w:rsid w:val="005D5B03"/>
    <w:pPr>
      <w:keepNext/>
      <w:keepLines/>
      <w:tabs>
        <w:tab w:val="clear" w:pos="6259"/>
      </w:tabs>
      <w:spacing w:before="240"/>
      <w:jc w:val="center"/>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6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5718</CharactersWithSpaces>
  <SharedDoc>false</SharedDoc>
  <HLinks>
    <vt:vector size="84" baseType="variant">
      <vt:variant>
        <vt:i4>393283</vt:i4>
      </vt:variant>
      <vt:variant>
        <vt:i4>72</vt:i4>
      </vt:variant>
      <vt:variant>
        <vt:i4>0</vt:i4>
      </vt:variant>
      <vt:variant>
        <vt:i4>5</vt:i4>
      </vt:variant>
      <vt:variant>
        <vt:lpwstr>http://www.nevo.co.il/advertisements/nevo-100.doc</vt:lpwstr>
      </vt:variant>
      <vt:variant>
        <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7864329</vt:i4>
      </vt:variant>
      <vt:variant>
        <vt:i4>0</vt:i4>
      </vt:variant>
      <vt:variant>
        <vt:i4>0</vt:i4>
      </vt:variant>
      <vt:variant>
        <vt:i4>5</vt:i4>
      </vt:variant>
      <vt:variant>
        <vt:lpwstr>http://www.nevo.co.il/law_word/law06/tak-7362.pdf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2023-06-05T20:21:00Z</dcterms:created>
  <dcterms:modified xsi:type="dcterms:W3CDTF">2023-06-05T20:21:00Z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501</vt:lpwstr>
  </property>
  <property fmtid="{D5CDD505-2E9C-101B-9397-08002B2CF9AE}" pid="3" name="CHNAME">
    <vt:lpwstr>ביטחון</vt:lpwstr>
  </property>
  <property fmtid="{D5CDD505-2E9C-101B-9397-08002B2CF9AE}" pid="4" name="LAWNAME">
    <vt:lpwstr>תקנות המאבק בתכנית הגרעין של איראן (מתן הודעות וסדרי עבודה), תשע"ד-2014</vt:lpwstr>
  </property>
  <property fmtid="{D5CDD505-2E9C-101B-9397-08002B2CF9AE}" pid="5" name="LAWNUMBER">
    <vt:lpwstr>0019</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בטחון</vt:lpwstr>
  </property>
  <property fmtid="{D5CDD505-2E9C-101B-9397-08002B2CF9AE}" pid="22" name="NOSE21">
    <vt:lpwstr>טרור</vt:lpwstr>
  </property>
  <property fmtid="{D5CDD505-2E9C-101B-9397-08002B2CF9AE}" pid="23" name="NOSE31">
    <vt:lpwstr/>
  </property>
  <property fmtid="{D5CDD505-2E9C-101B-9397-08002B2CF9AE}" pid="24" name="NOSE41">
    <vt:lpwstr/>
  </property>
  <property fmtid="{D5CDD505-2E9C-101B-9397-08002B2CF9AE}" pid="25" name="NOSE12">
    <vt:lpwstr/>
  </property>
  <property fmtid="{D5CDD505-2E9C-101B-9397-08002B2CF9AE}" pid="26" name="NOSE22">
    <vt:lpwstr/>
  </property>
  <property fmtid="{D5CDD505-2E9C-101B-9397-08002B2CF9AE}" pid="27" name="NOSE32">
    <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SAMCHUT">
    <vt:lpwstr/>
  </property>
  <property fmtid="{D5CDD505-2E9C-101B-9397-08002B2CF9AE}" pid="62" name="MEKOR_NAME1">
    <vt:lpwstr>חוק המאבק בתכנית הגרעין של איראן</vt:lpwstr>
  </property>
  <property fmtid="{D5CDD505-2E9C-101B-9397-08002B2CF9AE}" pid="63" name="MEKOR_SAIF1">
    <vt:lpwstr>37XאX</vt:lpwstr>
  </property>
  <property fmtid="{D5CDD505-2E9C-101B-9397-08002B2CF9AE}" pid="64" name="LINKK1">
    <vt:lpwstr>http://www.nevo.co.il/law_word/law06/tak-7362.pdf;‎רשומות - תקנות כלליות#פורסמו ק"ת תשע"ד מס' ‏‏7362 #מיום 31.3.2014 עמ' 1016‏</vt:lpwstr>
  </property>
</Properties>
</file>