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BDA" w:rsidRDefault="00806BD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תקנות המדיניות הכלכלית לשנת הכספים 2004 (תיקוני חקיקה) (זכאותו של פורש מחמת נכות לפטור ממס), תשס"ו-2005</w:t>
      </w:r>
    </w:p>
    <w:p w:rsidR="004E562B" w:rsidRPr="004E562B" w:rsidRDefault="004E562B" w:rsidP="004E562B">
      <w:pPr>
        <w:spacing w:line="320" w:lineRule="auto"/>
        <w:rPr>
          <w:rFonts w:cs="FrankRuehl"/>
          <w:szCs w:val="26"/>
          <w:rtl/>
        </w:rPr>
      </w:pPr>
    </w:p>
    <w:p w:rsidR="004E562B" w:rsidRDefault="004E562B" w:rsidP="004E562B">
      <w:pPr>
        <w:spacing w:line="320" w:lineRule="auto"/>
        <w:rPr>
          <w:rtl/>
        </w:rPr>
      </w:pPr>
    </w:p>
    <w:p w:rsidR="004E562B" w:rsidRDefault="004E562B" w:rsidP="004E562B">
      <w:pPr>
        <w:spacing w:line="320" w:lineRule="auto"/>
        <w:rPr>
          <w:rFonts w:cs="FrankRuehl"/>
          <w:szCs w:val="26"/>
          <w:rtl/>
        </w:rPr>
      </w:pPr>
      <w:r w:rsidRPr="004E562B">
        <w:rPr>
          <w:rFonts w:cs="Miriam"/>
          <w:szCs w:val="22"/>
          <w:rtl/>
        </w:rPr>
        <w:t>מסים</w:t>
      </w:r>
      <w:r w:rsidRPr="004E562B">
        <w:rPr>
          <w:rFonts w:cs="FrankRuehl"/>
          <w:szCs w:val="26"/>
          <w:rtl/>
        </w:rPr>
        <w:t xml:space="preserve"> – מס הכנסה – פטור ממס: כללי</w:t>
      </w:r>
    </w:p>
    <w:p w:rsidR="004E562B" w:rsidRPr="004E562B" w:rsidRDefault="004E562B" w:rsidP="004E562B">
      <w:pPr>
        <w:spacing w:line="320" w:lineRule="auto"/>
        <w:rPr>
          <w:rFonts w:cs="Miriam"/>
          <w:szCs w:val="22"/>
          <w:rtl/>
        </w:rPr>
      </w:pPr>
      <w:r w:rsidRPr="004E562B">
        <w:rPr>
          <w:rFonts w:cs="Miriam"/>
          <w:szCs w:val="22"/>
          <w:rtl/>
        </w:rPr>
        <w:t>משפט פרטי וכלכלה</w:t>
      </w:r>
      <w:r w:rsidRPr="004E562B">
        <w:rPr>
          <w:rFonts w:cs="FrankRuehl"/>
          <w:szCs w:val="26"/>
          <w:rtl/>
        </w:rPr>
        <w:t xml:space="preserve"> – כספים – תקציב ומשק המדינה – מדיניות כלכלית</w:t>
      </w:r>
    </w:p>
    <w:p w:rsidR="00806BDA" w:rsidRDefault="00806BDA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tblW w:w="83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806BD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Seif0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0" w:tooltip="פטור ממס על הסכום המתקבל עקב היו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6BDA" w:rsidRDefault="00806BD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פטור ממס על הסכום המתקבל עקב היוון</w:t>
            </w:r>
          </w:p>
        </w:tc>
        <w:tc>
          <w:tcPr>
            <w:tcW w:w="1247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1 </w:t>
            </w:r>
          </w:p>
        </w:tc>
      </w:tr>
      <w:tr w:rsidR="00806BDA">
        <w:tblPrEx>
          <w:tblCellMar>
            <w:top w:w="0" w:type="dxa"/>
            <w:bottom w:w="0" w:type="dxa"/>
          </w:tblCellMar>
        </w:tblPrEx>
        <w:trPr>
          <w:jc w:val="right"/>
        </w:trPr>
        <w:tc>
          <w:tcPr>
            <w:tcW w:w="850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begin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</w:rPr>
              <w:instrText>PAGEREF Seif1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instrText xml:space="preserve"> </w:instrTex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separate"/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t>2</w:t>
            </w:r>
            <w:r>
              <w:rPr>
                <w:rStyle w:val="default"/>
                <w:rFonts w:cs="FrankRuehl"/>
                <w:sz w:val="24"/>
                <w:szCs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hyperlink w:anchor="Seif1" w:tooltip="תחילת ו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806BDA" w:rsidRDefault="00806BDA">
            <w:pPr>
              <w:rPr>
                <w:rStyle w:val="default"/>
                <w:rFonts w:cs="FrankRuehl"/>
                <w:sz w:val="24"/>
                <w:szCs w:val="24"/>
                <w:rtl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>תחילת ותחולה</w:t>
            </w:r>
          </w:p>
        </w:tc>
        <w:tc>
          <w:tcPr>
            <w:tcW w:w="1247" w:type="dxa"/>
          </w:tcPr>
          <w:p w:rsidR="00806BDA" w:rsidRDefault="00806BDA">
            <w:pPr>
              <w:rPr>
                <w:rStyle w:val="default"/>
                <w:rFonts w:cs="FrankRuehl" w:hint="cs"/>
                <w:sz w:val="24"/>
                <w:szCs w:val="24"/>
              </w:rPr>
            </w:pPr>
            <w:r>
              <w:rPr>
                <w:rStyle w:val="default"/>
                <w:rFonts w:cs="FrankRuehl"/>
                <w:sz w:val="24"/>
                <w:szCs w:val="24"/>
                <w:rtl/>
              </w:rPr>
              <w:t xml:space="preserve">סעיף 2 </w:t>
            </w:r>
          </w:p>
        </w:tc>
      </w:tr>
    </w:tbl>
    <w:p w:rsidR="00806BDA" w:rsidRDefault="00806B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6BDA" w:rsidRDefault="00806BDA">
      <w:pPr>
        <w:pStyle w:val="big-header"/>
        <w:ind w:left="0" w:right="1134"/>
        <w:rPr>
          <w:rFonts w:cs="FrankRuehl" w:hint="cs"/>
          <w:sz w:val="32"/>
          <w:rtl/>
        </w:rPr>
      </w:pPr>
    </w:p>
    <w:p w:rsidR="00806BDA" w:rsidRDefault="00806BDA" w:rsidP="004E562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 w:hint="cs"/>
          <w:sz w:val="32"/>
          <w:rtl/>
        </w:rPr>
        <w:lastRenderedPageBreak/>
        <w:t>תקנות המדיניות הכלכלית לשנת הכספים 2004 (תיקוני חקיקה) (זכאותו של פורש מחמת נכות לפטור ממס), תשס"ו-2005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06BDA" w:rsidRDefault="00806B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בתוקף סמכותי לפי סעיף 72 לחוק המדיניות הכלכלית לשנת הכספים 2004 (תיקוני חקיקה), התשס"ד</w:t>
      </w:r>
      <w:r>
        <w:rPr>
          <w:rStyle w:val="big-number"/>
          <w:rFonts w:cs="FrankRuehl" w:hint="cs"/>
          <w:sz w:val="26"/>
          <w:szCs w:val="26"/>
          <w:rtl/>
        </w:rPr>
        <w:t>-2004</w:t>
      </w:r>
      <w:r>
        <w:rPr>
          <w:rStyle w:val="big-number"/>
          <w:rFonts w:cs="FrankRuehl"/>
          <w:sz w:val="26"/>
          <w:szCs w:val="26"/>
          <w:rtl/>
        </w:rPr>
        <w:t>, ובאישור ועדת הכספים של הכנסת, אני מתקין תקנות אלה:</w:t>
      </w:r>
    </w:p>
    <w:p w:rsidR="00806BDA" w:rsidRDefault="00806B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0" w:name="Seif0"/>
      <w:bookmarkEnd w:id="0"/>
      <w:r>
        <w:rPr>
          <w:rFonts w:cs="Miriam"/>
          <w:lang w:val="he-IL"/>
        </w:rPr>
        <w:pict>
          <v:rect id="_x0000_s1026" style="position:absolute;left:0;text-align:left;margin-left:463.5pt;margin-top:7.1pt;width:75.05pt;height:25.95pt;z-index:251657216" filled="f" stroked="f" strokecolor="lime" strokeweight=".25pt">
            <v:textbox style="mso-next-textbox:#_x0000_s1026" inset="1mm,0,1mm,0">
              <w:txbxContent>
                <w:p w:rsidR="00806BDA" w:rsidRDefault="00806BDA">
                  <w:pPr>
                    <w:spacing w:line="160" w:lineRule="exact"/>
                    <w:rPr>
                      <w:rFonts w:cs="Miriam" w:hint="cs"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פטור ממס על הסכום המתקבל עקב היוון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פורש מחמת נכות שפרש במועדים או בתקופות כמפורט להלן, שהיוון קצבה, יהיה זכאי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לפטור ממס בשיעורים שלהלן שמתוך הקצבה המזכה לגבי הסכום המתקבל עקב ההיוון,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ובלבד שסכום זה לא יעלה על הסכום שהיה מתקבל מהיון הקצבה המוכרת, או מהיוון של שיעור מהקצבה המזכה כהגדרתה בסעיף 9א(א) לפקודת מס הכנסה:</w:t>
      </w:r>
    </w:p>
    <w:p w:rsidR="00806BDA" w:rsidRDefault="00806BD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(1)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מי שפרש עד יום ה' בטבת התשע"ב (31 בדצמבר 2011) –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30%;</w:t>
      </w:r>
    </w:p>
    <w:p w:rsidR="00806BDA" w:rsidRDefault="00806BD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(2)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>מי שפרש בתקופה שמיום ו' בטבת התשע"ב (1 בינואר 2012) עד יום י"ט בטבת התשע"ו (31 בדצמבר 2015) –</w:t>
      </w:r>
      <w:r>
        <w:rPr>
          <w:rStyle w:val="big-number"/>
          <w:rFonts w:cs="FrankRuehl" w:hint="cs"/>
          <w:sz w:val="26"/>
          <w:szCs w:val="26"/>
          <w:rtl/>
        </w:rPr>
        <w:t xml:space="preserve"> </w:t>
      </w:r>
      <w:r>
        <w:rPr>
          <w:rStyle w:val="big-number"/>
          <w:rFonts w:cs="FrankRuehl"/>
          <w:sz w:val="26"/>
          <w:szCs w:val="26"/>
          <w:rtl/>
        </w:rPr>
        <w:t>25%;</w:t>
      </w:r>
    </w:p>
    <w:p w:rsidR="00806BDA" w:rsidRDefault="00806BDA">
      <w:pPr>
        <w:pStyle w:val="P00"/>
        <w:spacing w:before="72"/>
        <w:ind w:left="624" w:right="1134"/>
        <w:rPr>
          <w:rStyle w:val="big-number"/>
          <w:rFonts w:cs="FrankRuehl" w:hint="cs"/>
          <w:sz w:val="26"/>
          <w:szCs w:val="26"/>
          <w:rtl/>
        </w:rPr>
      </w:pPr>
      <w:r>
        <w:rPr>
          <w:rStyle w:val="big-number"/>
          <w:rFonts w:cs="FrankRuehl"/>
          <w:sz w:val="26"/>
          <w:szCs w:val="26"/>
          <w:rtl/>
        </w:rPr>
        <w:t>(3)</w:t>
      </w:r>
      <w:r>
        <w:rPr>
          <w:rStyle w:val="big-number"/>
          <w:rFonts w:cs="FrankRuehl" w:hint="cs"/>
          <w:sz w:val="26"/>
          <w:szCs w:val="26"/>
          <w:rtl/>
        </w:rPr>
        <w:tab/>
      </w:r>
      <w:r>
        <w:rPr>
          <w:rStyle w:val="big-number"/>
          <w:rFonts w:cs="FrankRuehl"/>
          <w:sz w:val="26"/>
          <w:szCs w:val="26"/>
          <w:rtl/>
        </w:rPr>
        <w:t xml:space="preserve">מי שפרש בתקופה שמיום כ' בטבת התשע"ו (1 בינואר 2016) עד יום ג' בטבת התש"פ (31 בדצמבר 2019) </w:t>
      </w:r>
      <w:r>
        <w:rPr>
          <w:rStyle w:val="big-number"/>
          <w:rFonts w:cs="FrankRuehl" w:hint="cs"/>
          <w:sz w:val="26"/>
          <w:szCs w:val="26"/>
          <w:rtl/>
        </w:rPr>
        <w:t xml:space="preserve">- </w:t>
      </w:r>
      <w:r>
        <w:rPr>
          <w:rStyle w:val="big-number"/>
          <w:rFonts w:cs="FrankRuehl"/>
          <w:sz w:val="26"/>
          <w:szCs w:val="26"/>
          <w:rtl/>
        </w:rPr>
        <w:t>14%.</w:t>
      </w:r>
    </w:p>
    <w:p w:rsidR="00806BDA" w:rsidRDefault="00806BDA">
      <w:pPr>
        <w:pStyle w:val="P00"/>
        <w:spacing w:before="72"/>
        <w:ind w:left="0" w:right="1134"/>
        <w:rPr>
          <w:rStyle w:val="big-number"/>
          <w:rFonts w:cs="FrankRuehl" w:hint="cs"/>
          <w:sz w:val="26"/>
          <w:szCs w:val="26"/>
          <w:rtl/>
        </w:rPr>
      </w:pPr>
      <w:bookmarkStart w:id="1" w:name="Seif1"/>
      <w:bookmarkEnd w:id="1"/>
      <w:r>
        <w:rPr>
          <w:rFonts w:cs="Miriam"/>
          <w:lang w:val="he-IL"/>
        </w:rPr>
        <w:pict>
          <v:rect id="_x0000_s1149" style="position:absolute;left:0;text-align:left;margin-left:463.5pt;margin-top:7.1pt;width:75.05pt;height:10.85pt;z-index:251658240" filled="f" stroked="f" strokecolor="lime" strokeweight=".25pt">
            <v:textbox style="mso-next-textbox:#_x0000_s1149" inset="1mm,0,1mm,0">
              <w:txbxContent>
                <w:p w:rsidR="00806BDA" w:rsidRDefault="00806BDA">
                  <w:pPr>
                    <w:pStyle w:val="a7"/>
                    <w:spacing w:line="160" w:lineRule="exact"/>
                    <w:rPr>
                      <w:rFonts w:hint="cs"/>
                      <w:rtl/>
                    </w:rPr>
                  </w:pPr>
                  <w:r>
                    <w:rPr>
                      <w:rFonts w:hint="cs"/>
                      <w:rtl/>
                    </w:rPr>
                    <w:t>תחילת ותחולה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2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  <w:t>תחילתן של תקנות אלה ביום ז' בטבת התשס"ד (1 בינואר 2004) והן יחולו על מי שפרש ביום האמור או לאחריו.</w:t>
      </w:r>
    </w:p>
    <w:p w:rsidR="00806BDA" w:rsidRDefault="00806B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6BDA" w:rsidRDefault="00806BD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806BDA" w:rsidRDefault="00806B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ד' בכסלו התשס"ו (5 בדצמבר 2005)</w:t>
      </w:r>
    </w:p>
    <w:p w:rsidR="00806BDA" w:rsidRDefault="00806B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אהוד אולמרט</w:t>
      </w:r>
    </w:p>
    <w:p w:rsidR="00806BDA" w:rsidRDefault="00806BD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103"/>
        </w:tabs>
        <w:spacing w:before="72"/>
        <w:ind w:left="0" w:right="1134"/>
        <w:rPr>
          <w:rStyle w:val="default"/>
          <w:rFonts w:cs="FrankRuehl" w:hint="cs"/>
          <w:sz w:val="22"/>
          <w:szCs w:val="22"/>
          <w:rtl/>
        </w:rPr>
      </w:pPr>
      <w:r>
        <w:rPr>
          <w:rStyle w:val="default"/>
          <w:rFonts w:cs="FrankRuehl" w:hint="cs"/>
          <w:sz w:val="22"/>
          <w:szCs w:val="22"/>
          <w:rtl/>
        </w:rPr>
        <w:tab/>
        <w:t>שר האוצר</w:t>
      </w:r>
    </w:p>
    <w:p w:rsidR="00806BDA" w:rsidRDefault="00806BDA">
      <w:pPr>
        <w:pStyle w:val="sig-1"/>
        <w:widowControl/>
        <w:tabs>
          <w:tab w:val="clear" w:pos="851"/>
          <w:tab w:val="clear" w:pos="4820"/>
          <w:tab w:val="center" w:pos="1134"/>
          <w:tab w:val="center" w:pos="4536"/>
          <w:tab w:val="center" w:pos="6237"/>
        </w:tabs>
        <w:spacing w:before="72"/>
        <w:ind w:left="0" w:right="1134"/>
        <w:rPr>
          <w:rFonts w:cs="FrankRuehl" w:hint="cs"/>
          <w:sz w:val="26"/>
          <w:szCs w:val="26"/>
          <w:rtl/>
        </w:rPr>
      </w:pPr>
    </w:p>
    <w:sectPr w:rsidR="00806BDA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B649D" w:rsidRDefault="006B649D">
      <w:r>
        <w:separator/>
      </w:r>
    </w:p>
  </w:endnote>
  <w:endnote w:type="continuationSeparator" w:id="0">
    <w:p w:rsidR="006B649D" w:rsidRDefault="006B6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BDA" w:rsidRDefault="00806B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06BDA" w:rsidRDefault="00806B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06BDA" w:rsidRDefault="00806B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T:\00000000-law\yael\05-12-31\999_539.doc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BDA" w:rsidRDefault="00806BD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4E562B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806BDA" w:rsidRDefault="00806BD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806BDA" w:rsidRDefault="00806BD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color w:val="000000"/>
        <w:sz w:val="14"/>
        <w:szCs w:val="14"/>
      </w:rPr>
      <w:t>T:\00000000-law\yael\05-12-31\999_539.doc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B649D" w:rsidRDefault="006B649D">
      <w:r>
        <w:separator/>
      </w:r>
    </w:p>
  </w:footnote>
  <w:footnote w:type="continuationSeparator" w:id="0">
    <w:p w:rsidR="006B649D" w:rsidRDefault="006B649D">
      <w:r>
        <w:continuationSeparator/>
      </w:r>
    </w:p>
  </w:footnote>
  <w:footnote w:id="1">
    <w:p w:rsidR="00806BDA" w:rsidRDefault="00806BDA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פורסמו </w:t>
      </w:r>
      <w:hyperlink r:id="rId1" w:history="1">
        <w:r>
          <w:rPr>
            <w:rStyle w:val="Hyperlink"/>
            <w:rFonts w:cs="FrankRuehl" w:hint="cs"/>
            <w:rtl/>
          </w:rPr>
          <w:t>ק"ת תשס"ו מס' 6447</w:t>
        </w:r>
      </w:hyperlink>
      <w:r>
        <w:rPr>
          <w:rFonts w:cs="FrankRuehl" w:hint="cs"/>
          <w:rtl/>
        </w:rPr>
        <w:t xml:space="preserve"> מיום 28.12.2005 עמ' 236.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BDA" w:rsidRDefault="00806BD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806BDA" w:rsidRDefault="00806B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6BDA" w:rsidRDefault="00806B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BDA" w:rsidRDefault="00806BDA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תקנות המדיניות הכלכלית לשנת הכספים 2004 (תיקוני חקיקה) (זכאותו של פורש מחמת נכות לפטור ממס), תשס"ו-2005</w:t>
    </w:r>
  </w:p>
  <w:p w:rsidR="00806BDA" w:rsidRDefault="00806B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806BDA" w:rsidRDefault="00806BD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57065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,1mm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06BDA"/>
    <w:rsid w:val="004E562B"/>
    <w:rsid w:val="006B649D"/>
    <w:rsid w:val="00806BDA"/>
    <w:rsid w:val="00982F35"/>
    <w:rsid w:val="00E169C2"/>
    <w:rsid w:val="00E80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,1mm"/>
    </o:shapedefaults>
    <o:shapelayout v:ext="edit">
      <o:idmap v:ext="edit" data="1"/>
    </o:shapelayout>
  </w:shapeDefaults>
  <w:decimalSymbol w:val="."/>
  <w:listSeparator w:val=","/>
  <w15:chartTrackingRefBased/>
  <w15:docId w15:val="{9C8FFF7B-32FB-4EA8-AAF9-D901FE8A5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paragraph" w:styleId="1">
    <w:name w:val="heading 1"/>
    <w:basedOn w:val="a"/>
    <w:next w:val="a"/>
    <w:qFormat/>
    <w:pPr>
      <w:keepNext/>
      <w:outlineLvl w:val="0"/>
    </w:pPr>
    <w:rPr>
      <w:rFonts w:cs="David"/>
      <w:vanish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44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255</vt:lpstr>
    </vt:vector>
  </TitlesOfParts>
  <Company/>
  <LinksUpToDate>false</LinksUpToDate>
  <CharactersWithSpaces>1395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8060939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http://www.nevo.co.il/Law_word/law06/tak-6447.pdf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255</dc:title>
  <dc:subject/>
  <dc:creator>eli</dc:creator>
  <cp:keywords/>
  <dc:description/>
  <cp:lastModifiedBy>Shimon Doodkin</cp:lastModifiedBy>
  <cp:revision>2</cp:revision>
  <dcterms:created xsi:type="dcterms:W3CDTF">2023-06-05T20:21:00Z</dcterms:created>
  <dcterms:modified xsi:type="dcterms:W3CDTF">2023-06-05T20:21:00Z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0999</vt:lpwstr>
  </property>
  <property fmtid="{D5CDD505-2E9C-101B-9397-08002B2CF9AE}" pid="3" name="LAWNAME">
    <vt:lpwstr>תקנות המדיניות הכלכלית לשנת הכספים 2004 (תיקוני חקיקה) (זכאותו של פורש מחמת נכות לפטור ממס), תשס"ו-2005</vt:lpwstr>
  </property>
  <property fmtid="{D5CDD505-2E9C-101B-9397-08002B2CF9AE}" pid="4" name="LAWNUMBER">
    <vt:lpwstr>0539</vt:lpwstr>
  </property>
  <property fmtid="{D5CDD505-2E9C-101B-9397-08002B2CF9AE}" pid="5" name="TYPE">
    <vt:lpwstr>01</vt:lpwstr>
  </property>
  <property fmtid="{D5CDD505-2E9C-101B-9397-08002B2CF9AE}" pid="6" name="CHNAME">
    <vt:lpwstr>מסים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LINKK1">
    <vt:lpwstr>http://www.nevo.co.il/Law_word/law06/tak-6447.pdf;רשומות – תקנות כלליות#פורסמו ק"ת תשס"ו מס' 6447#מיום 28.12.2005#עמ' 236</vt:lpwstr>
  </property>
  <property fmtid="{D5CDD505-2E9C-101B-9397-08002B2CF9AE}" pid="22" name="MEKOR_NAME1">
    <vt:lpwstr>חוק המדיניות הכלכלית לשנת הכספים 2004 (תיקוני חקיקה)</vt:lpwstr>
  </property>
  <property fmtid="{D5CDD505-2E9C-101B-9397-08002B2CF9AE}" pid="23" name="MEKOR_SAIF1">
    <vt:lpwstr>72X</vt:lpwstr>
  </property>
  <property fmtid="{D5CDD505-2E9C-101B-9397-08002B2CF9AE}" pid="24" name="NOSE11">
    <vt:lpwstr>מסים</vt:lpwstr>
  </property>
  <property fmtid="{D5CDD505-2E9C-101B-9397-08002B2CF9AE}" pid="25" name="NOSE21">
    <vt:lpwstr>מס הכנסה</vt:lpwstr>
  </property>
  <property fmtid="{D5CDD505-2E9C-101B-9397-08002B2CF9AE}" pid="26" name="NOSE31">
    <vt:lpwstr>פטור ממס: כללי</vt:lpwstr>
  </property>
  <property fmtid="{D5CDD505-2E9C-101B-9397-08002B2CF9AE}" pid="27" name="NOSE41">
    <vt:lpwstr/>
  </property>
  <property fmtid="{D5CDD505-2E9C-101B-9397-08002B2CF9AE}" pid="28" name="NOSE12">
    <vt:lpwstr>משפט פרטי וכלכלה</vt:lpwstr>
  </property>
  <property fmtid="{D5CDD505-2E9C-101B-9397-08002B2CF9AE}" pid="29" name="NOSE22">
    <vt:lpwstr>כספים</vt:lpwstr>
  </property>
  <property fmtid="{D5CDD505-2E9C-101B-9397-08002B2CF9AE}" pid="30" name="NOSE32">
    <vt:lpwstr>תקציב ומשק המדינה</vt:lpwstr>
  </property>
  <property fmtid="{D5CDD505-2E9C-101B-9397-08002B2CF9AE}" pid="31" name="NOSE42">
    <vt:lpwstr>מדיניות כלכלית</vt:lpwstr>
  </property>
  <property fmtid="{D5CDD505-2E9C-101B-9397-08002B2CF9AE}" pid="32" name="NOSE13">
    <vt:lpwstr/>
  </property>
  <property fmtid="{D5CDD505-2E9C-101B-9397-08002B2CF9AE}" pid="33" name="NOSE23">
    <vt:lpwstr/>
  </property>
  <property fmtid="{D5CDD505-2E9C-101B-9397-08002B2CF9AE}" pid="34" name="NOSE33">
    <vt:lpwstr/>
  </property>
  <property fmtid="{D5CDD505-2E9C-101B-9397-08002B2CF9AE}" pid="35" name="NOSE43">
    <vt:lpwstr/>
  </property>
  <property fmtid="{D5CDD505-2E9C-101B-9397-08002B2CF9AE}" pid="36" name="NOSE14">
    <vt:lpwstr/>
  </property>
  <property fmtid="{D5CDD505-2E9C-101B-9397-08002B2CF9AE}" pid="37" name="NOSE24">
    <vt:lpwstr/>
  </property>
  <property fmtid="{D5CDD505-2E9C-101B-9397-08002B2CF9AE}" pid="38" name="NOSE34">
    <vt:lpwstr/>
  </property>
  <property fmtid="{D5CDD505-2E9C-101B-9397-08002B2CF9AE}" pid="39" name="NOSE44">
    <vt:lpwstr/>
  </property>
  <property fmtid="{D5CDD505-2E9C-101B-9397-08002B2CF9AE}" pid="40" name="NOSE15">
    <vt:lpwstr/>
  </property>
  <property fmtid="{D5CDD505-2E9C-101B-9397-08002B2CF9AE}" pid="41" name="NOSE25">
    <vt:lpwstr/>
  </property>
  <property fmtid="{D5CDD505-2E9C-101B-9397-08002B2CF9AE}" pid="42" name="NOSE35">
    <vt:lpwstr/>
  </property>
  <property fmtid="{D5CDD505-2E9C-101B-9397-08002B2CF9AE}" pid="43" name="NOSE45">
    <vt:lpwstr/>
  </property>
  <property fmtid="{D5CDD505-2E9C-101B-9397-08002B2CF9AE}" pid="44" name="NOSE16">
    <vt:lpwstr/>
  </property>
  <property fmtid="{D5CDD505-2E9C-101B-9397-08002B2CF9AE}" pid="45" name="NOSE26">
    <vt:lpwstr/>
  </property>
  <property fmtid="{D5CDD505-2E9C-101B-9397-08002B2CF9AE}" pid="46" name="NOSE36">
    <vt:lpwstr/>
  </property>
  <property fmtid="{D5CDD505-2E9C-101B-9397-08002B2CF9AE}" pid="47" name="NOSE46">
    <vt:lpwstr/>
  </property>
  <property fmtid="{D5CDD505-2E9C-101B-9397-08002B2CF9AE}" pid="48" name="NOSE17">
    <vt:lpwstr/>
  </property>
  <property fmtid="{D5CDD505-2E9C-101B-9397-08002B2CF9AE}" pid="49" name="NOSE27">
    <vt:lpwstr/>
  </property>
  <property fmtid="{D5CDD505-2E9C-101B-9397-08002B2CF9AE}" pid="50" name="NOSE37">
    <vt:lpwstr/>
  </property>
  <property fmtid="{D5CDD505-2E9C-101B-9397-08002B2CF9AE}" pid="51" name="NOSE47">
    <vt:lpwstr/>
  </property>
  <property fmtid="{D5CDD505-2E9C-101B-9397-08002B2CF9AE}" pid="52" name="NOSE18">
    <vt:lpwstr/>
  </property>
  <property fmtid="{D5CDD505-2E9C-101B-9397-08002B2CF9AE}" pid="53" name="NOSE28">
    <vt:lpwstr/>
  </property>
  <property fmtid="{D5CDD505-2E9C-101B-9397-08002B2CF9AE}" pid="54" name="NOSE38">
    <vt:lpwstr/>
  </property>
  <property fmtid="{D5CDD505-2E9C-101B-9397-08002B2CF9AE}" pid="55" name="NOSE48">
    <vt:lpwstr/>
  </property>
  <property fmtid="{D5CDD505-2E9C-101B-9397-08002B2CF9AE}" pid="56" name="NOSE19">
    <vt:lpwstr/>
  </property>
  <property fmtid="{D5CDD505-2E9C-101B-9397-08002B2CF9AE}" pid="57" name="NOSE29">
    <vt:lpwstr/>
  </property>
  <property fmtid="{D5CDD505-2E9C-101B-9397-08002B2CF9AE}" pid="58" name="NOSE39">
    <vt:lpwstr/>
  </property>
  <property fmtid="{D5CDD505-2E9C-101B-9397-08002B2CF9AE}" pid="59" name="NOSE49">
    <vt:lpwstr/>
  </property>
  <property fmtid="{D5CDD505-2E9C-101B-9397-08002B2CF9AE}" pid="60" name="NOSE110">
    <vt:lpwstr/>
  </property>
  <property fmtid="{D5CDD505-2E9C-101B-9397-08002B2CF9AE}" pid="61" name="NOSE210">
    <vt:lpwstr/>
  </property>
  <property fmtid="{D5CDD505-2E9C-101B-9397-08002B2CF9AE}" pid="62" name="NOSE310">
    <vt:lpwstr/>
  </property>
  <property fmtid="{D5CDD505-2E9C-101B-9397-08002B2CF9AE}" pid="63" name="NOSE410">
    <vt:lpwstr/>
  </property>
</Properties>
</file>