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9C9" w:rsidRDefault="00B009C9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המדיניות הכלכלית לשנת הכספים 2004 (תיקוני חקיקה) (שילוב מקבלי גמלאות בעבודה) (הוראת שעה) (הפחתת היקף השעות המזערי של תכנית אישית לסוגי משתתפים), תשס"ו-2006</w:t>
      </w:r>
    </w:p>
    <w:p w:rsidR="00B009C9" w:rsidRDefault="00B009C9">
      <w:pPr>
        <w:pStyle w:val="big-header"/>
        <w:ind w:left="0" w:right="1134"/>
        <w:rPr>
          <w:color w:val="008000"/>
          <w:lang w:eastAsia="en-US"/>
        </w:rPr>
      </w:pPr>
      <w:r>
        <w:rPr>
          <w:rFonts w:hint="cs"/>
          <w:color w:val="008000"/>
          <w:rtl/>
          <w:lang w:eastAsia="en-US"/>
        </w:rPr>
        <w:t>רבדים בחקיקה</w:t>
      </w:r>
    </w:p>
    <w:p w:rsidR="004E1DFC" w:rsidRDefault="004E1DFC" w:rsidP="004E1DFC">
      <w:pPr>
        <w:spacing w:line="320" w:lineRule="auto"/>
        <w:jc w:val="left"/>
        <w:rPr>
          <w:rtl/>
          <w:lang w:eastAsia="en-US"/>
        </w:rPr>
      </w:pPr>
    </w:p>
    <w:p w:rsidR="004E1DFC" w:rsidRPr="004E1DFC" w:rsidRDefault="004E1DFC" w:rsidP="004E1DFC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4E1DFC">
        <w:rPr>
          <w:rFonts w:cs="Miriam"/>
          <w:szCs w:val="22"/>
          <w:rtl/>
          <w:lang w:eastAsia="en-US"/>
        </w:rPr>
        <w:t>עבודה</w:t>
      </w:r>
      <w:r w:rsidRPr="004E1DFC">
        <w:rPr>
          <w:rFonts w:cs="FrankRuehl"/>
          <w:szCs w:val="26"/>
          <w:rtl/>
          <w:lang w:eastAsia="en-US"/>
        </w:rPr>
        <w:t xml:space="preserve"> – שילוב מקבלי גמלה בע'</w:t>
      </w:r>
    </w:p>
    <w:p w:rsidR="00B009C9" w:rsidRDefault="00B009C9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009C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פחתת היקף השעות המזע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009C9" w:rsidRDefault="00B009C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הפחתת היקף השעות המזערי</w:t>
            </w:r>
          </w:p>
        </w:tc>
        <w:tc>
          <w:tcPr>
            <w:tcW w:w="1247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B009C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הפחתת היקף השעות המזערי המופ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009C9" w:rsidRDefault="00B009C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הפחתת היקף השעות המזערי המופחת</w:t>
            </w:r>
          </w:p>
        </w:tc>
        <w:tc>
          <w:tcPr>
            <w:tcW w:w="1247" w:type="dxa"/>
          </w:tcPr>
          <w:p w:rsidR="00B009C9" w:rsidRDefault="00B009C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</w:tbl>
    <w:p w:rsidR="00B009C9" w:rsidRDefault="00B009C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B009C9" w:rsidRDefault="00B009C9" w:rsidP="004E1DFC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המדיניות הכלכלית לשנת הכספים 2004 (תיקוני חקיקה) (שילוב מקבלי גמלאות בעבודה) (הוראת שעה) (הפחתת היקף השעות המזערי של תכנית אישית לסוגי משתתפים), 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B009C9" w:rsidRDefault="00B009C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43(ד) לחוק המדיניות הכלכלית לשנת הכספים 2004 (תיקוני חקיקה), התשס"ד</w:t>
      </w:r>
      <w:r>
        <w:rPr>
          <w:rStyle w:val="default"/>
          <w:rFonts w:cs="FrankRuehl" w:hint="cs"/>
          <w:rtl/>
          <w:lang w:eastAsia="en-US"/>
        </w:rPr>
        <w:t>-2004</w:t>
      </w:r>
      <w:r>
        <w:rPr>
          <w:rStyle w:val="default"/>
          <w:rFonts w:cs="FrankRuehl"/>
          <w:rtl/>
          <w:lang w:eastAsia="en-US"/>
        </w:rPr>
        <w:t xml:space="preserve"> (להלן – החוק), ובאישור ועדת הכספים של הכנסת, אני מתקין תקנות אלה:</w:t>
      </w:r>
    </w:p>
    <w:p w:rsidR="00B009C9" w:rsidRDefault="00B009C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.6pt;z-index:251653632" o:allowincell="f" filled="f" stroked="f" strokecolor="lime" strokeweight=".25pt">
            <v:textbox style="mso-next-textbox:#_x0000_s1026" inset="0,0,0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הפחתת היקף השעות המזערי</w:t>
                  </w:r>
                </w:p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היקף השעות המזערי של תכנית אישית למשתתף –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שנקבעה לגביו דרגת אי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כושר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להשתכר של שבעים וחמישה אחוזים לפחות, לפי הוראות פרק ט' לחוק הביטוח הלאומי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[נוסח משולב], התשנ"ה</w:t>
      </w:r>
      <w:r>
        <w:rPr>
          <w:rStyle w:val="default"/>
          <w:rFonts w:cs="FrankRuehl" w:hint="cs"/>
          <w:rtl/>
          <w:lang w:eastAsia="en-US"/>
        </w:rPr>
        <w:t>-1995</w:t>
      </w:r>
      <w:r>
        <w:rPr>
          <w:rStyle w:val="default"/>
          <w:rFonts w:cs="FrankRuehl"/>
          <w:rtl/>
          <w:lang w:eastAsia="en-US"/>
        </w:rPr>
        <w:t>, או למשתתפת שהוכרה כעקרת בית נכה, כהגדרתה בפרק ט'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האמור, יהא שעה בחודש, זולת אם המשתתף או המשתתפת ביקשו כי תוכן בעבורם תכנית אישית בהיקף שעות גדול יותר.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left:0;text-align:left;margin-left:470.25pt;margin-top:7.1pt;width:1in;height:11.2pt;z-index:251655680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שנקבעה לגביו דרגת אי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כושר להשתכר שהיא פחות מ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75 אחוזים, לפי הוראות פרק ט' לחוק הביטוח הלאומי [נוסח משולב], התשנ"ה</w:t>
      </w:r>
      <w:r>
        <w:rPr>
          <w:rStyle w:val="default"/>
          <w:rFonts w:cs="FrankRuehl" w:hint="cs"/>
          <w:rtl/>
          <w:lang w:eastAsia="en-US"/>
        </w:rPr>
        <w:t>-1995</w:t>
      </w:r>
      <w:r>
        <w:rPr>
          <w:rStyle w:val="default"/>
          <w:rFonts w:cs="FrankRuehl"/>
          <w:rtl/>
          <w:lang w:eastAsia="en-US"/>
        </w:rPr>
        <w:t xml:space="preserve"> – יהא בהתאם לאחוז כושרו, זולת אם המשתתף ביקש כי תוכן בעבורו תכנית אישית בהיקף שעות גדול יותר;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1" type="#_x0000_t202" style="position:absolute;left:0;text-align:left;margin-left:470.25pt;margin-top:7.1pt;width:1in;height:11.2pt;z-index:251656704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שגילו שנתיים לפני גיל פרישה עד גיל פרישה כמשמעותו בחוק גיל פרישה, התשס"ד</w:t>
      </w:r>
      <w:r>
        <w:rPr>
          <w:rStyle w:val="default"/>
          <w:rFonts w:cs="FrankRuehl" w:hint="cs"/>
          <w:rtl/>
          <w:lang w:eastAsia="en-US"/>
        </w:rPr>
        <w:t>-2004</w:t>
      </w:r>
      <w:r>
        <w:rPr>
          <w:rStyle w:val="default"/>
          <w:rFonts w:cs="FrankRuehl"/>
          <w:rtl/>
          <w:lang w:eastAsia="en-US"/>
        </w:rPr>
        <w:t xml:space="preserve"> (להלן – גיל פרישה) – </w:t>
      </w:r>
      <w:r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>הא שעה אחת בשבוע, זולת אם המשתתף ביקש כי תוכן בעבורו תכנית אישית בהיקף שעות גדול יותר;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2" type="#_x0000_t202" style="position:absolute;left:0;text-align:left;margin-left:470.25pt;margin-top:7.1pt;width:1in;height:11.2pt;z-index:251657728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שגילו 5 שנים לפני גיל פרישה עד גיל פרישה, יהא שעה אחת בחודש אם נתקיימו בו כל אלה, זולת אם הוא ביקש כי תוכן בעבורו תכנית אישית בהיקף שעות גדול יותר:</w:t>
      </w:r>
    </w:p>
    <w:p w:rsidR="00B009C9" w:rsidRDefault="00B009C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היה מקבל גמלת הבטחת הכנסה בחמש מתוך שבע השנים האחרונות מתוכן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שלוש שנים רצופות בשנים האחרונות, ולא נרשמו לו בתקופה זו במוסד לביטוח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לאומי הכנסות מעבודה לצורך קבלת גמלה כאמור, ואישר בתצהיר כי לא היה מועסק באותה תקופה;</w:t>
      </w:r>
    </w:p>
    <w:p w:rsidR="00B009C9" w:rsidRDefault="00B009C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רופא מרכז תעסוקה קבע לגביו כי הוא אינו כשיר להשתלב בעבודה מסוג כלשהו יותר מ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5 שעות שבועיות, וקביעה זו אושרה בידי רופא מטעם משרד התעשיה המסחר והתעסוקה (להלן – המשרד)</w:t>
      </w:r>
      <w:r>
        <w:rPr>
          <w:rStyle w:val="default"/>
          <w:rFonts w:cs="FrankRuehl" w:hint="cs"/>
          <w:rtl/>
          <w:lang w:eastAsia="en-US"/>
        </w:rPr>
        <w:t>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3" type="#_x0000_t202" style="position:absolute;left:0;text-align:left;margin-left:470.25pt;margin-top:7.1pt;width:1in;height:16.8pt;z-index:251658752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(מס' 2)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שהוא חד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הורי ולו ילד עד גיל 12 – יהא 22 שעות שבועיות, זולת אם ביקש כי תוכן בעבורו תכנית אישית בהיקף שעות גדול יותר;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4" type="#_x0000_t202" style="position:absolute;left:0;text-align:left;margin-left:470.25pt;margin-top:7.1pt;width:1in;height:16.8pt;z-index:251659776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(מס' 2)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(6)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שלו לפחות 5 ילדים עד גיל 12 – יהא 22 שעות שבועיות ובלבד שלהורה השני של הילד לא הופחתו השעות כאמור וכל זאת זולת אם ביקש כי תוכן בעבורו תכנית אישית בהיקף שעות גדול יותר;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5" type="#_x0000_t202" style="position:absolute;left:0;text-align:left;margin-left:470.25pt;margin-top:7.1pt;width:1in;height:16.8pt;z-index:251660800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(מס' 2)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(7)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שנדרש לראשונה להגיע למרכז התעסוקה כתנאי למימוש זכאותו לגמלה – יהא 15 שעות שבועיות בחודש הראשון שבו נדרש להתייצב במרכז התעסוקה;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>
          <v:shape id="_x0000_s1276" type="#_x0000_t202" style="position:absolute;left:0;text-align:left;margin-left:470.25pt;margin-top:7.1pt;width:1in;height:16.8pt;z-index:251661824" filled="f" stroked="f">
            <v:textbox inset="1mm,0,1mm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(מס' 2)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  <w:lang w:eastAsia="en-US"/>
        </w:rPr>
        <w:t>(8)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שהוראות החוק הוחלו לפי סעיף 59 בחוק על האזור שהוא מתגורר בו – יהא 3 שעות שבועיות בשלושת החודשים הראשונים מיום שהוחלו הוראות החוק כאמור.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4"/>
      <w:r w:rsidRPr="00A26472">
        <w:rPr>
          <w:rFonts w:hint="cs"/>
          <w:vanish/>
          <w:color w:val="FF0000"/>
          <w:szCs w:val="20"/>
          <w:shd w:val="clear" w:color="auto" w:fill="FFFF99"/>
          <w:rtl/>
          <w:lang w:eastAsia="en-US"/>
        </w:rPr>
        <w:t>מיום 17.10.2006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  <w:lang w:eastAsia="en-US"/>
        </w:rPr>
      </w:pPr>
      <w:r w:rsidRPr="00A26472"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  <w:t>תק' תשס"ז-2006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A26472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6527</w:t>
        </w:r>
      </w:hyperlink>
      <w:r w:rsidRPr="00A26472">
        <w:rPr>
          <w:rFonts w:hint="cs"/>
          <w:vanish/>
          <w:szCs w:val="20"/>
          <w:shd w:val="clear" w:color="auto" w:fill="FFFF99"/>
          <w:rtl/>
          <w:lang w:eastAsia="en-US"/>
        </w:rPr>
        <w:t xml:space="preserve"> מיום 17.10.2006 עמ' 162</w:t>
      </w:r>
    </w:p>
    <w:p w:rsidR="00B009C9" w:rsidRPr="00A26472" w:rsidRDefault="00B009C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26472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היקף השעות המזערי של תכנית אישית למשתתף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–</w:t>
      </w:r>
    </w:p>
    <w:p w:rsidR="00B009C9" w:rsidRPr="00A26472" w:rsidRDefault="00B009C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(1)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שנקבעה לגביו דרגת אי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-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כושר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להשתכר של שבעים וחמישה אחוזים לפחות, לפי הוראות פרק ט' לחוק הביטוח הלאומי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[נוסח משולב], התשנ"ה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-1995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, או למשתתפת שהוכרה כעקרת בית נכה, כהגדרתה בפרק ט'</w:t>
      </w:r>
      <w:r w:rsidRPr="00A264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האמור, יהא שעה בחודש, זולת אם המשתתף או המשתתפת ביקשו כי תוכן בעבורם תכנית אישית בהיקף שעות גדול יותר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;</w:t>
      </w:r>
    </w:p>
    <w:p w:rsidR="00B009C9" w:rsidRPr="00A26472" w:rsidRDefault="00B009C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(2)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שנקבעה לגביו דרגת אי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-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כושר להשתכר שהיא פחות מ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-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75 אחוזים, לפי הוראות פרק ט' לחוק הביטוח הלאומי [נוסח משולב], התשנ"ה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-1995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– יהא בהתאם לאחוז כושרו, זולת אם המשתתף ביקש כי תוכן בעבורו תכנית אישית בהיקף שעות גדול יותר;</w:t>
      </w:r>
    </w:p>
    <w:p w:rsidR="00B009C9" w:rsidRPr="00A26472" w:rsidRDefault="00B009C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(3)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שגילו שנתיים לפני גיל פרישה עד גיל פרישה כמשמעותו בחוק גיל פרישה, התשס"ד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-2004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(להלן – גיל פרישה) – 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י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הא שעה אחת בשבוע, זולת אם המשתתף ביקש כי תוכן בעבורו תכנית אישית בהיקף שעות גדול יותר;</w:t>
      </w:r>
    </w:p>
    <w:p w:rsidR="00B009C9" w:rsidRPr="00A26472" w:rsidRDefault="00B009C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(4)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שגילו 5 שנים לפני גיל פרישה עד גיל פרישה, יהא שעה אחת בחודש אם נתקיימו בו כל אלה, זולת אם הוא ביקש כי תוכן בעבורו תכנית אישית בהיקף שעות גדול יותר:</w:t>
      </w:r>
    </w:p>
    <w:p w:rsidR="00B009C9" w:rsidRPr="00A26472" w:rsidRDefault="00B009C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(א)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היה מקבל גמלת הבטחת הכנסה בחמש מתוך שבע השנים האחרונות מתוכן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שלוש שנים רצופות בשנים האחרונות, ולא נרשמו לו בתקופה זו במוסד לביטוח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לאומי הכנסות מעבודה לצורך קבלת גמלה כאמור, ואישר בתצהיר כי לא היה מועסק באותה תקופה;</w:t>
      </w:r>
    </w:p>
    <w:p w:rsidR="00B009C9" w:rsidRPr="00A26472" w:rsidRDefault="00B009C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רופא מרכז תעסוקה קבע לגביו כי הוא אינו כשיר להשתלב בעבודה מסוג כלשהו יותר מ</w:t>
      </w:r>
      <w:r w:rsidRPr="00A264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-</w:t>
      </w:r>
      <w:r w:rsidRPr="00A264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5 שעות שבועיות, וקביעה זו אושרה בידי רופא מטעם משרד התעשיה המסחר והתעסוקה (להלן – המשרד).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A26472">
        <w:rPr>
          <w:rFonts w:hint="cs"/>
          <w:vanish/>
          <w:color w:val="FF0000"/>
          <w:szCs w:val="20"/>
          <w:shd w:val="clear" w:color="auto" w:fill="FFFF99"/>
          <w:rtl/>
        </w:rPr>
        <w:t>מיום 22.2.2007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A26472">
        <w:rPr>
          <w:rFonts w:hint="cs"/>
          <w:b/>
          <w:bCs/>
          <w:vanish/>
          <w:szCs w:val="20"/>
          <w:shd w:val="clear" w:color="auto" w:fill="FFFF99"/>
          <w:rtl/>
        </w:rPr>
        <w:t>תק' (מס' 2) תשס"ז-2007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A2647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6568</w:t>
        </w:r>
      </w:hyperlink>
      <w:r w:rsidRPr="00A26472">
        <w:rPr>
          <w:rFonts w:hint="cs"/>
          <w:vanish/>
          <w:szCs w:val="20"/>
          <w:shd w:val="clear" w:color="auto" w:fill="FFFF99"/>
          <w:rtl/>
        </w:rPr>
        <w:t xml:space="preserve"> מיום 22.2.2007 עמ' 602</w:t>
      </w:r>
    </w:p>
    <w:p w:rsidR="00B009C9" w:rsidRDefault="00B009C9">
      <w:pPr>
        <w:pStyle w:val="P00"/>
        <w:spacing w:before="0"/>
        <w:ind w:left="0" w:right="1134"/>
        <w:rPr>
          <w:rFonts w:hint="cs"/>
          <w:sz w:val="2"/>
          <w:szCs w:val="2"/>
          <w:rtl/>
        </w:rPr>
      </w:pPr>
      <w:r w:rsidRPr="00A26472">
        <w:rPr>
          <w:rFonts w:hint="cs"/>
          <w:b/>
          <w:bCs/>
          <w:vanish/>
          <w:szCs w:val="20"/>
          <w:shd w:val="clear" w:color="auto" w:fill="FFFF99"/>
          <w:rtl/>
        </w:rPr>
        <w:t>הוספת פסקאות 1(5), 1(6), 1(7), 1(8)</w:t>
      </w:r>
      <w:bookmarkEnd w:id="1"/>
    </w:p>
    <w:p w:rsidR="00B009C9" w:rsidRDefault="00B009C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1"/>
      <w:bookmarkEnd w:id="2"/>
      <w:r>
        <w:rPr>
          <w:lang w:val="he-IL"/>
        </w:rPr>
        <w:pict>
          <v:rect id="_x0000_s1269" style="position:absolute;left:0;text-align:left;margin-left:464.5pt;margin-top:8.05pt;width:75.05pt;height:24.6pt;z-index:251654656" o:allowincell="f" filled="f" stroked="f" strokecolor="lime" strokeweight=".25pt">
            <v:textbox style="mso-next-textbox:#_x0000_s1269" inset="0,0,0,0">
              <w:txbxContent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הפחתת היקף השעות המזערי המופחת</w:t>
                  </w:r>
                </w:p>
                <w:p w:rsidR="00B009C9" w:rsidRDefault="00B009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היקף השעות המזערי המופחת של תכנית אישית למשתתף שלפניו קשיים של ממש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המונעים ממנו לבצע תכנית אישית כלשהי בהיקף השעות המזערי המופחת יהא עד לשעה בחודש ובלבד שנתקיימו כל אלה: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lastRenderedPageBreak/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 שהשר הסמיכו לפי סעיף 43(ב)(3) לחוק הגיש בקשה להפחתה כאמור לוועדה ממליצה;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ניתנה חוות דעת ועדה ממליצה;</w:t>
      </w:r>
    </w:p>
    <w:p w:rsidR="00B009C9" w:rsidRDefault="00B009C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השר אישר את הקטנת היקף השעות המזערי בעבור אותו משתתף;</w:t>
      </w:r>
    </w:p>
    <w:p w:rsidR="00B009C9" w:rsidRDefault="00B009C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לענין תקנה זו, "ועדה ממליצה" – ועדה המורכבת מיושבת ראש מינהלת הבטחת הכנסה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לתעסוקה בטוחה (מהל"ב), מנהלת אגף הבטחת הכנסה במוסד לביטוח לאומי ונציג אגף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התקציבים במשרד האוצר, אשר תדון רק בבקשות שהגיש לה מי שהשר הסמיכו לפי סעיף </w:t>
      </w:r>
      <w:r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43(ב)(3) לחוק.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3" w:name="Rov3"/>
      <w:r w:rsidRPr="00A26472">
        <w:rPr>
          <w:rFonts w:hint="cs"/>
          <w:vanish/>
          <w:color w:val="FF0000"/>
          <w:szCs w:val="20"/>
          <w:shd w:val="clear" w:color="auto" w:fill="FFFF99"/>
          <w:rtl/>
          <w:lang w:eastAsia="en-US"/>
        </w:rPr>
        <w:t>מיום 17.10.2006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  <w:lang w:eastAsia="en-US"/>
        </w:rPr>
      </w:pPr>
      <w:r w:rsidRPr="00A26472"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  <w:t>תק' תשס"ז-2006</w:t>
      </w:r>
    </w:p>
    <w:p w:rsidR="00B009C9" w:rsidRPr="00A26472" w:rsidRDefault="00B009C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  <w:lang w:eastAsia="en-US"/>
        </w:rPr>
      </w:pPr>
      <w:hyperlink r:id="rId9" w:history="1">
        <w:r w:rsidRPr="00A26472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6527</w:t>
        </w:r>
      </w:hyperlink>
      <w:r w:rsidRPr="00A26472">
        <w:rPr>
          <w:rFonts w:hint="cs"/>
          <w:vanish/>
          <w:szCs w:val="20"/>
          <w:shd w:val="clear" w:color="auto" w:fill="FFFF99"/>
          <w:rtl/>
          <w:lang w:eastAsia="en-US"/>
        </w:rPr>
        <w:t xml:space="preserve"> מיום 17.10.2006 עמ' 162</w:t>
      </w:r>
    </w:p>
    <w:p w:rsidR="00B009C9" w:rsidRDefault="00B009C9">
      <w:pPr>
        <w:pStyle w:val="P00"/>
        <w:spacing w:before="0"/>
        <w:ind w:left="0" w:right="1134"/>
        <w:rPr>
          <w:rFonts w:hint="cs"/>
          <w:sz w:val="2"/>
          <w:szCs w:val="2"/>
          <w:rtl/>
          <w:lang w:eastAsia="en-US"/>
        </w:rPr>
      </w:pPr>
      <w:r w:rsidRPr="00A26472"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  <w:t>הוספת תקנה 2</w:t>
      </w:r>
      <w:bookmarkEnd w:id="3"/>
    </w:p>
    <w:p w:rsidR="00B009C9" w:rsidRDefault="00B009C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B009C9" w:rsidRDefault="00B009C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B009C9" w:rsidRDefault="00B00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 בכסלו התשס"ו (29 בדצמבר 2005)</w:t>
      </w:r>
    </w:p>
    <w:p w:rsidR="00B009C9" w:rsidRDefault="00B00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:rsidR="00B009C9" w:rsidRDefault="00B009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התעשיה המסחר והתעסוקה</w:t>
      </w:r>
    </w:p>
    <w:p w:rsidR="00B009C9" w:rsidRDefault="00B009C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D91F72" w:rsidRDefault="00D91F7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D91F72" w:rsidRDefault="00D91F7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D91F72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3CC" w:rsidRDefault="008B53CC">
      <w:r>
        <w:separator/>
      </w:r>
    </w:p>
  </w:endnote>
  <w:endnote w:type="continuationSeparator" w:id="0">
    <w:p w:rsidR="008B53CC" w:rsidRDefault="008B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9C9" w:rsidRDefault="00B009C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B009C9" w:rsidRDefault="00B009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B009C9" w:rsidRDefault="00B009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Z:\000000000000-law\yael\07-02-28\table\999_560.doc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9C9" w:rsidRDefault="00B009C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E1DF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B009C9" w:rsidRDefault="00B009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B009C9" w:rsidRDefault="00B009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Z:\000000000000-law\yael\07-02-28\table\999_560.doc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3CC" w:rsidRDefault="008B53C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B53CC" w:rsidRDefault="008B53CC">
      <w:r>
        <w:separator/>
      </w:r>
    </w:p>
  </w:footnote>
  <w:footnote w:id="1">
    <w:p w:rsidR="00B009C9" w:rsidRDefault="00B009C9">
      <w:pPr>
        <w:pStyle w:val="footnote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sz w:val="20"/>
          <w:rtl/>
          <w:lang w:eastAsia="en-US"/>
        </w:rPr>
        <w:t xml:space="preserve">*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6454</w:t>
        </w:r>
      </w:hyperlink>
      <w:r>
        <w:rPr>
          <w:rFonts w:hint="cs"/>
          <w:rtl/>
          <w:lang w:eastAsia="en-US"/>
        </w:rPr>
        <w:t xml:space="preserve"> מיום 18.1.2006 עמ' 356.</w:t>
      </w:r>
    </w:p>
    <w:p w:rsidR="00B009C9" w:rsidRDefault="00B009C9">
      <w:pPr>
        <w:pStyle w:val="footnote"/>
        <w:spacing w:before="72"/>
        <w:ind w:left="0" w:right="1134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תוקנו </w:t>
      </w:r>
      <w:hyperlink r:id="rId2" w:history="1">
        <w:r>
          <w:rPr>
            <w:rStyle w:val="Hyperlink"/>
            <w:rFonts w:hint="cs"/>
            <w:rtl/>
            <w:lang w:eastAsia="en-US"/>
          </w:rPr>
          <w:t>ק"ת תשס"ז: מס' 6527</w:t>
        </w:r>
      </w:hyperlink>
      <w:r>
        <w:rPr>
          <w:rFonts w:hint="cs"/>
          <w:rtl/>
          <w:lang w:eastAsia="en-US"/>
        </w:rPr>
        <w:t xml:space="preserve"> מיום 17.10.2006 עמ' 162 </w:t>
      </w:r>
      <w:r>
        <w:rPr>
          <w:rtl/>
          <w:lang w:eastAsia="en-US"/>
        </w:rPr>
        <w:t>–</w:t>
      </w:r>
      <w:r w:rsidR="00D237BC">
        <w:rPr>
          <w:rFonts w:hint="cs"/>
          <w:rtl/>
          <w:lang w:eastAsia="en-US"/>
        </w:rPr>
        <w:t xml:space="preserve"> תק' תשס"ז-2006</w:t>
      </w:r>
      <w:r w:rsidR="00E16488">
        <w:rPr>
          <w:rFonts w:hint="cs"/>
          <w:rtl/>
          <w:lang w:eastAsia="en-US"/>
        </w:rPr>
        <w:t xml:space="preserve"> </w:t>
      </w:r>
      <w:r w:rsidR="00D237BC">
        <w:rPr>
          <w:rFonts w:hint="cs"/>
          <w:rtl/>
          <w:lang w:eastAsia="en-US"/>
        </w:rPr>
        <w:t>(</w:t>
      </w:r>
      <w:r w:rsidR="00E16488">
        <w:rPr>
          <w:rFonts w:hint="cs"/>
          <w:rtl/>
          <w:lang w:eastAsia="en-US"/>
        </w:rPr>
        <w:t>ת"ט</w:t>
      </w:r>
      <w:r>
        <w:rPr>
          <w:rFonts w:hint="cs"/>
          <w:rtl/>
          <w:lang w:eastAsia="en-US"/>
        </w:rPr>
        <w:t xml:space="preserve"> </w:t>
      </w:r>
      <w:hyperlink r:id="rId3" w:history="1">
        <w:r>
          <w:rPr>
            <w:rStyle w:val="Hyperlink"/>
            <w:rFonts w:hint="cs"/>
            <w:rtl/>
            <w:lang w:eastAsia="en-US"/>
          </w:rPr>
          <w:t>מס' 6529</w:t>
        </w:r>
      </w:hyperlink>
      <w:r>
        <w:rPr>
          <w:rFonts w:hint="cs"/>
          <w:rtl/>
          <w:lang w:eastAsia="en-US"/>
        </w:rPr>
        <w:t xml:space="preserve"> מיום 29.10.2006 עמ' 188</w:t>
      </w:r>
      <w:r w:rsidR="00D237B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. </w:t>
      </w:r>
      <w:hyperlink r:id="rId4" w:history="1">
        <w:r>
          <w:rPr>
            <w:rStyle w:val="Hyperlink"/>
            <w:rFonts w:hint="cs"/>
            <w:rtl/>
            <w:lang w:eastAsia="en-US"/>
          </w:rPr>
          <w:t>מס' 6568</w:t>
        </w:r>
      </w:hyperlink>
      <w:r>
        <w:rPr>
          <w:rFonts w:hint="cs"/>
          <w:rtl/>
          <w:lang w:eastAsia="en-US"/>
        </w:rPr>
        <w:t xml:space="preserve"> מיום 22.2.2007 עמ' 602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תק' (מס' 2)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9C9" w:rsidRDefault="00B009C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B009C9" w:rsidRDefault="00B009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B009C9" w:rsidRDefault="00B009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9C9" w:rsidRDefault="00B009C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המדיניות הכלכלית לשנת הכספים 2004 (תיקוני חקיקה) (שילוב מקבלי גמלאות בעבודה) (הוראת שעה) (הפחתת היקף השעות המזערי של תכנית אישית לסוגי משתתפים)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:rsidR="00B009C9" w:rsidRDefault="00B009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B009C9" w:rsidRDefault="00B009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0CA6"/>
    <w:multiLevelType w:val="hybridMultilevel"/>
    <w:tmpl w:val="D0586C48"/>
    <w:lvl w:ilvl="0" w:tplc="33E2DCBC">
      <w:start w:val="2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FrankRuehl" w:hint="default"/>
        <w:sz w:val="20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 w16cid:durableId="5589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472"/>
    <w:rsid w:val="00077983"/>
    <w:rsid w:val="001F2726"/>
    <w:rsid w:val="00361146"/>
    <w:rsid w:val="004E1DFC"/>
    <w:rsid w:val="005D61D8"/>
    <w:rsid w:val="008B53CC"/>
    <w:rsid w:val="00A26472"/>
    <w:rsid w:val="00B009C9"/>
    <w:rsid w:val="00D237BC"/>
    <w:rsid w:val="00D55FF6"/>
    <w:rsid w:val="00D91F72"/>
    <w:rsid w:val="00E1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A65F881-1E8E-4AC4-9BA7-ED47CD8C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68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527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527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529.pdf" TargetMode="External"/><Relationship Id="rId2" Type="http://schemas.openxmlformats.org/officeDocument/2006/relationships/hyperlink" Target="http://www.nevo.co.il/Law_word/law06/tak-6527.pdf" TargetMode="External"/><Relationship Id="rId1" Type="http://schemas.openxmlformats.org/officeDocument/2006/relationships/hyperlink" Target="http://www.nevo.co.il/Law_word/law06/tak-6454.pdf" TargetMode="External"/><Relationship Id="rId4" Type="http://schemas.openxmlformats.org/officeDocument/2006/relationships/hyperlink" Target="http://www.nevo.co.il/Law_word/law06/tak-6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5036</CharactersWithSpaces>
  <SharedDoc>false</SharedDoc>
  <HLinks>
    <vt:vector size="54" baseType="variant">
      <vt:variant>
        <vt:i4>8192010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http://www.nevo.co.il/Law_word/law06/TAK-6527.pdf</vt:lpwstr>
      </vt:variant>
      <vt:variant>
        <vt:lpwstr/>
      </vt:variant>
      <vt:variant>
        <vt:i4>7929861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http://www.nevo.co.il/Law_word/law06/TAK-6568.pdf</vt:lpwstr>
      </vt:variant>
      <vt:variant>
        <vt:lpwstr/>
      </vt:variant>
      <vt:variant>
        <vt:i4>8192010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http://www.nevo.co.il/Law_word/law06/TAK-6527.pdf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http://www.nevo.co.il/Law_word/law06/tak-6568.pdf</vt:lpwstr>
      </vt:variant>
      <vt:variant>
        <vt:lpwstr/>
      </vt:variant>
      <vt:variant>
        <vt:i4>8192004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http://www.nevo.co.il/Law_word/law06/tak-6529.pdf</vt:lpwstr>
      </vt:variant>
      <vt:variant>
        <vt:lpwstr/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http://www.nevo.co.il/Law_word/law06/tak-6527.pdf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תעסוקה</vt:lpwstr>
  </property>
  <property fmtid="{D5CDD505-2E9C-101B-9397-08002B2CF9AE}" pid="4" name="LAWNAME">
    <vt:lpwstr>תקנות המדיניות הכלכלית לשנת הכספים 2004 (תיקוני חקיקה) (שילוב מקבלי גמלאות בעבודה) (הוראת שעה) (הפחתת היקף השעות המזערי של תכני</vt:lpwstr>
  </property>
  <property fmtid="{D5CDD505-2E9C-101B-9397-08002B2CF9AE}" pid="5" name="LAWNUMBER">
    <vt:lpwstr>0560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http://www.nevo.co.il/Law_word/law06/tak-6529.pdf;רשומות - תקנות כלליות#ת"ט ק"ת תשס"ז מס' 6529 #מיום 29.10.2006 #עמ' 188</vt:lpwstr>
  </property>
  <property fmtid="{D5CDD505-2E9C-101B-9397-08002B2CF9AE}" pid="8" name="LINKK3">
    <vt:lpwstr>http://www.nevo.co.il/Law_word/law06/tak-6527.pdf;רשומות - תקנות כלליות#תוקנו ק"ת תשס"ז מס' 6527 #מיום 17.10.2006 #עמ' 162 – תק' תשס"ז-2006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http://www.nevo.co.il/Law_word/law06/tak-6568.pdf;רשומות - תקנות כלליות#מס' 6568 #מיום 22.2.2007 #עמ' 602 – תק' (מס' 2) תשס"ז-2007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43XדX</vt:lpwstr>
  </property>
  <property fmtid="{D5CDD505-2E9C-101B-9397-08002B2CF9AE}" pid="24" name="NOSE11">
    <vt:lpwstr>עבודה</vt:lpwstr>
  </property>
  <property fmtid="{D5CDD505-2E9C-101B-9397-08002B2CF9AE}" pid="25" name="NOSE21">
    <vt:lpwstr>שילוב מקבלי גמלה בע'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