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E25" w:rsidRDefault="00D83E25">
      <w:pPr>
        <w:pStyle w:val="big-header"/>
        <w:ind w:left="0" w:right="1134"/>
      </w:pPr>
      <w:r>
        <w:rPr>
          <w:rFonts w:hint="cs"/>
          <w:rtl/>
        </w:rPr>
        <w:t>תקנות המדיניות הכלכלית לשנת הכספים 2004 (תיקוני חקיקה) (שילוב מקבלי גמלאות בעבודה) (הוראת שעה) (סדרי דין בוועדת ערר), תשס"ה-2005</w:t>
      </w:r>
    </w:p>
    <w:p w:rsidR="007874BC" w:rsidRPr="007874BC" w:rsidRDefault="007874BC" w:rsidP="007874BC">
      <w:pPr>
        <w:spacing w:line="320" w:lineRule="auto"/>
        <w:jc w:val="left"/>
        <w:rPr>
          <w:rFonts w:cs="FrankRuehl"/>
          <w:szCs w:val="26"/>
          <w:rtl/>
        </w:rPr>
      </w:pPr>
    </w:p>
    <w:p w:rsidR="007874BC" w:rsidRDefault="007874BC" w:rsidP="007874BC">
      <w:pPr>
        <w:spacing w:line="320" w:lineRule="auto"/>
        <w:jc w:val="left"/>
        <w:rPr>
          <w:rtl/>
        </w:rPr>
      </w:pPr>
    </w:p>
    <w:p w:rsidR="007874BC" w:rsidRPr="007874BC" w:rsidRDefault="007874BC" w:rsidP="007874BC">
      <w:pPr>
        <w:spacing w:line="320" w:lineRule="auto"/>
        <w:jc w:val="left"/>
        <w:rPr>
          <w:rFonts w:cs="Miriam"/>
          <w:szCs w:val="22"/>
          <w:rtl/>
        </w:rPr>
      </w:pPr>
      <w:r w:rsidRPr="007874BC">
        <w:rPr>
          <w:rFonts w:cs="Miriam"/>
          <w:szCs w:val="22"/>
          <w:rtl/>
        </w:rPr>
        <w:t>עבודה</w:t>
      </w:r>
      <w:r w:rsidRPr="007874BC">
        <w:rPr>
          <w:rFonts w:cs="FrankRuehl"/>
          <w:szCs w:val="26"/>
          <w:rtl/>
        </w:rPr>
        <w:t xml:space="preserve"> – שילוב מקבלי גמלה בע' – ועדת ערר – סדרי דין</w:t>
      </w:r>
    </w:p>
    <w:p w:rsidR="00D83E25" w:rsidRDefault="00D83E25">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פרק א: הגדרות</w:t>
            </w:r>
          </w:p>
        </w:tc>
        <w:tc>
          <w:tcPr>
            <w:tcW w:w="567" w:type="dxa"/>
          </w:tcPr>
          <w:p w:rsidR="002E3188" w:rsidRPr="002E3188" w:rsidRDefault="002E3188" w:rsidP="002E3188">
            <w:pPr>
              <w:spacing w:line="240" w:lineRule="auto"/>
              <w:jc w:val="left"/>
              <w:rPr>
                <w:rStyle w:val="Hyperlink"/>
                <w:rFonts w:hint="cs"/>
                <w:rtl/>
              </w:rPr>
            </w:pPr>
            <w:hyperlink w:anchor="med0" w:tooltip="פרק א: הגדרות"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1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הגדרות</w:t>
            </w:r>
          </w:p>
        </w:tc>
        <w:tc>
          <w:tcPr>
            <w:tcW w:w="567" w:type="dxa"/>
          </w:tcPr>
          <w:p w:rsidR="002E3188" w:rsidRPr="002E3188" w:rsidRDefault="002E3188" w:rsidP="002E3188">
            <w:pPr>
              <w:spacing w:line="240" w:lineRule="auto"/>
              <w:jc w:val="left"/>
              <w:rPr>
                <w:rStyle w:val="Hyperlink"/>
                <w:rFonts w:hint="cs"/>
                <w:rtl/>
              </w:rPr>
            </w:pPr>
            <w:hyperlink w:anchor="Seif1" w:tooltip="הגדרות"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2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מקום השיפוט</w:t>
            </w:r>
          </w:p>
        </w:tc>
        <w:tc>
          <w:tcPr>
            <w:tcW w:w="567" w:type="dxa"/>
          </w:tcPr>
          <w:p w:rsidR="002E3188" w:rsidRPr="002E3188" w:rsidRDefault="002E3188" w:rsidP="002E3188">
            <w:pPr>
              <w:spacing w:line="240" w:lineRule="auto"/>
              <w:jc w:val="left"/>
              <w:rPr>
                <w:rStyle w:val="Hyperlink"/>
                <w:rFonts w:hint="cs"/>
                <w:rtl/>
              </w:rPr>
            </w:pPr>
            <w:hyperlink w:anchor="Seif2" w:tooltip="מקום השיפוט"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3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פרטי הערר</w:t>
            </w:r>
          </w:p>
        </w:tc>
        <w:tc>
          <w:tcPr>
            <w:tcW w:w="567" w:type="dxa"/>
          </w:tcPr>
          <w:p w:rsidR="002E3188" w:rsidRPr="002E3188" w:rsidRDefault="002E3188" w:rsidP="002E3188">
            <w:pPr>
              <w:spacing w:line="240" w:lineRule="auto"/>
              <w:jc w:val="left"/>
              <w:rPr>
                <w:rStyle w:val="Hyperlink"/>
                <w:rFonts w:hint="cs"/>
                <w:rtl/>
              </w:rPr>
            </w:pPr>
            <w:hyperlink w:anchor="Seif3" w:tooltip="פרטי הערר"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4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כתב תשובה</w:t>
            </w:r>
          </w:p>
        </w:tc>
        <w:tc>
          <w:tcPr>
            <w:tcW w:w="567" w:type="dxa"/>
          </w:tcPr>
          <w:p w:rsidR="002E3188" w:rsidRPr="002E3188" w:rsidRDefault="002E3188" w:rsidP="002E3188">
            <w:pPr>
              <w:spacing w:line="240" w:lineRule="auto"/>
              <w:jc w:val="left"/>
              <w:rPr>
                <w:rStyle w:val="Hyperlink"/>
                <w:rFonts w:hint="cs"/>
                <w:rtl/>
              </w:rPr>
            </w:pPr>
            <w:hyperlink w:anchor="Seif4" w:tooltip="כתב תשובה"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5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ערר בנושאים רפואיים</w:t>
            </w:r>
          </w:p>
        </w:tc>
        <w:tc>
          <w:tcPr>
            <w:tcW w:w="567" w:type="dxa"/>
          </w:tcPr>
          <w:p w:rsidR="002E3188" w:rsidRPr="002E3188" w:rsidRDefault="002E3188" w:rsidP="002E3188">
            <w:pPr>
              <w:spacing w:line="240" w:lineRule="auto"/>
              <w:jc w:val="left"/>
              <w:rPr>
                <w:rStyle w:val="Hyperlink"/>
                <w:rFonts w:hint="cs"/>
                <w:rtl/>
              </w:rPr>
            </w:pPr>
            <w:hyperlink w:anchor="Seif5" w:tooltip="ערר בנושאים רפואיים"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6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הגשת מסמכים והמצאתם וקביעת מועד הדיון</w:t>
            </w:r>
          </w:p>
        </w:tc>
        <w:tc>
          <w:tcPr>
            <w:tcW w:w="567" w:type="dxa"/>
          </w:tcPr>
          <w:p w:rsidR="002E3188" w:rsidRPr="002E3188" w:rsidRDefault="002E3188" w:rsidP="002E3188">
            <w:pPr>
              <w:spacing w:line="240" w:lineRule="auto"/>
              <w:jc w:val="left"/>
              <w:rPr>
                <w:rStyle w:val="Hyperlink"/>
                <w:rFonts w:hint="cs"/>
                <w:rtl/>
              </w:rPr>
            </w:pPr>
            <w:hyperlink w:anchor="Seif6" w:tooltip="הגשת מסמכים והמצאתם וקביעת מועד הדיון"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7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מיצוי הליכים</w:t>
            </w:r>
          </w:p>
        </w:tc>
        <w:tc>
          <w:tcPr>
            <w:tcW w:w="567" w:type="dxa"/>
          </w:tcPr>
          <w:p w:rsidR="002E3188" w:rsidRPr="002E3188" w:rsidRDefault="002E3188" w:rsidP="002E3188">
            <w:pPr>
              <w:spacing w:line="240" w:lineRule="auto"/>
              <w:jc w:val="left"/>
              <w:rPr>
                <w:rStyle w:val="Hyperlink"/>
                <w:rFonts w:hint="cs"/>
                <w:rtl/>
              </w:rPr>
            </w:pPr>
            <w:hyperlink w:anchor="Seif7" w:tooltip="מיצוי הליכים"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8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אי התייצבות</w:t>
            </w:r>
          </w:p>
        </w:tc>
        <w:tc>
          <w:tcPr>
            <w:tcW w:w="567" w:type="dxa"/>
          </w:tcPr>
          <w:p w:rsidR="002E3188" w:rsidRPr="002E3188" w:rsidRDefault="002E3188" w:rsidP="002E3188">
            <w:pPr>
              <w:spacing w:line="240" w:lineRule="auto"/>
              <w:jc w:val="left"/>
              <w:rPr>
                <w:rStyle w:val="Hyperlink"/>
                <w:rFonts w:hint="cs"/>
                <w:rtl/>
              </w:rPr>
            </w:pPr>
            <w:hyperlink w:anchor="Seif8" w:tooltip="אי התייצבות"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9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החלטת הועדה</w:t>
            </w:r>
          </w:p>
        </w:tc>
        <w:tc>
          <w:tcPr>
            <w:tcW w:w="567" w:type="dxa"/>
          </w:tcPr>
          <w:p w:rsidR="002E3188" w:rsidRPr="002E3188" w:rsidRDefault="002E3188" w:rsidP="002E3188">
            <w:pPr>
              <w:spacing w:line="240" w:lineRule="auto"/>
              <w:jc w:val="left"/>
              <w:rPr>
                <w:rStyle w:val="Hyperlink"/>
                <w:rFonts w:hint="cs"/>
                <w:rtl/>
              </w:rPr>
            </w:pPr>
            <w:hyperlink w:anchor="Seif9" w:tooltip="החלטת הועדה"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10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מועדים להופעת משתתף</w:t>
            </w:r>
          </w:p>
        </w:tc>
        <w:tc>
          <w:tcPr>
            <w:tcW w:w="567" w:type="dxa"/>
          </w:tcPr>
          <w:p w:rsidR="002E3188" w:rsidRPr="002E3188" w:rsidRDefault="002E3188" w:rsidP="002E3188">
            <w:pPr>
              <w:spacing w:line="240" w:lineRule="auto"/>
              <w:jc w:val="left"/>
              <w:rPr>
                <w:rStyle w:val="Hyperlink"/>
                <w:rFonts w:hint="cs"/>
                <w:rtl/>
              </w:rPr>
            </w:pPr>
            <w:hyperlink w:anchor="Seif10" w:tooltip="מועדים להופעת משתתף"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11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הארכת מועדים</w:t>
            </w:r>
          </w:p>
        </w:tc>
        <w:tc>
          <w:tcPr>
            <w:tcW w:w="567" w:type="dxa"/>
          </w:tcPr>
          <w:p w:rsidR="002E3188" w:rsidRPr="002E3188" w:rsidRDefault="002E3188" w:rsidP="002E3188">
            <w:pPr>
              <w:spacing w:line="240" w:lineRule="auto"/>
              <w:jc w:val="left"/>
              <w:rPr>
                <w:rStyle w:val="Hyperlink"/>
                <w:rFonts w:hint="cs"/>
                <w:rtl/>
              </w:rPr>
            </w:pPr>
            <w:hyperlink w:anchor="Seif11" w:tooltip="הארכת מועדים"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12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חזרה מן הערר</w:t>
            </w:r>
          </w:p>
        </w:tc>
        <w:tc>
          <w:tcPr>
            <w:tcW w:w="567" w:type="dxa"/>
          </w:tcPr>
          <w:p w:rsidR="002E3188" w:rsidRPr="002E3188" w:rsidRDefault="002E3188" w:rsidP="002E3188">
            <w:pPr>
              <w:spacing w:line="240" w:lineRule="auto"/>
              <w:jc w:val="left"/>
              <w:rPr>
                <w:rStyle w:val="Hyperlink"/>
                <w:rFonts w:hint="cs"/>
                <w:rtl/>
              </w:rPr>
            </w:pPr>
            <w:hyperlink w:anchor="Seif12" w:tooltip="חזרה מן הערר"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188" w:rsidRPr="002E3188">
        <w:tblPrEx>
          <w:tblCellMar>
            <w:top w:w="0" w:type="dxa"/>
            <w:bottom w:w="0" w:type="dxa"/>
          </w:tblCellMar>
        </w:tblPrEx>
        <w:tc>
          <w:tcPr>
            <w:tcW w:w="1247" w:type="dxa"/>
          </w:tcPr>
          <w:p w:rsidR="002E3188" w:rsidRPr="002E3188" w:rsidRDefault="002E3188" w:rsidP="002E3188">
            <w:pPr>
              <w:spacing w:line="240" w:lineRule="auto"/>
              <w:jc w:val="left"/>
              <w:rPr>
                <w:rFonts w:cs="Frankruhel" w:hint="cs"/>
                <w:sz w:val="24"/>
                <w:rtl/>
              </w:rPr>
            </w:pPr>
            <w:r>
              <w:rPr>
                <w:rFonts w:cs="Times New Roman"/>
                <w:sz w:val="24"/>
                <w:rtl/>
              </w:rPr>
              <w:t xml:space="preserve">סעיף 13 </w:t>
            </w:r>
          </w:p>
        </w:tc>
        <w:tc>
          <w:tcPr>
            <w:tcW w:w="5669" w:type="dxa"/>
          </w:tcPr>
          <w:p w:rsidR="002E3188" w:rsidRPr="002E3188" w:rsidRDefault="002E3188" w:rsidP="002E3188">
            <w:pPr>
              <w:spacing w:line="240" w:lineRule="auto"/>
              <w:jc w:val="left"/>
              <w:rPr>
                <w:rFonts w:cs="Frankruhel" w:hint="cs"/>
                <w:sz w:val="24"/>
                <w:rtl/>
              </w:rPr>
            </w:pPr>
            <w:r>
              <w:rPr>
                <w:rFonts w:cs="Times New Roman"/>
                <w:sz w:val="24"/>
                <w:rtl/>
              </w:rPr>
              <w:t>תוקף</w:t>
            </w:r>
          </w:p>
        </w:tc>
        <w:tc>
          <w:tcPr>
            <w:tcW w:w="567" w:type="dxa"/>
          </w:tcPr>
          <w:p w:rsidR="002E3188" w:rsidRPr="002E3188" w:rsidRDefault="002E3188" w:rsidP="002E3188">
            <w:pPr>
              <w:spacing w:line="240" w:lineRule="auto"/>
              <w:jc w:val="left"/>
              <w:rPr>
                <w:rStyle w:val="Hyperlink"/>
                <w:rFonts w:hint="cs"/>
                <w:rtl/>
              </w:rPr>
            </w:pPr>
            <w:hyperlink w:anchor="Seif13" w:tooltip="תוקף" w:history="1">
              <w:r w:rsidRPr="002E3188">
                <w:rPr>
                  <w:rStyle w:val="Hyperlink"/>
                </w:rPr>
                <w:t>Go</w:t>
              </w:r>
            </w:hyperlink>
          </w:p>
        </w:tc>
        <w:tc>
          <w:tcPr>
            <w:tcW w:w="850" w:type="dxa"/>
          </w:tcPr>
          <w:p w:rsidR="002E3188" w:rsidRPr="002E3188" w:rsidRDefault="002E3188" w:rsidP="002E318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83E25" w:rsidRDefault="00D83E25">
      <w:pPr>
        <w:pStyle w:val="P00"/>
        <w:spacing w:before="72"/>
        <w:ind w:left="0" w:right="1134"/>
        <w:rPr>
          <w:rFonts w:hint="cs"/>
          <w:rtl/>
        </w:rPr>
      </w:pPr>
    </w:p>
    <w:p w:rsidR="00D83E25" w:rsidRDefault="00D83E25" w:rsidP="007874BC">
      <w:pPr>
        <w:pStyle w:val="big-header"/>
        <w:ind w:left="0" w:right="1134"/>
        <w:rPr>
          <w:rStyle w:val="default"/>
          <w:rFonts w:cs="FrankRuehl"/>
          <w:rtl/>
        </w:rPr>
      </w:pPr>
      <w:r>
        <w:rPr>
          <w:rtl/>
        </w:rPr>
        <w:br w:type="page"/>
      </w:r>
      <w:r>
        <w:rPr>
          <w:rFonts w:hint="cs"/>
          <w:rtl/>
        </w:rPr>
        <w:lastRenderedPageBreak/>
        <w:t>תקנות המדיניות הכלכלית לשנת הכספים 2004 (תיקוני חקיקה) (שילוב מקבלי גמלאות בעבודה) (הוראת שעה) (סדרי דין בוועדת ערר), תשס"ה-2005</w:t>
      </w:r>
      <w:r>
        <w:rPr>
          <w:rStyle w:val="default"/>
          <w:sz w:val="22"/>
          <w:szCs w:val="22"/>
          <w:rtl/>
        </w:rPr>
        <w:footnoteReference w:customMarkFollows="1" w:id="1"/>
        <w:t>*</w:t>
      </w:r>
    </w:p>
    <w:p w:rsidR="00D83E25" w:rsidRDefault="00D83E25">
      <w:pPr>
        <w:pStyle w:val="P00"/>
        <w:spacing w:before="72"/>
        <w:ind w:left="0" w:right="1134"/>
        <w:rPr>
          <w:rStyle w:val="default"/>
          <w:rFonts w:cs="FrankRuehl" w:hint="cs"/>
          <w:rtl/>
        </w:rPr>
      </w:pPr>
      <w:r>
        <w:rPr>
          <w:rStyle w:val="default"/>
          <w:rFonts w:cs="FrankRuehl" w:hint="cs"/>
          <w:rtl/>
        </w:rPr>
        <w:tab/>
        <w:t xml:space="preserve">בתוקף סמכותי לפי סעיף 58 לחוק המדיניות הכלכלית לשנת הכספים 2004 (תיקוני חקיקה), התשס"ד-2004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rsidR="00D83E25" w:rsidRDefault="00D83E25">
      <w:pPr>
        <w:pStyle w:val="medium2-header"/>
        <w:keepLines w:val="0"/>
        <w:spacing w:before="72"/>
        <w:ind w:left="0" w:right="1134"/>
        <w:rPr>
          <w:rFonts w:hint="cs"/>
          <w:noProof/>
          <w:rtl/>
        </w:rPr>
      </w:pPr>
      <w:bookmarkStart w:id="0" w:name="med0"/>
      <w:bookmarkEnd w:id="0"/>
      <w:r>
        <w:rPr>
          <w:rFonts w:hint="cs"/>
          <w:noProof/>
          <w:rtl/>
        </w:rPr>
        <w:t>פרק א: הגדרות</w:t>
      </w:r>
    </w:p>
    <w:p w:rsidR="00D83E25" w:rsidRDefault="00D83E2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7.6pt;z-index:251651584"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D83E25" w:rsidRDefault="00D83E25">
      <w:pPr>
        <w:pStyle w:val="P00"/>
        <w:spacing w:before="72"/>
        <w:ind w:left="0" w:right="1134"/>
        <w:rPr>
          <w:rStyle w:val="default"/>
          <w:rFonts w:cs="FrankRuehl" w:hint="cs"/>
          <w:rtl/>
        </w:rPr>
      </w:pPr>
      <w:r>
        <w:rPr>
          <w:rStyle w:val="default"/>
          <w:rFonts w:cs="FrankRuehl" w:hint="cs"/>
          <w:rtl/>
        </w:rPr>
        <w:tab/>
        <w:t xml:space="preserve">"אזור" </w:t>
      </w:r>
      <w:r>
        <w:rPr>
          <w:rStyle w:val="default"/>
          <w:rFonts w:cs="FrankRuehl"/>
          <w:rtl/>
        </w:rPr>
        <w:t>–</w:t>
      </w:r>
      <w:r>
        <w:rPr>
          <w:rStyle w:val="default"/>
          <w:rFonts w:cs="FrankRuehl" w:hint="cs"/>
          <w:rtl/>
        </w:rPr>
        <w:t xml:space="preserve"> אזור שהוחלו עליו הוראות פרק ז' לחוק;</w:t>
      </w:r>
    </w:p>
    <w:p w:rsidR="00D83E25" w:rsidRDefault="00D83E25">
      <w:pPr>
        <w:pStyle w:val="P00"/>
        <w:spacing w:before="72"/>
        <w:ind w:left="0" w:right="1134"/>
        <w:rPr>
          <w:rStyle w:val="default"/>
          <w:rFonts w:cs="FrankRuehl" w:hint="cs"/>
          <w:rtl/>
        </w:rPr>
      </w:pPr>
      <w:r>
        <w:rPr>
          <w:rStyle w:val="default"/>
          <w:rFonts w:cs="FrankRuehl" w:hint="cs"/>
          <w:rtl/>
        </w:rPr>
        <w:tab/>
        <w:t xml:space="preserve">"אישור השתתפות" </w:t>
      </w:r>
      <w:r>
        <w:rPr>
          <w:rStyle w:val="default"/>
          <w:rFonts w:cs="FrankRuehl"/>
          <w:rtl/>
        </w:rPr>
        <w:t>–</w:t>
      </w:r>
      <w:r>
        <w:rPr>
          <w:rStyle w:val="default"/>
          <w:rFonts w:cs="FrankRuehl" w:hint="cs"/>
          <w:rtl/>
        </w:rPr>
        <w:t xml:space="preserve"> כמשמעותו בפרק ז' לחוק;</w:t>
      </w:r>
    </w:p>
    <w:p w:rsidR="00D83E25" w:rsidRDefault="00D83E25">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ערר שמונתה בהתאם לסעיף 46(ב) לחוק;</w:t>
      </w:r>
    </w:p>
    <w:p w:rsidR="00D83E25" w:rsidRDefault="00D83E25">
      <w:pPr>
        <w:pStyle w:val="P00"/>
        <w:spacing w:before="72"/>
        <w:ind w:left="0" w:right="1134"/>
        <w:rPr>
          <w:rStyle w:val="default"/>
          <w:rFonts w:cs="FrankRuehl" w:hint="cs"/>
          <w:rtl/>
        </w:rPr>
      </w:pPr>
      <w:r>
        <w:rPr>
          <w:rStyle w:val="default"/>
          <w:rFonts w:cs="FrankRuehl" w:hint="cs"/>
          <w:rtl/>
        </w:rPr>
        <w:tab/>
        <w:t xml:space="preserve">"המוסד", "המשרד", "רופא המרכז" ו"תעודה רפואית" </w:t>
      </w:r>
      <w:r>
        <w:rPr>
          <w:rStyle w:val="default"/>
          <w:rFonts w:cs="FrankRuehl"/>
          <w:rtl/>
        </w:rPr>
        <w:t>–</w:t>
      </w:r>
      <w:r>
        <w:rPr>
          <w:rStyle w:val="default"/>
          <w:rFonts w:cs="FrankRuehl" w:hint="cs"/>
          <w:rtl/>
        </w:rPr>
        <w:t xml:space="preserve"> כהגדרתם בתקנות המדיניות הכלכלית;</w:t>
      </w:r>
    </w:p>
    <w:p w:rsidR="00D83E25" w:rsidRDefault="00D83E25">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התעשיה המסחר והתעסוקה או מי שהוא הסמיכו לענין תקנות אלה;</w:t>
      </w:r>
    </w:p>
    <w:p w:rsidR="00D83E25" w:rsidRDefault="00D83E25">
      <w:pPr>
        <w:pStyle w:val="P00"/>
        <w:spacing w:before="72"/>
        <w:ind w:left="0" w:right="1134"/>
        <w:rPr>
          <w:rStyle w:val="default"/>
          <w:rFonts w:cs="FrankRuehl" w:hint="cs"/>
          <w:rtl/>
        </w:rPr>
      </w:pPr>
      <w:r>
        <w:rPr>
          <w:rStyle w:val="default"/>
          <w:rFonts w:cs="FrankRuehl" w:hint="cs"/>
          <w:rtl/>
        </w:rPr>
        <w:tab/>
        <w:t xml:space="preserve">"ימי אבל וחג" </w:t>
      </w:r>
      <w:r>
        <w:rPr>
          <w:rStyle w:val="default"/>
          <w:rFonts w:cs="FrankRuehl"/>
          <w:rtl/>
        </w:rPr>
        <w:t>–</w:t>
      </w:r>
      <w:r>
        <w:rPr>
          <w:rStyle w:val="default"/>
          <w:rFonts w:cs="FrankRuehl" w:hint="cs"/>
          <w:rtl/>
        </w:rPr>
        <w:t xml:space="preserve"> כמשמעותם בתוספת השלישית והרביעית לתקנות המדיניות הכלכלית;</w:t>
      </w:r>
    </w:p>
    <w:p w:rsidR="00D83E25" w:rsidRDefault="00D83E25">
      <w:pPr>
        <w:pStyle w:val="P00"/>
        <w:spacing w:before="72"/>
        <w:ind w:left="0" w:right="1134"/>
        <w:rPr>
          <w:rStyle w:val="default"/>
          <w:rFonts w:cs="FrankRuehl" w:hint="cs"/>
          <w:rtl/>
        </w:rPr>
      </w:pPr>
      <w:r>
        <w:rPr>
          <w:rStyle w:val="default"/>
          <w:rFonts w:cs="FrankRuehl" w:hint="cs"/>
          <w:rtl/>
        </w:rPr>
        <w:tab/>
        <w:t xml:space="preserve">"מומחה רפואי" </w:t>
      </w:r>
      <w:r>
        <w:rPr>
          <w:rStyle w:val="default"/>
          <w:rFonts w:cs="FrankRuehl"/>
          <w:rtl/>
        </w:rPr>
        <w:t>–</w:t>
      </w:r>
      <w:r>
        <w:rPr>
          <w:rStyle w:val="default"/>
          <w:rFonts w:cs="FrankRuehl" w:hint="cs"/>
          <w:rtl/>
        </w:rPr>
        <w:t xml:space="preserve"> רופא מומחה ברפואה שיקומית, תעסוקתית או בפסיכיאטריה, שאישר השר לענין תקנות אלה לבדירת מצב בריאותו וכושרו הגופני של משתתף;</w:t>
      </w:r>
    </w:p>
    <w:p w:rsidR="00D83E25" w:rsidRDefault="00D83E25">
      <w:pPr>
        <w:pStyle w:val="P00"/>
        <w:spacing w:before="72"/>
        <w:ind w:left="0" w:right="1134"/>
        <w:rPr>
          <w:rStyle w:val="default"/>
          <w:rFonts w:cs="FrankRuehl" w:hint="cs"/>
          <w:rtl/>
        </w:rPr>
      </w:pPr>
      <w:r>
        <w:rPr>
          <w:rStyle w:val="default"/>
          <w:rFonts w:cs="FrankRuehl" w:hint="cs"/>
          <w:rtl/>
        </w:rPr>
        <w:tab/>
        <w:t xml:space="preserve">"מרכז תעסוקה" </w:t>
      </w:r>
      <w:r>
        <w:rPr>
          <w:rStyle w:val="default"/>
          <w:rFonts w:cs="FrankRuehl"/>
          <w:rtl/>
        </w:rPr>
        <w:t>–</w:t>
      </w:r>
      <w:r>
        <w:rPr>
          <w:rStyle w:val="default"/>
          <w:rFonts w:cs="FrankRuehl" w:hint="cs"/>
          <w:rtl/>
        </w:rPr>
        <w:t xml:space="preserve"> המרכז שבו מקודם שילובו בעבודה של המשתתף מגיש הערר;</w:t>
      </w:r>
    </w:p>
    <w:p w:rsidR="00D83E25" w:rsidRDefault="00D83E25">
      <w:pPr>
        <w:pStyle w:val="P00"/>
        <w:spacing w:before="72"/>
        <w:ind w:left="0" w:right="1134"/>
        <w:rPr>
          <w:rStyle w:val="default"/>
          <w:rFonts w:cs="FrankRuehl" w:hint="cs"/>
          <w:rtl/>
        </w:rPr>
      </w:pPr>
      <w:r>
        <w:rPr>
          <w:rStyle w:val="default"/>
          <w:rFonts w:cs="FrankRuehl" w:hint="cs"/>
          <w:rtl/>
        </w:rPr>
        <w:tab/>
        <w:t xml:space="preserve">"משיב" </w:t>
      </w:r>
      <w:r>
        <w:rPr>
          <w:rStyle w:val="default"/>
          <w:rFonts w:cs="FrankRuehl"/>
          <w:rtl/>
        </w:rPr>
        <w:t>–</w:t>
      </w:r>
      <w:r>
        <w:rPr>
          <w:rStyle w:val="default"/>
          <w:rFonts w:cs="FrankRuehl" w:hint="cs"/>
          <w:rtl/>
        </w:rPr>
        <w:t xml:space="preserve"> תאגיד שמפעיל מרכז תעסוקה;</w:t>
      </w:r>
    </w:p>
    <w:p w:rsidR="00D83E25" w:rsidRDefault="00D83E25">
      <w:pPr>
        <w:pStyle w:val="P00"/>
        <w:spacing w:before="72"/>
        <w:ind w:left="0" w:right="1134"/>
        <w:rPr>
          <w:rStyle w:val="default"/>
          <w:rFonts w:cs="FrankRuehl" w:hint="cs"/>
          <w:rtl/>
        </w:rPr>
      </w:pPr>
      <w:r>
        <w:rPr>
          <w:rStyle w:val="default"/>
          <w:rFonts w:cs="FrankRuehl" w:hint="cs"/>
          <w:rtl/>
        </w:rPr>
        <w:tab/>
        <w:t xml:space="preserve">"משתתף" </w:t>
      </w:r>
      <w:r>
        <w:rPr>
          <w:rStyle w:val="default"/>
          <w:rFonts w:cs="FrankRuehl"/>
          <w:rtl/>
        </w:rPr>
        <w:t>–</w:t>
      </w:r>
      <w:r>
        <w:rPr>
          <w:rStyle w:val="default"/>
          <w:rFonts w:cs="FrankRuehl" w:hint="cs"/>
          <w:rtl/>
        </w:rPr>
        <w:t xml:space="preserve"> כהגדרתו בסעיף 37 לחוק;</w:t>
      </w:r>
    </w:p>
    <w:p w:rsidR="00D83E25" w:rsidRDefault="00D83E25">
      <w:pPr>
        <w:pStyle w:val="P00"/>
        <w:spacing w:before="72"/>
        <w:ind w:left="0" w:right="1134"/>
        <w:rPr>
          <w:rStyle w:val="default"/>
          <w:rFonts w:cs="FrankRuehl" w:hint="cs"/>
          <w:rtl/>
        </w:rPr>
      </w:pPr>
      <w:r>
        <w:rPr>
          <w:rStyle w:val="default"/>
          <w:rFonts w:cs="FrankRuehl" w:hint="cs"/>
          <w:rtl/>
        </w:rPr>
        <w:tab/>
        <w:t xml:space="preserve">"תקנות המדיניות הכלכלית" </w:t>
      </w:r>
      <w:r>
        <w:rPr>
          <w:rStyle w:val="default"/>
          <w:rFonts w:cs="FrankRuehl"/>
          <w:rtl/>
        </w:rPr>
        <w:t>–</w:t>
      </w:r>
      <w:r>
        <w:rPr>
          <w:rStyle w:val="default"/>
          <w:rFonts w:cs="FrankRuehl" w:hint="cs"/>
          <w:rtl/>
        </w:rPr>
        <w:t xml:space="preserve"> תקנות המדיניות הכלכלית לשנת הכספים 2004 (תיקוני חקיקה) (שילוב מקבלי גמלאות בעבודה) (הוראת שעה), התשס"ה-2004.</w:t>
      </w:r>
    </w:p>
    <w:p w:rsidR="00D83E25" w:rsidRDefault="00D83E25">
      <w:pPr>
        <w:pStyle w:val="P00"/>
        <w:spacing w:before="72"/>
        <w:ind w:left="0" w:right="1134"/>
        <w:rPr>
          <w:rStyle w:val="default"/>
          <w:rFonts w:cs="FrankRuehl" w:hint="cs"/>
          <w:rtl/>
        </w:rPr>
      </w:pPr>
      <w:bookmarkStart w:id="2" w:name="Seif2"/>
      <w:bookmarkEnd w:id="2"/>
      <w:r>
        <w:rPr>
          <w:lang w:val="he-IL"/>
        </w:rPr>
        <w:pict>
          <v:rect id="_x0000_s1120" style="position:absolute;left:0;text-align:left;margin-left:464.5pt;margin-top:8.05pt;width:75.05pt;height:11.5pt;z-index:251652608"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מקום השיפוט</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ערר יוגש ויידון בוועדה שבאזור שיפוטה מצוי מרכז התעסוקה שבו עובד מתכנן היעדים התעסוקתי שנתן את ההחלטה נושא הערר.</w:t>
      </w:r>
    </w:p>
    <w:p w:rsidR="00D83E25" w:rsidRDefault="00D83E25">
      <w:pPr>
        <w:pStyle w:val="P00"/>
        <w:spacing w:before="72"/>
        <w:ind w:left="0" w:right="1134"/>
        <w:rPr>
          <w:rStyle w:val="default"/>
          <w:rFonts w:cs="FrankRuehl" w:hint="cs"/>
          <w:rtl/>
        </w:rPr>
      </w:pPr>
      <w:bookmarkStart w:id="3" w:name="Seif3"/>
      <w:bookmarkEnd w:id="3"/>
      <w:r>
        <w:rPr>
          <w:lang w:val="he-IL"/>
        </w:rPr>
        <w:pict>
          <v:rect id="_x0000_s1124" style="position:absolute;left:0;text-align:left;margin-left:464.5pt;margin-top:8.05pt;width:75.05pt;height:7.6pt;z-index:251653632"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פרטי הערר</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 xml:space="preserve">ערר יהיה ערוך לפי טופס 1 שבתוספת ויכלול את </w:t>
      </w:r>
      <w:r>
        <w:rPr>
          <w:rStyle w:val="default"/>
          <w:rFonts w:cs="FrankRuehl"/>
          <w:rtl/>
        </w:rPr>
        <w:t>–</w:t>
      </w:r>
    </w:p>
    <w:p w:rsidR="00D83E25" w:rsidRDefault="00D83E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המשתתף מגיש הערר ומען להמצאת מסמכי ערר;</w:t>
      </w:r>
    </w:p>
    <w:p w:rsidR="00D83E25" w:rsidRDefault="00D83E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ציון מרכז התעסוקה;</w:t>
      </w:r>
    </w:p>
    <w:p w:rsidR="00D83E25" w:rsidRDefault="00D83E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תמצית ההחלטה שעליה מוגש הערר והתאריך שבו היא נודעה למשתתף;</w:t>
      </w:r>
    </w:p>
    <w:p w:rsidR="00D83E25" w:rsidRDefault="00D83E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תקופת ההארכה שניתנה בניסיון להגיע לידי הסכמה ליישוב המחלוקת נושא הערר, אם ניתנה;</w:t>
      </w:r>
    </w:p>
    <w:p w:rsidR="00D83E25" w:rsidRDefault="00D83E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העובדות שעליהן מסתמך המשתתף ונימוקיו;</w:t>
      </w:r>
    </w:p>
    <w:p w:rsidR="00D83E25" w:rsidRDefault="00D83E2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הסעד המבוקש.</w:t>
      </w:r>
    </w:p>
    <w:p w:rsidR="00D83E25" w:rsidRDefault="00D83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לערר יצורף </w:t>
      </w:r>
      <w:r>
        <w:rPr>
          <w:rStyle w:val="default"/>
          <w:rFonts w:cs="FrankRuehl"/>
          <w:rtl/>
        </w:rPr>
        <w:t>–</w:t>
      </w:r>
    </w:p>
    <w:p w:rsidR="00D83E25" w:rsidRDefault="00D83E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העתק צילומי של המסמכים שעליהם מסתמך המשתתף;</w:t>
      </w:r>
    </w:p>
    <w:p w:rsidR="00D83E25" w:rsidRDefault="00D83E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אישור השתתפות </w:t>
      </w:r>
      <w:r>
        <w:rPr>
          <w:rStyle w:val="default"/>
          <w:rFonts w:cs="FrankRuehl"/>
          <w:rtl/>
        </w:rPr>
        <w:t>–</w:t>
      </w:r>
      <w:r>
        <w:rPr>
          <w:rStyle w:val="default"/>
          <w:rFonts w:cs="FrankRuehl" w:hint="cs"/>
          <w:rtl/>
        </w:rPr>
        <w:t xml:space="preserve"> אם המשתתף עורר על קביעה שבו;</w:t>
      </w:r>
    </w:p>
    <w:p w:rsidR="00D83E25" w:rsidRDefault="00D83E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העתקי תעודות רפואיות שהוגשו לרופא המרכז והעתק החלטתו, אם ניתנה </w:t>
      </w:r>
      <w:r>
        <w:rPr>
          <w:rStyle w:val="default"/>
          <w:rFonts w:cs="FrankRuehl"/>
          <w:rtl/>
        </w:rPr>
        <w:t>–</w:t>
      </w:r>
      <w:r>
        <w:rPr>
          <w:rStyle w:val="default"/>
          <w:rFonts w:cs="FrankRuehl" w:hint="cs"/>
          <w:rtl/>
        </w:rPr>
        <w:t xml:space="preserve"> אם המשתתף עורר בנושאים רפואיים.</w:t>
      </w:r>
    </w:p>
    <w:p w:rsidR="00D83E25" w:rsidRDefault="00D83E25">
      <w:pPr>
        <w:pStyle w:val="P00"/>
        <w:spacing w:before="72"/>
        <w:ind w:left="0" w:right="1134"/>
        <w:rPr>
          <w:rStyle w:val="default"/>
          <w:rFonts w:cs="FrankRuehl" w:hint="cs"/>
          <w:rtl/>
        </w:rPr>
      </w:pPr>
      <w:bookmarkStart w:id="4" w:name="Seif4"/>
      <w:bookmarkEnd w:id="4"/>
      <w:r>
        <w:rPr>
          <w:lang w:val="he-IL"/>
        </w:rPr>
        <w:lastRenderedPageBreak/>
        <w:pict>
          <v:rect id="_x0000_s1125" style="position:absolute;left:0;text-align:left;margin-left:464.5pt;margin-top:8.05pt;width:75.05pt;height:7.6pt;z-index:251654656"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כתב תשובה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 xml:space="preserve">כתב תשובה יהיה ערוך לפי טופס 3 שבתוספת ויכלול את </w:t>
      </w:r>
      <w:r>
        <w:rPr>
          <w:rStyle w:val="default"/>
          <w:rFonts w:cs="FrankRuehl"/>
          <w:rtl/>
        </w:rPr>
        <w:t>–</w:t>
      </w:r>
    </w:p>
    <w:p w:rsidR="00D83E25" w:rsidRDefault="00D83E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המשיב מען ומספר פקסימילה להמצאת מסמכי ערר;</w:t>
      </w:r>
    </w:p>
    <w:p w:rsidR="00D83E25" w:rsidRDefault="00D83E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נימוקים להחלטה שמוגש עליה הערר והתאריך שבו היא נודעה למשתתף;</w:t>
      </w:r>
    </w:p>
    <w:p w:rsidR="00D83E25" w:rsidRDefault="00D83E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תקופת ההארכה שניתנה בניסיון להגיע לידי הסכמה ליישוב המחלוקת נושא הערר, אם ניתנה;</w:t>
      </w:r>
    </w:p>
    <w:p w:rsidR="00D83E25" w:rsidRDefault="00D83E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תגובת המשיב לטענות המשתתף.</w:t>
      </w:r>
    </w:p>
    <w:p w:rsidR="00D83E25" w:rsidRDefault="00D83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לכתב התשובה יצורף העתק צילומי של המסמכים שעליהם מסתמך המשיב לרבות אישור ההשתתפות והתכנית האישית במקרה הצורך.</w:t>
      </w:r>
    </w:p>
    <w:p w:rsidR="00D83E25" w:rsidRDefault="00D83E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ביקש המשיב מהוועדה למחוק על הסף את הערר, כולו או מקצתו, לפי סעיף 24 לחוק בתי דין מינהליים, התשנ"ב-1992 (להלן </w:t>
      </w:r>
      <w:r>
        <w:rPr>
          <w:rStyle w:val="default"/>
          <w:rFonts w:cs="FrankRuehl"/>
          <w:rtl/>
        </w:rPr>
        <w:t>–</w:t>
      </w:r>
      <w:r>
        <w:rPr>
          <w:rStyle w:val="default"/>
          <w:rFonts w:cs="FrankRuehl" w:hint="cs"/>
          <w:rtl/>
        </w:rPr>
        <w:t xml:space="preserve"> חוק בתי דין), יפרט בכתב התשובה את הטעמים לכך.</w:t>
      </w:r>
    </w:p>
    <w:p w:rsidR="00D83E25" w:rsidRDefault="00D83E25">
      <w:pPr>
        <w:pStyle w:val="P00"/>
        <w:spacing w:before="72"/>
        <w:ind w:left="0" w:right="1134"/>
        <w:rPr>
          <w:rStyle w:val="default"/>
          <w:rFonts w:cs="FrankRuehl" w:hint="cs"/>
          <w:rtl/>
        </w:rPr>
      </w:pPr>
      <w:bookmarkStart w:id="5" w:name="Seif5"/>
      <w:bookmarkEnd w:id="5"/>
      <w:r>
        <w:rPr>
          <w:lang w:val="he-IL"/>
        </w:rPr>
        <w:pict>
          <v:rect id="_x0000_s1126" style="position:absolute;left:0;text-align:left;margin-left:464.5pt;margin-top:8.05pt;width:75.05pt;height:19.5pt;z-index:251655680"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ערר בנושאים רפואיים</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היה הערר בנושאים רפואיים, תעביר הוועדה בפקסימילה את מסמכי הערר למומחה רפואי לקבלת חוות דעתו, ביום שבו הוגש כתב התשובה.</w:t>
      </w:r>
    </w:p>
    <w:p w:rsidR="00D83E25" w:rsidRDefault="00D83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מומחה רפואי יערוך את חוות דעתו לפי טופס 3 שבתוספת, ויעביר אותה לוועדת הערר באמצעות פקסימילה לא יאוחר משלושה ימים מקבלת הערר וכתב התשובה; סבר המומחה הרפואי כי יש צורך במידע נוסף לשם מתן חוות דעתו, רשאי הוא לדרוש מן המשתתף להתייצב לפניו לבדיקה רפואית במועדים שיחליט וכן רשאי הוא לפנות לרופא המרכז או לרופא החתום על התעודה הרפואית לקבלת הבהרות ופרטים נוספים, בכל ענין הקשור לערר, והכל אם המידע דרוש לשם מתן חוות דעתו ובמקרה זה יודיע על כך לוועדת הערר ויעביר אליה את חוות דעתו, באמצעות פקסימילה, לא יאוחר משמונה ימים מקבלת הערר וכתב התשובה.</w:t>
      </w:r>
    </w:p>
    <w:p w:rsidR="00D83E25" w:rsidRDefault="00D83E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סירב משתתף להופיע לפני מומחה רפואי, להמציא פרטים והבהרות שדרש במועדים שהחליט או כי חוות הדעת ומידע רפואי הנוגע לה יימסרו לוועדה ולמשיב, יראוהו כמי שוויתר על עררו; ועדת הערר רשאית לקבוע מטעמים מיוחדים שיירשמו, כי אי-הופעה או אי-המצאה כאמור לא ייחשבו סירוב לענין תקנת משנה זאת.</w:t>
      </w:r>
    </w:p>
    <w:p w:rsidR="00D83E25" w:rsidRDefault="00D83E25">
      <w:pPr>
        <w:pStyle w:val="P00"/>
        <w:spacing w:before="72"/>
        <w:ind w:left="0" w:right="1134"/>
        <w:rPr>
          <w:rStyle w:val="default"/>
          <w:rFonts w:cs="FrankRuehl" w:hint="cs"/>
          <w:rtl/>
        </w:rPr>
      </w:pPr>
      <w:bookmarkStart w:id="6" w:name="Seif6"/>
      <w:bookmarkEnd w:id="6"/>
      <w:r>
        <w:rPr>
          <w:lang w:val="he-IL"/>
        </w:rPr>
        <w:pict>
          <v:rect id="_x0000_s1127" style="position:absolute;left:0;text-align:left;margin-left:464.5pt;margin-top:8.05pt;width:75.05pt;height:26.75pt;z-index:251656704"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הגשת מסמכים והמצאתם וקביעת מועד הדיון</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ערר וכתב תשובה יוגשו בעותק אחד, מודפסים וחתומים בידי המשתתף או המשיב, לפי הענין, במשרדי ועדת הערר בהתאם לאמור בתקנה 2; ואולם, משתתף רשאי להגיש את הערר גם בכתב יד קריא וברור.</w:t>
      </w:r>
    </w:p>
    <w:p w:rsidR="00D83E25" w:rsidRDefault="00D83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במועד הגשת הערר יינתן למשתתף זימון לדיון בנוסח שלפי טופס 4 לתוספת, שייקבע למועד שלא יעלה על ארבעה עשר ימים מיום הגשת הערר; היה הערר בנושאים רפואיים, יהיה הזימון למועד שלא יעלה על שבעה עשר ימים מיום הגשת הערר.</w:t>
      </w:r>
    </w:p>
    <w:p w:rsidR="00D83E25" w:rsidRDefault="00D83E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תמציא למשיב, באמצעות פקסימילה, את הערר עם הזימון לדיון בנוסח שלפי טופס 5 לתוספת, ביום שבו הוגש לה.</w:t>
      </w:r>
    </w:p>
    <w:p w:rsidR="00D83E25" w:rsidRDefault="00D83E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המשיב יגיש למשרדי הוועדה כתב תשובה לא יאוחר מחמישה ימים מיום שהומצא לו הערר.</w:t>
      </w:r>
    </w:p>
    <w:p w:rsidR="00D83E25" w:rsidRDefault="00D83E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תמציא למשתתף את כתב התשובה בדואר רשום עם אישור מסירה בתוך יומיים מהגשתו; המשתתף יהיה רשאי לקבל העתק של כתב התשובה במזכירות ועדת הערר.</w:t>
      </w:r>
    </w:p>
    <w:p w:rsidR="00D83E25" w:rsidRDefault="00D83E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הגיש משיב כתב תשובה במועד המפורט בתקנת משנה (ד), רשאית הוועדה לקיים את הדיון בהעדר כתב תשובה.</w:t>
      </w:r>
    </w:p>
    <w:p w:rsidR="00D83E25" w:rsidRDefault="00D83E2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סבר מומחה רפואי כי עליו לערוך למשתתף בדיקה רפואית בהתאם להוראות תקנה 5(ב), תודיע לו הוועדה על מועד הבדיקה באמצעות מספרי הטלפונים שציין בערר; לענין זה יראו הודעה שנמסרה בטלפון כהמצאה של זימון לבדיקה.</w:t>
      </w:r>
    </w:p>
    <w:p w:rsidR="00D83E25" w:rsidRDefault="00D83E2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נתן מומחה רפואי את חוות דעתו, יהיו המשתתף והמשיב רשאים לקבל העתק ממנה במזכירות הוועדה עובר לדיון.</w:t>
      </w:r>
    </w:p>
    <w:p w:rsidR="00D83E25" w:rsidRDefault="00D83E2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מסמך שיישלח באמצעות פקסימילה ייראה כמסמך שהומצא במסירה אישית לנמען ביום המשלוח אם נשלחה עד השעה 16:00 בימים א' עד ה' בשבוע, שאינם ימי מנוחה כמשמעותם בסעיף 18א לפקודת סדרי השלטון והמשפט, התש"ח-1948, או ימי מנוחה שנקבעו בחיקוק; מסמך שיישלח באמצעות פקסימילה ביום ו', ביום מנוהח או לאחר השעה 16:00, יראו אותו כאילו נשלח ביום החול שלאחריו; השולח יודיע לנמען בטלפון, בתוך 24 שעות משעת המשלוח, כי שלח לו בפקסימילה את המסמך ויערוך תרשומת על ההודעה הטלפונית, שתכלול את פרטי המסמך שנשלח, זמן השיחה ושמו של האדם שלו נמסרה ההודעה.</w:t>
      </w:r>
    </w:p>
    <w:p w:rsidR="00D83E25" w:rsidRDefault="00D83E25">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משלוח מסמך בדואר רשום ייעשה עם אישור מסירה שיצורף לתיק הערר.</w:t>
      </w:r>
    </w:p>
    <w:p w:rsidR="00D83E25" w:rsidRDefault="00D83E25">
      <w:pPr>
        <w:pStyle w:val="P00"/>
        <w:spacing w:before="72"/>
        <w:ind w:left="0" w:right="1134"/>
        <w:rPr>
          <w:rStyle w:val="default"/>
          <w:rFonts w:cs="FrankRuehl" w:hint="cs"/>
          <w:rtl/>
        </w:rPr>
      </w:pPr>
      <w:bookmarkStart w:id="7" w:name="Seif7"/>
      <w:bookmarkEnd w:id="7"/>
      <w:r>
        <w:rPr>
          <w:lang w:val="he-IL"/>
        </w:rPr>
        <w:pict>
          <v:rect id="_x0000_s1128" style="position:absolute;left:0;text-align:left;margin-left:464.5pt;margin-top:8.05pt;width:75.05pt;height:7.6pt;z-index:251657728"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מיצוי הליכים</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משתתף לא יצרף לערר ולא יגיש לוועדה או מומחה רפואי מסמכים או תעודות רפואיות אלא אם כן הגישם, לפני הגשת הערר, למתכנן יעדים תעסוקתי או לרופא המרכז.</w:t>
      </w:r>
    </w:p>
    <w:p w:rsidR="00D83E25" w:rsidRDefault="00D83E25">
      <w:pPr>
        <w:pStyle w:val="P00"/>
        <w:spacing w:before="72"/>
        <w:ind w:left="0" w:right="1134"/>
        <w:rPr>
          <w:rStyle w:val="default"/>
          <w:rFonts w:cs="FrankRuehl" w:hint="cs"/>
          <w:rtl/>
        </w:rPr>
      </w:pPr>
      <w:bookmarkStart w:id="8" w:name="Seif8"/>
      <w:bookmarkEnd w:id="8"/>
      <w:r>
        <w:rPr>
          <w:lang w:val="he-IL"/>
        </w:rPr>
        <w:pict>
          <v:rect id="_x0000_s1129" style="position:absolute;left:0;text-align:left;margin-left:464.5pt;margin-top:8.05pt;width:75.05pt;height:7.6pt;z-index:251658752"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אי התייצבות</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הוועדה רשאית להחליט בערר בלא נוכחות המשיב או המשתתף, אם הוזמנו בהתאם להוראות תקנות אלה ולא התייצבו או אם התייצבו ועזבו את הישיבה לפני סיומה.</w:t>
      </w:r>
    </w:p>
    <w:p w:rsidR="00D83E25" w:rsidRDefault="00D83E25">
      <w:pPr>
        <w:pStyle w:val="P00"/>
        <w:spacing w:before="72"/>
        <w:ind w:left="0" w:right="1134"/>
        <w:rPr>
          <w:rStyle w:val="default"/>
          <w:rFonts w:cs="FrankRuehl" w:hint="cs"/>
          <w:rtl/>
        </w:rPr>
      </w:pPr>
      <w:bookmarkStart w:id="9" w:name="Seif9"/>
      <w:bookmarkEnd w:id="9"/>
      <w:r>
        <w:rPr>
          <w:lang w:val="he-IL"/>
        </w:rPr>
        <w:pict>
          <v:rect id="_x0000_s1130" style="position:absolute;left:0;text-align:left;margin-left:464.5pt;margin-top:8.05pt;width:75.05pt;height:7.6pt;z-index:251659776"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החלטת הועדה</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(א)</w:t>
      </w:r>
      <w:r>
        <w:rPr>
          <w:rStyle w:val="default"/>
          <w:rFonts w:cs="FrankRuehl" w:hint="cs"/>
          <w:rtl/>
        </w:rPr>
        <w:tab/>
        <w:t>יושב ראש ועדת הערר או מי שהוא קבעו לצורך זה, ירשום בפרוטוקול את עיקרי הדברים שבדיון ויחתום עליו.</w:t>
      </w:r>
    </w:p>
    <w:p w:rsidR="00D83E25" w:rsidRDefault="00D83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תום הדיון בערר ולא יאוחר משלושה ימים מהדיון, תיתן הוועדה את החלטתה בערר; נוסף על האמור בסעיף 40(ב) לחוק בתי דין, תעביר הוועדה את ההחלטה, מיד עם הינתנה, למוסד באופן ממוחשב באמצעות המשרד ולמשיב באמצעות פקסימילה.</w:t>
      </w:r>
    </w:p>
    <w:p w:rsidR="00D83E25" w:rsidRDefault="00D83E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עם קבלת החלטת הוועדה ולא יאוחר מיומיים מקבלתה, ישלח המשיב למוסד אישור השתתפות חדש, במידת הצורך.</w:t>
      </w:r>
    </w:p>
    <w:p w:rsidR="00D83E25" w:rsidRDefault="00D83E25">
      <w:pPr>
        <w:pStyle w:val="P00"/>
        <w:spacing w:before="72"/>
        <w:ind w:left="0" w:right="1134"/>
        <w:rPr>
          <w:rStyle w:val="default"/>
          <w:rFonts w:cs="FrankRuehl" w:hint="cs"/>
          <w:rtl/>
        </w:rPr>
      </w:pPr>
      <w:bookmarkStart w:id="10" w:name="Seif10"/>
      <w:bookmarkEnd w:id="10"/>
      <w:r>
        <w:rPr>
          <w:lang w:val="he-IL"/>
        </w:rPr>
        <w:pict>
          <v:rect id="_x0000_s1131" style="position:absolute;left:0;text-align:left;margin-left:464.5pt;margin-top:8.05pt;width:75.05pt;height:14.85pt;z-index:251660800"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מועדים להופעת משתתף</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לא ייקבעו מועדים להופעת משתתף לפני מומחה רפואי או לפני הוועדה ביום המנוחה השבועית, ימי אבל וחג או בימים שבהם משתתף מצוי בשירות מילואים.</w:t>
      </w:r>
    </w:p>
    <w:p w:rsidR="00D83E25" w:rsidRDefault="00D83E25">
      <w:pPr>
        <w:pStyle w:val="P00"/>
        <w:spacing w:before="72"/>
        <w:ind w:left="0" w:right="1134"/>
        <w:rPr>
          <w:rStyle w:val="default"/>
          <w:rFonts w:cs="FrankRuehl" w:hint="cs"/>
          <w:rtl/>
        </w:rPr>
      </w:pPr>
      <w:bookmarkStart w:id="11" w:name="Seif11"/>
      <w:bookmarkEnd w:id="11"/>
      <w:r>
        <w:rPr>
          <w:lang w:val="he-IL"/>
        </w:rPr>
        <w:pict>
          <v:rect id="_x0000_s1132" style="position:absolute;left:0;text-align:left;margin-left:464.5pt;margin-top:8.05pt;width:75.05pt;height:7.6pt;z-index:251661824"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הארכת מועדים</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הוועדה רשאית להאריך מועד שנקבע בתקנות אלה ואולם, הארכת מועדים שתגרום לכך שההחלטה תינתן במועד העולה על עשרים ואחד ימים מהגשת הערר תיעשה רק מטעמים מיוחדים שיירשמו, בשים לב להוראת סעיף 3ב לחוק הבטחת הכנסה, התשמ"א-1980.</w:t>
      </w:r>
    </w:p>
    <w:p w:rsidR="00D83E25" w:rsidRDefault="00D83E25">
      <w:pPr>
        <w:pStyle w:val="P00"/>
        <w:spacing w:before="72"/>
        <w:ind w:left="0" w:right="1134"/>
        <w:rPr>
          <w:rStyle w:val="default"/>
          <w:rFonts w:cs="FrankRuehl" w:hint="cs"/>
          <w:rtl/>
        </w:rPr>
      </w:pPr>
      <w:bookmarkStart w:id="12" w:name="Seif12"/>
      <w:bookmarkEnd w:id="12"/>
      <w:r>
        <w:rPr>
          <w:lang w:val="he-IL"/>
        </w:rPr>
        <w:pict>
          <v:rect id="_x0000_s1133" style="position:absolute;left:0;text-align:left;margin-left:464.5pt;margin-top:8.05pt;width:75.05pt;height:7.6pt;z-index:251662848"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חזרה מן הערר</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הודיע העורר לוועדת הערר כי הוא חוזר בו מן הערר, יבוטל הערר וועדת הערר תודיע על כך למשיב.</w:t>
      </w:r>
    </w:p>
    <w:p w:rsidR="00D83E25" w:rsidRDefault="00D83E25">
      <w:pPr>
        <w:pStyle w:val="P00"/>
        <w:spacing w:before="72"/>
        <w:ind w:left="0" w:right="1134"/>
        <w:rPr>
          <w:rStyle w:val="default"/>
          <w:rFonts w:cs="FrankRuehl" w:hint="cs"/>
          <w:rtl/>
        </w:rPr>
      </w:pPr>
      <w:bookmarkStart w:id="13" w:name="Seif13"/>
      <w:bookmarkEnd w:id="13"/>
      <w:r>
        <w:rPr>
          <w:lang w:val="he-IL"/>
        </w:rPr>
        <w:pict>
          <v:rect id="_x0000_s1134" style="position:absolute;left:0;text-align:left;margin-left:464.5pt;margin-top:8.05pt;width:75.05pt;height:7.6pt;z-index:251663872" o:allowincell="f" filled="f" stroked="f" strokecolor="lime" strokeweight=".25pt">
            <v:textbox inset="0,0,0,0">
              <w:txbxContent>
                <w:p w:rsidR="00D83E25" w:rsidRDefault="00D83E25">
                  <w:pPr>
                    <w:spacing w:line="160" w:lineRule="exact"/>
                    <w:jc w:val="left"/>
                    <w:rPr>
                      <w:rFonts w:cs="Miriam" w:hint="cs"/>
                      <w:noProof/>
                      <w:szCs w:val="18"/>
                      <w:rtl/>
                    </w:rPr>
                  </w:pPr>
                  <w:r>
                    <w:rPr>
                      <w:rFonts w:cs="Miriam" w:hint="cs"/>
                      <w:szCs w:val="18"/>
                      <w:rtl/>
                    </w:rPr>
                    <w:t>תוקף</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תקופת תוקפן של תקנות אלה לתקופת תוקפו של פרק ז' לחוק.</w:t>
      </w:r>
    </w:p>
    <w:p w:rsidR="00D83E25" w:rsidRDefault="00D83E25">
      <w:pPr>
        <w:pStyle w:val="P00"/>
        <w:spacing w:before="72"/>
        <w:ind w:left="0" w:right="1134"/>
        <w:rPr>
          <w:rStyle w:val="default"/>
          <w:rFonts w:cs="FrankRuehl" w:hint="cs"/>
          <w:rtl/>
        </w:rPr>
      </w:pPr>
    </w:p>
    <w:p w:rsidR="00D83E25" w:rsidRDefault="00D83E25">
      <w:pPr>
        <w:pStyle w:val="P00"/>
        <w:spacing w:before="72"/>
        <w:ind w:left="0" w:right="1134"/>
        <w:jc w:val="center"/>
        <w:rPr>
          <w:rStyle w:val="default"/>
          <w:rFonts w:cs="FrankRuehl" w:hint="cs"/>
          <w:b/>
          <w:bCs/>
          <w:rtl/>
        </w:rPr>
      </w:pPr>
      <w:r>
        <w:rPr>
          <w:rStyle w:val="default"/>
          <w:rFonts w:cs="FrankRuehl" w:hint="cs"/>
          <w:b/>
          <w:bCs/>
          <w:rtl/>
        </w:rPr>
        <w:t>תוספת</w:t>
      </w:r>
    </w:p>
    <w:p w:rsidR="00ED0CFF" w:rsidRPr="00CE6526" w:rsidRDefault="00ED0CFF" w:rsidP="00ED0CFF">
      <w:pPr>
        <w:pStyle w:val="P00"/>
        <w:spacing w:before="72"/>
        <w:ind w:left="0" w:right="1134"/>
        <w:rPr>
          <w:rStyle w:val="default"/>
          <w:rFonts w:ascii="Arial" w:hAnsi="Arial" w:cs="David" w:hint="cs"/>
          <w:sz w:val="22"/>
          <w:szCs w:val="22"/>
          <w:rtl/>
        </w:rPr>
      </w:pPr>
      <w:r w:rsidRPr="00CE6526">
        <w:rPr>
          <w:rStyle w:val="default"/>
          <w:rFonts w:ascii="Arial" w:hAnsi="Arial" w:cs="David" w:hint="cs"/>
          <w:sz w:val="22"/>
          <w:szCs w:val="22"/>
          <w:rtl/>
        </w:rPr>
        <w:t>טופס 1</w:t>
      </w:r>
    </w:p>
    <w:p w:rsidR="00ED0CFF" w:rsidRPr="00CE6526" w:rsidRDefault="00ED0CFF" w:rsidP="00ED0CFF">
      <w:pPr>
        <w:pStyle w:val="P00"/>
        <w:spacing w:before="72"/>
        <w:ind w:left="0" w:right="1134"/>
        <w:rPr>
          <w:rStyle w:val="default"/>
          <w:rFonts w:cs="FrankRuehl" w:hint="cs"/>
          <w:sz w:val="24"/>
          <w:szCs w:val="24"/>
          <w:rtl/>
        </w:rPr>
      </w:pPr>
      <w:r w:rsidRPr="00CE6526">
        <w:rPr>
          <w:rStyle w:val="default"/>
          <w:rFonts w:cs="FrankRuehl" w:hint="cs"/>
          <w:sz w:val="24"/>
          <w:szCs w:val="24"/>
          <w:rtl/>
        </w:rPr>
        <w:t>(תקנה 3(א))</w:t>
      </w:r>
    </w:p>
    <w:p w:rsidR="00ED0CFF" w:rsidRDefault="00ED0CFF" w:rsidP="00ED0CFF">
      <w:pPr>
        <w:pStyle w:val="P00"/>
        <w:spacing w:before="72"/>
        <w:ind w:left="0" w:right="1134"/>
        <w:jc w:val="left"/>
        <w:rPr>
          <w:rStyle w:val="default"/>
          <w:rFonts w:cs="FrankRuehl" w:hint="cs"/>
          <w:b/>
          <w:bCs/>
          <w:sz w:val="22"/>
          <w:szCs w:val="22"/>
          <w:rtl/>
        </w:rPr>
      </w:pPr>
      <w:r>
        <w:rPr>
          <w:rStyle w:val="default"/>
          <w:rFonts w:cs="FrankRuehl" w:hint="cs"/>
          <w:sz w:val="24"/>
          <w:szCs w:val="24"/>
          <w:rtl/>
        </w:rPr>
        <w:t>[</w:t>
      </w:r>
      <w:hyperlink r:id="rId7" w:history="1">
        <w:r w:rsidRPr="00CE5EC5">
          <w:rPr>
            <w:rStyle w:val="Hyperlink"/>
            <w:rFonts w:hint="cs"/>
            <w:sz w:val="24"/>
            <w:szCs w:val="24"/>
            <w:rtl/>
          </w:rPr>
          <w:t xml:space="preserve">ערר לפי פרק ז' לחוק המדיניות הכלכלית לשנת הכספים 2004 (תיקוני חקיקה), התשס"ד-2004 (להלן </w:t>
        </w:r>
        <w:r w:rsidRPr="00CE5EC5">
          <w:rPr>
            <w:rStyle w:val="Hyperlink"/>
            <w:sz w:val="24"/>
            <w:szCs w:val="24"/>
            <w:rtl/>
          </w:rPr>
          <w:t>–</w:t>
        </w:r>
        <w:r w:rsidRPr="00CE5EC5">
          <w:rPr>
            <w:rStyle w:val="Hyperlink"/>
            <w:rFonts w:hint="cs"/>
            <w:sz w:val="24"/>
            <w:szCs w:val="24"/>
            <w:rtl/>
          </w:rPr>
          <w:t xml:space="preserve"> החוק)</w:t>
        </w:r>
      </w:hyperlink>
      <w:r>
        <w:rPr>
          <w:rStyle w:val="default"/>
          <w:rFonts w:cs="FrankRuehl" w:hint="cs"/>
          <w:sz w:val="24"/>
          <w:szCs w:val="24"/>
          <w:rtl/>
        </w:rPr>
        <w:t>]</w:t>
      </w:r>
    </w:p>
    <w:p w:rsidR="00ED0CFF" w:rsidRDefault="00ED0CFF" w:rsidP="00ED0CFF">
      <w:pPr>
        <w:pStyle w:val="P00"/>
        <w:spacing w:before="72"/>
        <w:ind w:left="0" w:right="1134"/>
        <w:rPr>
          <w:rStyle w:val="default"/>
          <w:rFonts w:ascii="Arial" w:hAnsi="Arial" w:cs="David" w:hint="cs"/>
          <w:sz w:val="24"/>
          <w:szCs w:val="24"/>
          <w:rtl/>
        </w:rPr>
      </w:pPr>
    </w:p>
    <w:p w:rsidR="00ED0CFF" w:rsidRDefault="00ED0CFF" w:rsidP="00ED0CFF">
      <w:pPr>
        <w:pStyle w:val="P00"/>
        <w:spacing w:before="72"/>
        <w:ind w:left="0" w:right="1134"/>
        <w:rPr>
          <w:rStyle w:val="default"/>
          <w:rFonts w:ascii="Arial" w:hAnsi="Arial" w:cs="David" w:hint="cs"/>
          <w:sz w:val="22"/>
          <w:szCs w:val="22"/>
          <w:rtl/>
        </w:rPr>
      </w:pPr>
    </w:p>
    <w:p w:rsidR="00ED0CFF" w:rsidRPr="00811ABF" w:rsidRDefault="00ED0CFF" w:rsidP="00ED0CFF">
      <w:pPr>
        <w:pStyle w:val="P00"/>
        <w:spacing w:before="72"/>
        <w:ind w:left="0" w:right="1134"/>
        <w:rPr>
          <w:rStyle w:val="default"/>
          <w:rFonts w:ascii="Arial" w:hAnsi="Arial" w:cs="David" w:hint="cs"/>
          <w:sz w:val="22"/>
          <w:szCs w:val="22"/>
          <w:rtl/>
        </w:rPr>
      </w:pPr>
      <w:r w:rsidRPr="00811ABF">
        <w:rPr>
          <w:rStyle w:val="default"/>
          <w:rFonts w:ascii="Arial" w:hAnsi="Arial" w:cs="David" w:hint="cs"/>
          <w:sz w:val="22"/>
          <w:szCs w:val="22"/>
          <w:rtl/>
        </w:rPr>
        <w:t>טופס 2</w:t>
      </w:r>
    </w:p>
    <w:p w:rsidR="00ED0CFF" w:rsidRPr="00811ABF" w:rsidRDefault="00ED0CFF" w:rsidP="00ED0CFF">
      <w:pPr>
        <w:pStyle w:val="P00"/>
        <w:spacing w:before="72"/>
        <w:ind w:left="0" w:right="1134"/>
        <w:rPr>
          <w:rStyle w:val="default"/>
          <w:rFonts w:cs="FrankRuehl" w:hint="cs"/>
          <w:sz w:val="24"/>
          <w:szCs w:val="24"/>
          <w:rtl/>
        </w:rPr>
      </w:pPr>
      <w:r w:rsidRPr="00811ABF">
        <w:rPr>
          <w:rStyle w:val="default"/>
          <w:rFonts w:cs="FrankRuehl" w:hint="cs"/>
          <w:sz w:val="24"/>
          <w:szCs w:val="24"/>
          <w:rtl/>
        </w:rPr>
        <w:t>(תקנה 4(א))</w:t>
      </w:r>
    </w:p>
    <w:p w:rsidR="00ED0CFF" w:rsidRPr="00811ABF" w:rsidRDefault="00ED0CFF" w:rsidP="00ED0CFF">
      <w:pPr>
        <w:pStyle w:val="P00"/>
        <w:spacing w:before="72"/>
        <w:ind w:left="0" w:right="1134"/>
        <w:jc w:val="left"/>
        <w:rPr>
          <w:rStyle w:val="default"/>
          <w:rFonts w:cs="FrankRuehl" w:hint="cs"/>
          <w:sz w:val="24"/>
          <w:szCs w:val="24"/>
          <w:rtl/>
        </w:rPr>
      </w:pPr>
      <w:r w:rsidRPr="00811ABF">
        <w:rPr>
          <w:rStyle w:val="default"/>
          <w:rFonts w:cs="FrankRuehl" w:hint="cs"/>
          <w:sz w:val="24"/>
          <w:szCs w:val="24"/>
          <w:rtl/>
        </w:rPr>
        <w:t>[</w:t>
      </w:r>
      <w:hyperlink r:id="rId8" w:history="1">
        <w:r w:rsidRPr="00B6480F">
          <w:rPr>
            <w:rStyle w:val="Hyperlink"/>
            <w:rFonts w:hint="cs"/>
            <w:sz w:val="24"/>
            <w:szCs w:val="24"/>
            <w:rtl/>
          </w:rPr>
          <w:t>כתב תשובה לערר לפי פרק ז' לחוק המדיניות הכלכלית לשנת הכספים 2004 (תיקוני חקיקה), התשס"ד-2004</w:t>
        </w:r>
      </w:hyperlink>
      <w:r w:rsidRPr="00811ABF">
        <w:rPr>
          <w:rStyle w:val="default"/>
          <w:rFonts w:cs="FrankRuehl" w:hint="cs"/>
          <w:sz w:val="24"/>
          <w:szCs w:val="24"/>
          <w:rtl/>
        </w:rPr>
        <w:t>]</w:t>
      </w:r>
    </w:p>
    <w:p w:rsidR="00ED0CFF" w:rsidRDefault="00ED0CFF" w:rsidP="00ED0CFF">
      <w:pPr>
        <w:pStyle w:val="P00"/>
        <w:spacing w:before="72"/>
        <w:ind w:left="0" w:right="1134"/>
        <w:rPr>
          <w:rStyle w:val="default"/>
          <w:rFonts w:ascii="Arial" w:hAnsi="Arial" w:cs="David" w:hint="cs"/>
          <w:sz w:val="24"/>
          <w:szCs w:val="24"/>
          <w:rtl/>
        </w:rPr>
      </w:pPr>
    </w:p>
    <w:p w:rsidR="00D83E25" w:rsidRDefault="00D83E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ED0CFF" w:rsidRPr="00811ABF" w:rsidRDefault="00ED0CFF" w:rsidP="00ED0CFF">
      <w:pPr>
        <w:pStyle w:val="P00"/>
        <w:spacing w:before="72"/>
        <w:ind w:left="0" w:right="1134"/>
        <w:rPr>
          <w:rStyle w:val="default"/>
          <w:rFonts w:ascii="Arial" w:hAnsi="Arial" w:cs="David" w:hint="cs"/>
          <w:sz w:val="22"/>
          <w:szCs w:val="22"/>
          <w:rtl/>
        </w:rPr>
      </w:pPr>
      <w:r w:rsidRPr="00811ABF">
        <w:rPr>
          <w:rStyle w:val="default"/>
          <w:rFonts w:ascii="Arial" w:hAnsi="Arial" w:cs="David" w:hint="cs"/>
          <w:sz w:val="22"/>
          <w:szCs w:val="22"/>
          <w:rtl/>
        </w:rPr>
        <w:t xml:space="preserve">טופס </w:t>
      </w:r>
      <w:r>
        <w:rPr>
          <w:rStyle w:val="default"/>
          <w:rFonts w:ascii="Arial" w:hAnsi="Arial" w:cs="David" w:hint="cs"/>
          <w:sz w:val="22"/>
          <w:szCs w:val="22"/>
          <w:rtl/>
        </w:rPr>
        <w:t>3</w:t>
      </w:r>
    </w:p>
    <w:p w:rsidR="00ED0CFF" w:rsidRPr="00811ABF" w:rsidRDefault="00ED0CFF" w:rsidP="00ED0CFF">
      <w:pPr>
        <w:pStyle w:val="P00"/>
        <w:spacing w:before="72"/>
        <w:ind w:left="0" w:right="1134"/>
        <w:rPr>
          <w:rStyle w:val="default"/>
          <w:rFonts w:cs="FrankRuehl" w:hint="cs"/>
          <w:sz w:val="24"/>
          <w:szCs w:val="24"/>
          <w:rtl/>
        </w:rPr>
      </w:pPr>
      <w:r w:rsidRPr="00811ABF">
        <w:rPr>
          <w:rStyle w:val="default"/>
          <w:rFonts w:cs="FrankRuehl" w:hint="cs"/>
          <w:sz w:val="24"/>
          <w:szCs w:val="24"/>
          <w:rtl/>
        </w:rPr>
        <w:t xml:space="preserve">(תקנה </w:t>
      </w:r>
      <w:r>
        <w:rPr>
          <w:rStyle w:val="default"/>
          <w:rFonts w:cs="FrankRuehl" w:hint="cs"/>
          <w:sz w:val="24"/>
          <w:szCs w:val="24"/>
          <w:rtl/>
        </w:rPr>
        <w:t>5</w:t>
      </w:r>
      <w:r w:rsidRPr="00811ABF">
        <w:rPr>
          <w:rStyle w:val="default"/>
          <w:rFonts w:cs="FrankRuehl" w:hint="cs"/>
          <w:sz w:val="24"/>
          <w:szCs w:val="24"/>
          <w:rtl/>
        </w:rPr>
        <w:t>)</w:t>
      </w:r>
    </w:p>
    <w:p w:rsidR="00ED0CFF" w:rsidRPr="00811ABF" w:rsidRDefault="00ED0CFF" w:rsidP="00ED0CFF">
      <w:pPr>
        <w:pStyle w:val="P00"/>
        <w:spacing w:before="72"/>
        <w:ind w:left="0" w:right="1134"/>
        <w:jc w:val="left"/>
        <w:rPr>
          <w:rStyle w:val="default"/>
          <w:rFonts w:cs="FrankRuehl" w:hint="cs"/>
          <w:sz w:val="24"/>
          <w:szCs w:val="24"/>
          <w:rtl/>
        </w:rPr>
      </w:pPr>
      <w:r w:rsidRPr="00811ABF">
        <w:rPr>
          <w:rStyle w:val="default"/>
          <w:rFonts w:cs="FrankRuehl" w:hint="cs"/>
          <w:sz w:val="24"/>
          <w:szCs w:val="24"/>
          <w:rtl/>
        </w:rPr>
        <w:t>[</w:t>
      </w:r>
      <w:hyperlink r:id="rId9" w:history="1">
        <w:r w:rsidRPr="00B6480F">
          <w:rPr>
            <w:rStyle w:val="Hyperlink"/>
            <w:rFonts w:hint="cs"/>
            <w:sz w:val="24"/>
            <w:szCs w:val="24"/>
            <w:rtl/>
          </w:rPr>
          <w:t>חוות דעת מומחה רפואי</w:t>
        </w:r>
      </w:hyperlink>
      <w:r w:rsidRPr="00811ABF">
        <w:rPr>
          <w:rStyle w:val="default"/>
          <w:rFonts w:cs="FrankRuehl" w:hint="cs"/>
          <w:sz w:val="24"/>
          <w:szCs w:val="24"/>
          <w:rtl/>
        </w:rPr>
        <w:t>]</w:t>
      </w:r>
    </w:p>
    <w:p w:rsidR="00D83E25" w:rsidRDefault="00D83E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83E25" w:rsidRDefault="00D83E25">
      <w:pPr>
        <w:pStyle w:val="P00"/>
        <w:spacing w:before="72"/>
        <w:ind w:left="0" w:right="1134"/>
        <w:rPr>
          <w:rStyle w:val="default"/>
          <w:rFonts w:ascii="Arial" w:hAnsi="Arial" w:cs="David" w:hint="cs"/>
          <w:sz w:val="24"/>
          <w:szCs w:val="24"/>
          <w:rtl/>
        </w:rPr>
      </w:pPr>
      <w:r>
        <w:rPr>
          <w:rStyle w:val="default"/>
          <w:rFonts w:ascii="Arial" w:hAnsi="Arial" w:cs="David" w:hint="cs"/>
          <w:sz w:val="24"/>
          <w:szCs w:val="24"/>
          <w:rtl/>
        </w:rPr>
        <w:t>טופס 4</w:t>
      </w:r>
    </w:p>
    <w:p w:rsidR="00D83E25" w:rsidRDefault="00D83E25">
      <w:pPr>
        <w:pStyle w:val="P00"/>
        <w:spacing w:before="72"/>
        <w:ind w:left="0" w:right="1134"/>
        <w:rPr>
          <w:rStyle w:val="default"/>
          <w:rFonts w:cs="FrankRuehl" w:hint="cs"/>
          <w:sz w:val="24"/>
          <w:szCs w:val="24"/>
          <w:rtl/>
        </w:rPr>
      </w:pPr>
      <w:r>
        <w:rPr>
          <w:rStyle w:val="default"/>
          <w:rFonts w:cs="FrankRuehl" w:hint="cs"/>
          <w:sz w:val="24"/>
          <w:szCs w:val="24"/>
          <w:rtl/>
        </w:rPr>
        <w:t>(תקנה 6(ב))</w:t>
      </w:r>
    </w:p>
    <w:p w:rsidR="00D83E25" w:rsidRDefault="00D83E25">
      <w:pPr>
        <w:pStyle w:val="P00"/>
        <w:tabs>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לפני ועדת ערר ב</w:t>
      </w:r>
      <w:r>
        <w:rPr>
          <w:rStyle w:val="default"/>
          <w:rFonts w:cs="FrankRuehl"/>
          <w:rtl/>
        </w:rPr>
        <w:fldChar w:fldCharType="begin">
          <w:ffData>
            <w:name w:val="טקסט2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Pr>
          <w:rStyle w:val="default"/>
          <w:rFonts w:cs="FrankRuehl"/>
          <w:rtl/>
        </w:rPr>
        <w:fldChar w:fldCharType="end"/>
      </w:r>
      <w:r>
        <w:rPr>
          <w:rStyle w:val="default"/>
          <w:rFonts w:cs="FrankRuehl" w:hint="cs"/>
          <w:rtl/>
        </w:rPr>
        <w:tab/>
        <w:t xml:space="preserve">ערר מס' </w:t>
      </w:r>
      <w:r>
        <w:rPr>
          <w:rStyle w:val="default"/>
          <w:rFonts w:cs="FrankRuehl"/>
          <w:rtl/>
        </w:rPr>
        <w:fldChar w:fldCharType="begin">
          <w:ffData>
            <w:name w:val="טקסט2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Pr>
          <w:rStyle w:val="default"/>
          <w:rFonts w:cs="FrankRuehl"/>
          <w:rtl/>
        </w:rPr>
        <w:fldChar w:fldCharType="end"/>
      </w:r>
    </w:p>
    <w:p w:rsidR="00D83E25" w:rsidRDefault="00D83E25">
      <w:pPr>
        <w:pStyle w:val="P00"/>
        <w:spacing w:before="72"/>
        <w:ind w:left="0" w:right="1134"/>
        <w:jc w:val="center"/>
        <w:rPr>
          <w:rStyle w:val="default"/>
          <w:rFonts w:cs="FrankRuehl" w:hint="cs"/>
          <w:rtl/>
        </w:rPr>
      </w:pPr>
      <w:r>
        <w:rPr>
          <w:rStyle w:val="default"/>
          <w:rFonts w:cs="FrankRuehl" w:hint="cs"/>
          <w:rtl/>
        </w:rPr>
        <w:t>שבין</w:t>
      </w:r>
    </w:p>
    <w:p w:rsidR="00D83E25" w:rsidRDefault="00D83E25">
      <w:pPr>
        <w:pStyle w:val="P00"/>
        <w:spacing w:before="72"/>
        <w:ind w:left="0" w:right="1134"/>
        <w:jc w:val="center"/>
        <w:rPr>
          <w:rStyle w:val="default"/>
          <w:rFonts w:cs="FrankRuehl" w:hint="cs"/>
          <w:rtl/>
        </w:rPr>
      </w:pPr>
      <w:r>
        <w:rPr>
          <w:rStyle w:val="default"/>
          <w:rFonts w:cs="FrankRuehl"/>
          <w:rtl/>
        </w:rPr>
        <w:fldChar w:fldCharType="begin">
          <w:ffData>
            <w:name w:val="טקסט2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Pr>
          <w:rStyle w:val="default"/>
          <w:rFonts w:cs="FrankRuehl"/>
          <w:rtl/>
        </w:rPr>
        <w:fldChar w:fldCharType="end"/>
      </w:r>
    </w:p>
    <w:p w:rsidR="00D83E25" w:rsidRDefault="00D83E25">
      <w:pPr>
        <w:pStyle w:val="P00"/>
        <w:spacing w:before="72"/>
        <w:ind w:left="0" w:right="1134"/>
        <w:jc w:val="center"/>
        <w:rPr>
          <w:rStyle w:val="default"/>
          <w:rFonts w:cs="FrankRuehl" w:hint="cs"/>
          <w:rtl/>
        </w:rPr>
      </w:pPr>
      <w:r>
        <w:rPr>
          <w:rStyle w:val="default"/>
          <w:rFonts w:cs="FrankRuehl" w:hint="cs"/>
          <w:rtl/>
        </w:rPr>
        <w:t>נגד</w:t>
      </w:r>
    </w:p>
    <w:p w:rsidR="00D83E25" w:rsidRDefault="00D83E25">
      <w:pPr>
        <w:pStyle w:val="P00"/>
        <w:spacing w:before="72"/>
        <w:ind w:left="0" w:right="1134"/>
        <w:jc w:val="center"/>
        <w:rPr>
          <w:rStyle w:val="default"/>
          <w:rFonts w:cs="FrankRuehl" w:hint="cs"/>
          <w:rtl/>
        </w:rPr>
      </w:pPr>
      <w:r>
        <w:rPr>
          <w:rStyle w:val="default"/>
          <w:rFonts w:cs="FrankRuehl"/>
          <w:rtl/>
        </w:rPr>
        <w:fldChar w:fldCharType="begin">
          <w:ffData>
            <w:name w:val="טקסט2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Pr>
          <w:rStyle w:val="default"/>
          <w:rFonts w:cs="FrankRuehl"/>
          <w:rtl/>
        </w:rPr>
        <w:fldChar w:fldCharType="end"/>
      </w:r>
    </w:p>
    <w:p w:rsidR="00D83E25" w:rsidRDefault="00D83E2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הזמנה לדיון בערר</w:t>
      </w:r>
    </w:p>
    <w:p w:rsidR="00D83E25" w:rsidRDefault="00D83E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אל </w:t>
      </w:r>
      <w:r>
        <w:rPr>
          <w:rStyle w:val="default"/>
          <w:rFonts w:cs="FrankRuehl"/>
          <w:rtl/>
        </w:rPr>
        <w:fldChar w:fldCharType="begin">
          <w:ffData>
            <w:name w:val="טקסט47"/>
            <w:enabled/>
            <w:calcOnExit w:val="0"/>
            <w:textInput/>
          </w:ffData>
        </w:fldChar>
      </w:r>
      <w:bookmarkStart w:id="14" w:name="טקסט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Pr>
          <w:rStyle w:val="default"/>
          <w:rFonts w:cs="FrankRuehl"/>
          <w:rtl/>
        </w:rPr>
        <w:fldChar w:fldCharType="end"/>
      </w:r>
      <w:bookmarkEnd w:id="14"/>
    </w:p>
    <w:p w:rsidR="00D83E25" w:rsidRDefault="00D83E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הנך מוזמן להתייצב לדיון שיתקיים ביום </w:t>
      </w:r>
      <w:r>
        <w:rPr>
          <w:rStyle w:val="default"/>
          <w:rFonts w:cs="FrankRuehl"/>
          <w:rtl/>
        </w:rPr>
        <w:fldChar w:fldCharType="begin">
          <w:ffData>
            <w:name w:val="טקסט48"/>
            <w:enabled/>
            <w:calcOnExit w:val="0"/>
            <w:textInput/>
          </w:ffData>
        </w:fldChar>
      </w:r>
      <w:bookmarkStart w:id="15" w:name="טקסט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Pr>
          <w:rStyle w:val="default"/>
          <w:rFonts w:cs="FrankRuehl"/>
          <w:rtl/>
        </w:rPr>
        <w:fldChar w:fldCharType="end"/>
      </w:r>
      <w:bookmarkEnd w:id="15"/>
      <w:r>
        <w:rPr>
          <w:rStyle w:val="default"/>
          <w:rFonts w:cs="FrankRuehl" w:hint="cs"/>
          <w:rtl/>
        </w:rPr>
        <w:t xml:space="preserve"> בשעה </w:t>
      </w:r>
      <w:r>
        <w:rPr>
          <w:rStyle w:val="default"/>
          <w:rFonts w:cs="FrankRuehl"/>
          <w:rtl/>
        </w:rPr>
        <w:fldChar w:fldCharType="begin">
          <w:ffData>
            <w:name w:val="טקסט49"/>
            <w:enabled/>
            <w:calcOnExit w:val="0"/>
            <w:textInput/>
          </w:ffData>
        </w:fldChar>
      </w:r>
      <w:bookmarkStart w:id="16" w:name="טקסט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Pr>
          <w:rStyle w:val="default"/>
          <w:rFonts w:cs="FrankRuehl"/>
          <w:rtl/>
        </w:rPr>
        <w:fldChar w:fldCharType="end"/>
      </w:r>
      <w:bookmarkEnd w:id="16"/>
      <w:r>
        <w:rPr>
          <w:rStyle w:val="default"/>
          <w:rFonts w:cs="FrankRuehl" w:hint="cs"/>
          <w:rtl/>
        </w:rPr>
        <w:t xml:space="preserve"> בכתובת: </w:t>
      </w:r>
      <w:r>
        <w:rPr>
          <w:rStyle w:val="default"/>
          <w:rFonts w:cs="FrankRuehl"/>
          <w:rtl/>
        </w:rPr>
        <w:fldChar w:fldCharType="begin">
          <w:ffData>
            <w:name w:val="טקסט50"/>
            <w:enabled/>
            <w:calcOnExit w:val="0"/>
            <w:textInput/>
          </w:ffData>
        </w:fldChar>
      </w:r>
      <w:bookmarkStart w:id="17" w:name="טקסט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sidR="002E3188">
        <w:rPr>
          <w:rStyle w:val="default"/>
          <w:rFonts w:cs="FrankRuehl"/>
          <w:rtl/>
        </w:rPr>
        <w:t> </w:t>
      </w:r>
      <w:r>
        <w:rPr>
          <w:rStyle w:val="default"/>
          <w:rFonts w:cs="FrankRuehl"/>
          <w:rtl/>
        </w:rPr>
        <w:fldChar w:fldCharType="end"/>
      </w:r>
      <w:bookmarkEnd w:id="17"/>
    </w:p>
    <w:p w:rsidR="00D83E25" w:rsidRDefault="00D83E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אם לא תתייצב לדיון ביום ובשעה כאמור, תהא הוועדה רשאית להחליט בערר בהעדרך.</w:t>
      </w:r>
    </w:p>
    <w:p w:rsidR="00D83E25" w:rsidRDefault="00D83E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D83E25" w:rsidRDefault="00D83E25">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51"/>
            <w:enabled/>
            <w:calcOnExit w:val="0"/>
            <w:textInput>
              <w:default w:val="תאריך"/>
            </w:textInput>
          </w:ffData>
        </w:fldChar>
      </w:r>
      <w:bookmarkStart w:id="18" w:name="טקסט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2E3188">
        <w:rPr>
          <w:rStyle w:val="default"/>
          <w:rFonts w:cs="FrankRuehl"/>
          <w:rtl/>
        </w:rPr>
        <w:t>תאריך</w:t>
      </w:r>
      <w:r>
        <w:rPr>
          <w:rStyle w:val="default"/>
          <w:rFonts w:cs="FrankRuehl"/>
          <w:rtl/>
        </w:rPr>
        <w:fldChar w:fldCharType="end"/>
      </w:r>
      <w:bookmarkEnd w:id="18"/>
      <w:r>
        <w:rPr>
          <w:rStyle w:val="default"/>
          <w:rFonts w:cs="FrankRuehl" w:hint="cs"/>
          <w:rtl/>
        </w:rPr>
        <w:tab/>
        <w:t>_______________</w:t>
      </w:r>
      <w:r>
        <w:rPr>
          <w:rStyle w:val="default"/>
          <w:rFonts w:cs="FrankRuehl" w:hint="cs"/>
          <w:rtl/>
        </w:rPr>
        <w:tab/>
        <w:t>________________</w:t>
      </w:r>
    </w:p>
    <w:p w:rsidR="00D83E25" w:rsidRDefault="00D83E25">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r>
        <w:rPr>
          <w:rStyle w:val="default"/>
          <w:rFonts w:cs="FrankRuehl" w:hint="cs"/>
          <w:sz w:val="22"/>
          <w:szCs w:val="22"/>
          <w:rtl/>
        </w:rPr>
        <w:tab/>
        <w:t>חותמת</w:t>
      </w:r>
    </w:p>
    <w:p w:rsidR="00D83E25" w:rsidRDefault="00D83E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ED0CFF" w:rsidRPr="00811ABF" w:rsidRDefault="00ED0CFF" w:rsidP="00ED0CFF">
      <w:pPr>
        <w:pStyle w:val="P00"/>
        <w:spacing w:before="72"/>
        <w:ind w:left="0" w:right="1134"/>
        <w:rPr>
          <w:rStyle w:val="default"/>
          <w:rFonts w:ascii="Arial" w:hAnsi="Arial" w:cs="David" w:hint="cs"/>
          <w:sz w:val="22"/>
          <w:szCs w:val="22"/>
          <w:rtl/>
        </w:rPr>
      </w:pPr>
      <w:r w:rsidRPr="00811ABF">
        <w:rPr>
          <w:rStyle w:val="default"/>
          <w:rFonts w:ascii="Arial" w:hAnsi="Arial" w:cs="David" w:hint="cs"/>
          <w:sz w:val="22"/>
          <w:szCs w:val="22"/>
          <w:rtl/>
        </w:rPr>
        <w:t xml:space="preserve">טופס </w:t>
      </w:r>
      <w:r>
        <w:rPr>
          <w:rStyle w:val="default"/>
          <w:rFonts w:ascii="Arial" w:hAnsi="Arial" w:cs="David" w:hint="cs"/>
          <w:sz w:val="22"/>
          <w:szCs w:val="22"/>
          <w:rtl/>
        </w:rPr>
        <w:t>5</w:t>
      </w:r>
    </w:p>
    <w:p w:rsidR="00ED0CFF" w:rsidRPr="00811ABF" w:rsidRDefault="00ED0CFF" w:rsidP="00ED0CFF">
      <w:pPr>
        <w:pStyle w:val="P00"/>
        <w:spacing w:before="72"/>
        <w:ind w:left="0" w:right="1134"/>
        <w:rPr>
          <w:rStyle w:val="default"/>
          <w:rFonts w:cs="FrankRuehl" w:hint="cs"/>
          <w:sz w:val="24"/>
          <w:szCs w:val="24"/>
          <w:rtl/>
        </w:rPr>
      </w:pPr>
      <w:r w:rsidRPr="00811ABF">
        <w:rPr>
          <w:rStyle w:val="default"/>
          <w:rFonts w:cs="FrankRuehl" w:hint="cs"/>
          <w:sz w:val="24"/>
          <w:szCs w:val="24"/>
          <w:rtl/>
        </w:rPr>
        <w:t xml:space="preserve">(תקנה </w:t>
      </w:r>
      <w:r>
        <w:rPr>
          <w:rStyle w:val="default"/>
          <w:rFonts w:cs="FrankRuehl" w:hint="cs"/>
          <w:sz w:val="24"/>
          <w:szCs w:val="24"/>
          <w:rtl/>
        </w:rPr>
        <w:t>6(ג)</w:t>
      </w:r>
      <w:r w:rsidRPr="00811ABF">
        <w:rPr>
          <w:rStyle w:val="default"/>
          <w:rFonts w:cs="FrankRuehl" w:hint="cs"/>
          <w:sz w:val="24"/>
          <w:szCs w:val="24"/>
          <w:rtl/>
        </w:rPr>
        <w:t>)</w:t>
      </w:r>
    </w:p>
    <w:p w:rsidR="00ED0CFF" w:rsidRPr="00811ABF" w:rsidRDefault="00ED0CFF" w:rsidP="00ED0CFF">
      <w:pPr>
        <w:pStyle w:val="P00"/>
        <w:spacing w:before="72"/>
        <w:ind w:left="0" w:right="1134"/>
        <w:jc w:val="left"/>
        <w:rPr>
          <w:rStyle w:val="default"/>
          <w:rFonts w:cs="FrankRuehl" w:hint="cs"/>
          <w:sz w:val="24"/>
          <w:szCs w:val="24"/>
          <w:rtl/>
        </w:rPr>
      </w:pPr>
      <w:r w:rsidRPr="00811ABF">
        <w:rPr>
          <w:rStyle w:val="default"/>
          <w:rFonts w:cs="FrankRuehl" w:hint="cs"/>
          <w:sz w:val="24"/>
          <w:szCs w:val="24"/>
          <w:rtl/>
        </w:rPr>
        <w:t>[</w:t>
      </w:r>
      <w:hyperlink r:id="rId10" w:history="1">
        <w:r w:rsidRPr="00B6480F">
          <w:rPr>
            <w:rStyle w:val="Hyperlink"/>
            <w:rFonts w:hint="cs"/>
            <w:sz w:val="24"/>
            <w:szCs w:val="24"/>
            <w:rtl/>
          </w:rPr>
          <w:t>דרישה להגיש כתב תשובה והזמנה לדיון</w:t>
        </w:r>
      </w:hyperlink>
      <w:r w:rsidRPr="00811ABF">
        <w:rPr>
          <w:rStyle w:val="default"/>
          <w:rFonts w:cs="FrankRuehl" w:hint="cs"/>
          <w:sz w:val="24"/>
          <w:szCs w:val="24"/>
          <w:rtl/>
        </w:rPr>
        <w:t>]</w:t>
      </w:r>
    </w:p>
    <w:p w:rsidR="00D83E25" w:rsidRDefault="00D83E25">
      <w:pPr>
        <w:pStyle w:val="P00"/>
        <w:spacing w:before="72"/>
        <w:ind w:left="0" w:right="1134"/>
        <w:rPr>
          <w:rFonts w:hint="cs"/>
          <w:rtl/>
        </w:rPr>
      </w:pPr>
    </w:p>
    <w:p w:rsidR="00D83E25" w:rsidRDefault="00D83E25">
      <w:pPr>
        <w:pStyle w:val="P00"/>
        <w:spacing w:before="72"/>
        <w:ind w:left="0" w:right="1134"/>
        <w:rPr>
          <w:rFonts w:hint="cs"/>
          <w:rtl/>
        </w:rPr>
      </w:pPr>
    </w:p>
    <w:p w:rsidR="00D83E25" w:rsidRDefault="00D83E25">
      <w:pPr>
        <w:pStyle w:val="P00"/>
        <w:spacing w:before="72"/>
        <w:ind w:left="0" w:right="1134"/>
        <w:rPr>
          <w:rFonts w:hint="cs"/>
          <w:rtl/>
        </w:rPr>
      </w:pPr>
      <w:r>
        <w:rPr>
          <w:rFonts w:hint="cs"/>
          <w:rtl/>
        </w:rPr>
        <w:t>כ"ז באייר התשס"ה (5 ביוני 2005)</w:t>
      </w:r>
    </w:p>
    <w:p w:rsidR="00D83E25" w:rsidRDefault="00D83E25">
      <w:pPr>
        <w:pStyle w:val="sig-0"/>
        <w:tabs>
          <w:tab w:val="clear" w:pos="4820"/>
          <w:tab w:val="center" w:pos="5670"/>
        </w:tabs>
        <w:ind w:left="0" w:right="1134"/>
        <w:rPr>
          <w:rtl/>
        </w:rPr>
      </w:pPr>
      <w:r>
        <w:rPr>
          <w:rFonts w:hint="cs"/>
          <w:rtl/>
        </w:rPr>
        <w:tab/>
        <w:t>אהוד אולמרט</w:t>
      </w:r>
    </w:p>
    <w:p w:rsidR="00D83E25" w:rsidRDefault="00D83E25">
      <w:pPr>
        <w:pStyle w:val="sig-1"/>
        <w:widowControl/>
        <w:tabs>
          <w:tab w:val="clear" w:pos="851"/>
          <w:tab w:val="clear" w:pos="2835"/>
          <w:tab w:val="clear" w:pos="4820"/>
          <w:tab w:val="center" w:pos="5670"/>
        </w:tabs>
        <w:ind w:left="0" w:right="1134"/>
        <w:rPr>
          <w:rtl/>
        </w:rPr>
      </w:pPr>
      <w:r>
        <w:rPr>
          <w:rFonts w:hint="cs"/>
          <w:rtl/>
        </w:rPr>
        <w:tab/>
        <w:t>שר התעשיה המסחר והתעסוקה</w:t>
      </w:r>
    </w:p>
    <w:p w:rsidR="002E3188" w:rsidRDefault="002E3188">
      <w:pPr>
        <w:pStyle w:val="sig-1"/>
        <w:widowControl/>
        <w:ind w:left="0" w:right="1134"/>
        <w:rPr>
          <w:rtl/>
        </w:rPr>
      </w:pPr>
    </w:p>
    <w:p w:rsidR="002E3188" w:rsidRDefault="002E3188">
      <w:pPr>
        <w:pStyle w:val="sig-1"/>
        <w:widowControl/>
        <w:ind w:left="0" w:right="1134"/>
        <w:rPr>
          <w:rtl/>
        </w:rPr>
      </w:pPr>
    </w:p>
    <w:p w:rsidR="002E3188" w:rsidRDefault="002E3188" w:rsidP="002E3188">
      <w:pPr>
        <w:pStyle w:val="sig-1"/>
        <w:widowControl/>
        <w:ind w:left="0" w:right="1134"/>
        <w:jc w:val="center"/>
        <w:rPr>
          <w:rFonts w:cs="David"/>
          <w:color w:val="0000FF"/>
          <w:szCs w:val="24"/>
          <w:u w:val="single"/>
          <w:rtl/>
        </w:rPr>
      </w:pPr>
      <w:hyperlink r:id="rId11" w:history="1">
        <w:r>
          <w:rPr>
            <w:rFonts w:cs="David"/>
            <w:color w:val="0000FF"/>
            <w:szCs w:val="24"/>
            <w:u w:val="single"/>
            <w:rtl/>
          </w:rPr>
          <w:t>הודעה למנויים על עריכה ושינויים במסמכי פסיקה, חקיקה ועוד באתר נבו - הקש כאן</w:t>
        </w:r>
      </w:hyperlink>
    </w:p>
    <w:p w:rsidR="00D83E25" w:rsidRPr="002E3188" w:rsidRDefault="00D83E25" w:rsidP="002E3188">
      <w:pPr>
        <w:pStyle w:val="sig-1"/>
        <w:widowControl/>
        <w:ind w:left="0" w:right="1134"/>
        <w:jc w:val="center"/>
        <w:rPr>
          <w:rFonts w:cs="David"/>
          <w:color w:val="0000FF"/>
          <w:szCs w:val="24"/>
          <w:u w:val="single"/>
          <w:rtl/>
        </w:rPr>
      </w:pPr>
    </w:p>
    <w:sectPr w:rsidR="00D83E25" w:rsidRPr="002E3188">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7E42" w:rsidRDefault="00887E42">
      <w:r>
        <w:separator/>
      </w:r>
    </w:p>
  </w:endnote>
  <w:endnote w:type="continuationSeparator" w:id="0">
    <w:p w:rsidR="00887E42" w:rsidRDefault="0088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3E25" w:rsidRDefault="00D83E2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83E25" w:rsidRDefault="00D83E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83E25" w:rsidRDefault="00D83E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3188">
      <w:rPr>
        <w:rFonts w:cs="TopType Jerushalmi"/>
        <w:noProof/>
        <w:color w:val="000000"/>
        <w:sz w:val="14"/>
        <w:szCs w:val="14"/>
      </w:rPr>
      <w:t>Z:\00000000000000000000000=2014------------------------\05-May\2014-05-28\LawsForHofit\01\999_456.doc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3E25" w:rsidRDefault="00D83E2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E3188">
      <w:rPr>
        <w:rFonts w:hAnsi="FrankRuehl"/>
        <w:noProof/>
        <w:sz w:val="24"/>
        <w:szCs w:val="24"/>
        <w:rtl/>
      </w:rPr>
      <w:t>5</w:t>
    </w:r>
    <w:r>
      <w:rPr>
        <w:rFonts w:hAnsi="FrankRuehl"/>
        <w:sz w:val="24"/>
        <w:szCs w:val="24"/>
        <w:rtl/>
      </w:rPr>
      <w:fldChar w:fldCharType="end"/>
    </w:r>
  </w:p>
  <w:p w:rsidR="00D83E25" w:rsidRDefault="00D83E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83E25" w:rsidRDefault="00D83E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3188">
      <w:rPr>
        <w:rFonts w:cs="TopType Jerushalmi"/>
        <w:noProof/>
        <w:color w:val="000000"/>
        <w:sz w:val="14"/>
        <w:szCs w:val="14"/>
      </w:rPr>
      <w:t>Z:\00000000000000000000000=2014------------------------\05-May\2014-05-28\LawsForHofit\01\999_456.doc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7E42" w:rsidRDefault="00887E42">
      <w:r>
        <w:separator/>
      </w:r>
    </w:p>
  </w:footnote>
  <w:footnote w:type="continuationSeparator" w:id="0">
    <w:p w:rsidR="00887E42" w:rsidRDefault="00887E42">
      <w:r>
        <w:continuationSeparator/>
      </w:r>
    </w:p>
  </w:footnote>
  <w:footnote w:id="1">
    <w:p w:rsidR="00D83E25" w:rsidRDefault="00D83E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תשס"ה מס' 6401</w:t>
        </w:r>
      </w:hyperlink>
      <w:r>
        <w:rPr>
          <w:rFonts w:hint="cs"/>
          <w:sz w:val="20"/>
          <w:rtl/>
        </w:rPr>
        <w:t xml:space="preserve"> מיום 20.7.2005 עמ' 807.</w:t>
      </w:r>
    </w:p>
    <w:p w:rsidR="00D83E25" w:rsidRDefault="00D83E25">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3E25" w:rsidRDefault="00D83E2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D83E25" w:rsidRDefault="00D83E2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83E25" w:rsidRDefault="00D83E2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3E25" w:rsidRDefault="00D83E2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המדיניות הכלכלית לשנת הכספים 2004 (תיקוני חקיקה) (שילוב מקבלי גמלאות בעבודה) (הוראת שעה) (סדרי דין בוועדת ערר)</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rsidR="00D83E25" w:rsidRDefault="00D83E2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83E25" w:rsidRDefault="00D83E2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3BB"/>
    <w:multiLevelType w:val="hybridMultilevel"/>
    <w:tmpl w:val="6DFCF528"/>
    <w:lvl w:ilvl="0" w:tplc="040D0005">
      <w:start w:val="1"/>
      <w:numFmt w:val="bullet"/>
      <w:lvlText w:val=""/>
      <w:lvlJc w:val="left"/>
      <w:pPr>
        <w:tabs>
          <w:tab w:val="num" w:pos="720"/>
        </w:tabs>
        <w:ind w:left="720" w:hanging="360"/>
      </w:pPr>
      <w:rPr>
        <w:rFonts w:ascii="Wingdings" w:hAnsi="Wingdings"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DE27B4"/>
    <w:multiLevelType w:val="hybridMultilevel"/>
    <w:tmpl w:val="6DFCF528"/>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num w:numId="1" w16cid:durableId="1545558531">
    <w:abstractNumId w:val="0"/>
  </w:num>
  <w:num w:numId="2" w16cid:durableId="177459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3E25"/>
    <w:rsid w:val="002E3188"/>
    <w:rsid w:val="002F5692"/>
    <w:rsid w:val="00354A44"/>
    <w:rsid w:val="006511A7"/>
    <w:rsid w:val="007874BC"/>
    <w:rsid w:val="00887E42"/>
    <w:rsid w:val="00B6480F"/>
    <w:rsid w:val="00CE5EC5"/>
    <w:rsid w:val="00D83E25"/>
    <w:rsid w:val="00ED0CFF"/>
    <w:rsid w:val="00FE51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8A0FD64-D81A-4B6E-B5A1-C5C97081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506;&#1489;&#1493;&#1491;&#1492;/&#1514;&#1499;&#1504;&#1493;&#1503;%20&#1497;&#1506;&#1491;&#1497;&#1501;%20&#1514;&#1506;&#1505;&#1493;&#1511;&#1514;&#1497;/&#1499;&#1514;&#1489;%20&#1514;&#1513;&#1493;&#1489;&#1492;%20&#1500;&#1506;&#1512;&#1512;%20&#1500;&#1508;&#1497;%20&#1508;&#1512;&#1511;%20&#1494;'%20&#1500;&#1495;&#1493;&#1511;%20&#1492;&#1502;&#1491;&#1497;&#1504;&#1497;&#1493;&#1514;%20&#1492;&#1499;&#1500;&#1499;&#1500;&#1497;&#1514;%20&#1500;&#1513;&#1504;&#1514;%20&#1492;&#1499;&#1505;&#1508;&#1497;&#1501;%202004%20.DOC"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TFASIM/&#1496;&#1508;&#1505;&#1497;&#1501;%20&#1502;&#1513;&#1508;&#1496;&#1497;&#1497;&#1501;/&#1506;&#1489;&#1493;&#1491;&#1492;/&#1514;&#1499;&#1504;&#1493;&#1503;%20&#1497;&#1506;&#1491;&#1497;&#1501;%20&#1514;&#1506;&#1505;&#1493;&#1511;&#1514;&#1497;/&#1492;&#1490;&#1513;&#1514;%20&#1506;&#1512;&#1512;%20&#1513;&#1497;&#1500;&#1493;&#1489;%20&#1502;&#1511;&#1489;&#1500;%20&#1490;&#1502;&#1500;&#1488;&#1493;&#1514;%20&#1489;&#1506;&#1489;&#1493;&#1491;&#1492;.DOC"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TFASIM/&#1496;&#1508;&#1505;&#1497;&#1501;%20&#1502;&#1513;&#1508;&#1496;&#1497;&#1497;&#1501;/&#1506;&#1489;&#1493;&#1491;&#1492;/&#1514;&#1499;&#1504;&#1493;&#1503;%20&#1497;&#1506;&#1491;&#1497;&#1501;%20&#1514;&#1506;&#1505;&#1493;&#1511;&#1514;&#1497;/&#1491;&#1512;&#1497;&#1513;&#1492;%20&#1500;&#1492;&#1490;&#1497;&#1513;%20&#1499;&#1514;&#1489;%20&#1514;&#1513;&#1493;&#1489;&#1492;%20&#1493;&#1492;&#1494;&#1502;&#1504;&#1492;%20&#1500;&#1491;&#1497;&#1493;&#1503;.DOC" TargetMode="External"/><Relationship Id="rId4" Type="http://schemas.openxmlformats.org/officeDocument/2006/relationships/webSettings" Target="webSettings.xml"/><Relationship Id="rId9" Type="http://schemas.openxmlformats.org/officeDocument/2006/relationships/hyperlink" Target="HTTP://WWW.NEVO.CO.IL/TFASIM/&#1496;&#1508;&#1505;&#1497;&#1501;%20&#1502;&#1513;&#1508;&#1496;&#1497;&#1497;&#1501;/&#1506;&#1489;&#1493;&#1491;&#1492;/&#1514;&#1499;&#1504;&#1493;&#1503;%20&#1497;&#1506;&#1491;&#1497;&#1501;%20&#1514;&#1506;&#1505;&#1493;&#1511;&#1514;&#1497;/&#1495;&#1493;&#1493;&#1514;%20&#1491;&#1506;&#1514;%20&#1502;&#1493;&#1502;&#1495;&#1492;%20&#1512;&#1508;&#1493;&#1488;&#1497;.DOC"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1390</Words>
  <Characters>7925</Characters>
  <Application>Microsoft Office Word</Application>
  <DocSecurity>0</DocSecurity>
  <Lines>66</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32</vt:lpstr>
      <vt:lpstr>פרק 32</vt:lpstr>
    </vt:vector>
  </TitlesOfParts>
  <Company/>
  <LinksUpToDate>false</LinksUpToDate>
  <CharactersWithSpaces>9297</CharactersWithSpaces>
  <SharedDoc>false</SharedDoc>
  <HLinks>
    <vt:vector size="120" baseType="variant">
      <vt:variant>
        <vt:i4>393283</vt:i4>
      </vt:variant>
      <vt:variant>
        <vt:i4>123</vt:i4>
      </vt:variant>
      <vt:variant>
        <vt:i4>0</vt:i4>
      </vt:variant>
      <vt:variant>
        <vt:i4>5</vt:i4>
      </vt:variant>
      <vt:variant>
        <vt:lpwstr>http://www.nevo.co.il/advertisements/nevo-100.doc</vt:lpwstr>
      </vt:variant>
      <vt:variant>
        <vt:lpwstr/>
      </vt:variant>
      <vt:variant>
        <vt:i4>1967526</vt:i4>
      </vt:variant>
      <vt:variant>
        <vt:i4>120</vt:i4>
      </vt:variant>
      <vt:variant>
        <vt:i4>0</vt:i4>
      </vt:variant>
      <vt:variant>
        <vt:i4>5</vt:i4>
      </vt:variant>
      <vt:variant>
        <vt:lpwstr>http://www.nevo.co.il/TFASIM/טפסים משפטיים/עבודה/תכנון יעדים תעסוקתי/דרישה להגיש כתב תשובה והזמנה לדיון.DOC</vt:lpwstr>
      </vt:variant>
      <vt:variant>
        <vt:lpwstr/>
      </vt:variant>
      <vt:variant>
        <vt:i4>99942474</vt:i4>
      </vt:variant>
      <vt:variant>
        <vt:i4>90</vt:i4>
      </vt:variant>
      <vt:variant>
        <vt:i4>0</vt:i4>
      </vt:variant>
      <vt:variant>
        <vt:i4>5</vt:i4>
      </vt:variant>
      <vt:variant>
        <vt:lpwstr>http://www.nevo.co.il/TFASIM/טפסים משפטיים/עבודה/תכנון יעדים תעסוקתי/חוות דעת מומחה רפואי.DOC</vt:lpwstr>
      </vt:variant>
      <vt:variant>
        <vt:lpwstr/>
      </vt:variant>
      <vt:variant>
        <vt:i4>6553697</vt:i4>
      </vt:variant>
      <vt:variant>
        <vt:i4>87</vt:i4>
      </vt:variant>
      <vt:variant>
        <vt:i4>0</vt:i4>
      </vt:variant>
      <vt:variant>
        <vt:i4>5</vt:i4>
      </vt:variant>
      <vt:variant>
        <vt:lpwstr>http://www.nevo.co.il/TFASIM/טפסים משפטיים/עבודה/תכנון יעדים תעסוקתי/כתב תשובה לערר לפי פרק ז' לחוק המדיניות הכלכלית לשנת הכספים 2004 .DOC</vt:lpwstr>
      </vt:variant>
      <vt:variant>
        <vt:lpwstr/>
      </vt:variant>
      <vt:variant>
        <vt:i4>94307735</vt:i4>
      </vt:variant>
      <vt:variant>
        <vt:i4>84</vt:i4>
      </vt:variant>
      <vt:variant>
        <vt:i4>0</vt:i4>
      </vt:variant>
      <vt:variant>
        <vt:i4>5</vt:i4>
      </vt:variant>
      <vt:variant>
        <vt:lpwstr>http://www.nevo.co.il/TFASIM/טפסים משפטיים/עבודה/תכנון יעדים תעסוקתי/הגשת ערר שילוב מקבל גמלאות בעבודה.DOC</vt:lpwstr>
      </vt:variant>
      <vt:variant>
        <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8323085</vt:i4>
      </vt:variant>
      <vt:variant>
        <vt:i4>0</vt:i4>
      </vt:variant>
      <vt:variant>
        <vt:i4>0</vt:i4>
      </vt:variant>
      <vt:variant>
        <vt:i4>5</vt:i4>
      </vt:variant>
      <vt:variant>
        <vt:lpwstr>http://www.nevo.co.il/Law_word/law06/tak-6401.pdf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תעסוקה</vt:lpwstr>
  </property>
  <property fmtid="{D5CDD505-2E9C-101B-9397-08002B2CF9AE}" pid="4" name="LAWNAME">
    <vt:lpwstr>תקנות המדיניות הכלכלית לשנת הכספים 2004 (תיקוני חקיקה) (שילוב מקבלי גמלאות בעבודה) (הוראת שעה) (סדרי דין בוועדת ערר), תשס"ה-200</vt:lpwstr>
  </property>
  <property fmtid="{D5CDD505-2E9C-101B-9397-08002B2CF9AE}" pid="5" name="LAWNUMBER">
    <vt:lpwstr>0456</vt:lpwstr>
  </property>
  <property fmtid="{D5CDD505-2E9C-101B-9397-08002B2CF9AE}" pid="6" name="TYPE">
    <vt:lpwstr>01</vt:lpwstr>
  </property>
  <property fmtid="{D5CDD505-2E9C-101B-9397-08002B2CF9AE}" pid="7" name="LINKK1">
    <vt:lpwstr>http://www.nevo.co.il/Law_word/law06/tak-6401.pdf;רשומות – תקנות כלליות#פורסמו ק"ת תשס"ה מס' 6401#מיום 20.7.2005#עמ' 807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המדיניות הכלכלית לשנת הכספים 2004 (תיקוני חקיקה)</vt:lpwstr>
  </property>
  <property fmtid="{D5CDD505-2E9C-101B-9397-08002B2CF9AE}" pid="23" name="MEKOR_SAIF1">
    <vt:lpwstr>58X</vt:lpwstr>
  </property>
  <property fmtid="{D5CDD505-2E9C-101B-9397-08002B2CF9AE}" pid="24" name="NOSE11">
    <vt:lpwstr>עבודה</vt:lpwstr>
  </property>
  <property fmtid="{D5CDD505-2E9C-101B-9397-08002B2CF9AE}" pid="25" name="NOSE21">
    <vt:lpwstr>שילוב מקבלי גמלה בע'</vt:lpwstr>
  </property>
  <property fmtid="{D5CDD505-2E9C-101B-9397-08002B2CF9AE}" pid="26" name="NOSE31">
    <vt:lpwstr>ועדת ערר</vt:lpwstr>
  </property>
  <property fmtid="{D5CDD505-2E9C-101B-9397-08002B2CF9AE}" pid="27" name="NOSE41">
    <vt:lpwstr>סדרי דין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