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45AF" w:rsidRDefault="006A45AF" w:rsidP="002E4627">
      <w:pPr>
        <w:pStyle w:val="big-header"/>
        <w:ind w:left="0" w:right="1134"/>
        <w:rPr>
          <w:rFonts w:cs="FrankRuehl"/>
          <w:sz w:val="32"/>
        </w:rPr>
      </w:pPr>
      <w:r>
        <w:rPr>
          <w:rFonts w:cs="FrankRuehl"/>
          <w:sz w:val="32"/>
          <w:rtl/>
        </w:rPr>
        <w:t>תקנות המהנדסים והאדריכלים (סדרי דין בדיון לפני ועדת אתיקה), תש"ס</w:t>
      </w:r>
      <w:r w:rsidR="002E4627">
        <w:rPr>
          <w:rFonts w:cs="FrankRuehl" w:hint="cs"/>
          <w:sz w:val="32"/>
          <w:rtl/>
        </w:rPr>
        <w:t>-</w:t>
      </w:r>
      <w:r>
        <w:rPr>
          <w:rFonts w:cs="FrankRuehl"/>
          <w:sz w:val="32"/>
          <w:rtl/>
        </w:rPr>
        <w:t>1999</w:t>
      </w:r>
    </w:p>
    <w:p w:rsidR="00E17FA5" w:rsidRPr="00E17FA5" w:rsidRDefault="00E17FA5" w:rsidP="00E17FA5">
      <w:pPr>
        <w:spacing w:line="320" w:lineRule="auto"/>
        <w:jc w:val="left"/>
        <w:rPr>
          <w:rFonts w:cs="FrankRuehl"/>
          <w:szCs w:val="26"/>
          <w:rtl/>
        </w:rPr>
      </w:pPr>
    </w:p>
    <w:p w:rsidR="00E17FA5" w:rsidRDefault="00E17FA5" w:rsidP="00E17FA5">
      <w:pPr>
        <w:spacing w:line="320" w:lineRule="auto"/>
        <w:jc w:val="left"/>
        <w:rPr>
          <w:rtl/>
        </w:rPr>
      </w:pPr>
    </w:p>
    <w:p w:rsidR="00E17FA5" w:rsidRDefault="00E17FA5" w:rsidP="00E17FA5">
      <w:pPr>
        <w:spacing w:line="320" w:lineRule="auto"/>
        <w:jc w:val="left"/>
        <w:rPr>
          <w:rFonts w:cs="FrankRuehl"/>
          <w:szCs w:val="26"/>
          <w:rtl/>
        </w:rPr>
      </w:pPr>
      <w:r w:rsidRPr="00E17FA5">
        <w:rPr>
          <w:rFonts w:cs="Miriam"/>
          <w:szCs w:val="22"/>
          <w:rtl/>
        </w:rPr>
        <w:t>משפט פרטי וכלכלה</w:t>
      </w:r>
      <w:r w:rsidRPr="00E17FA5">
        <w:rPr>
          <w:rFonts w:cs="FrankRuehl"/>
          <w:szCs w:val="26"/>
          <w:rtl/>
        </w:rPr>
        <w:t xml:space="preserve"> – הסדרת עיסוק – מהנדסים ואדריכלים</w:t>
      </w:r>
    </w:p>
    <w:p w:rsidR="00E17FA5" w:rsidRPr="00E17FA5" w:rsidRDefault="00E17FA5" w:rsidP="00E17FA5">
      <w:pPr>
        <w:spacing w:line="320" w:lineRule="auto"/>
        <w:jc w:val="left"/>
        <w:rPr>
          <w:rFonts w:cs="Miriam"/>
          <w:szCs w:val="22"/>
          <w:rtl/>
        </w:rPr>
      </w:pPr>
      <w:r w:rsidRPr="00E17FA5">
        <w:rPr>
          <w:rFonts w:cs="Miriam"/>
          <w:szCs w:val="22"/>
          <w:rtl/>
        </w:rPr>
        <w:t>רשויות ומשפט מנהלי</w:t>
      </w:r>
      <w:r w:rsidRPr="00E17FA5">
        <w:rPr>
          <w:rFonts w:cs="FrankRuehl"/>
          <w:szCs w:val="26"/>
          <w:rtl/>
        </w:rPr>
        <w:t xml:space="preserve"> – הסדרת עיסוק – מהנדסים ואדריכלים</w:t>
      </w:r>
    </w:p>
    <w:p w:rsidR="006A45AF" w:rsidRDefault="006A45A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2E4627">
              <w:rPr>
                <w:noProof/>
                <w:sz w:val="24"/>
                <w:rtl/>
              </w:rPr>
              <w:t>3</w:t>
            </w:r>
            <w:r>
              <w:rPr>
                <w:sz w:val="24"/>
                <w:rtl/>
              </w:rPr>
              <w:fldChar w:fldCharType="end"/>
            </w:r>
          </w:p>
        </w:tc>
        <w:tc>
          <w:tcPr>
            <w:tcW w:w="567" w:type="dxa"/>
          </w:tcPr>
          <w:p w:rsidR="006A45AF" w:rsidRDefault="006A45AF">
            <w:pPr>
              <w:spacing w:line="240" w:lineRule="auto"/>
              <w:rPr>
                <w:sz w:val="24"/>
              </w:rPr>
            </w:pPr>
            <w:hyperlink w:anchor="Seif0" w:tooltip="הגדרות" w:history="1">
              <w:r>
                <w:rPr>
                  <w:rStyle w:val="Hyperlink"/>
                </w:rPr>
                <w:t>Go</w:t>
              </w:r>
            </w:hyperlink>
          </w:p>
        </w:tc>
        <w:tc>
          <w:tcPr>
            <w:tcW w:w="5669" w:type="dxa"/>
          </w:tcPr>
          <w:p w:rsidR="006A45AF" w:rsidRDefault="006A45AF">
            <w:pPr>
              <w:spacing w:line="240" w:lineRule="auto"/>
              <w:rPr>
                <w:sz w:val="24"/>
                <w:rtl/>
              </w:rPr>
            </w:pPr>
            <w:r>
              <w:rPr>
                <w:sz w:val="24"/>
                <w:rtl/>
              </w:rPr>
              <w:t>הגדרות</w:t>
            </w:r>
          </w:p>
        </w:tc>
        <w:tc>
          <w:tcPr>
            <w:tcW w:w="1247" w:type="dxa"/>
          </w:tcPr>
          <w:p w:rsidR="006A45AF" w:rsidRDefault="006A45AF">
            <w:pPr>
              <w:spacing w:line="240" w:lineRule="auto"/>
              <w:rPr>
                <w:sz w:val="24"/>
              </w:rPr>
            </w:pPr>
            <w:r>
              <w:rPr>
                <w:sz w:val="24"/>
                <w:rtl/>
              </w:rPr>
              <w:t xml:space="preserve">סעיף 1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2E4627">
              <w:rPr>
                <w:noProof/>
                <w:sz w:val="24"/>
                <w:rtl/>
              </w:rPr>
              <w:t>3</w:t>
            </w:r>
            <w:r>
              <w:rPr>
                <w:sz w:val="24"/>
                <w:rtl/>
              </w:rPr>
              <w:fldChar w:fldCharType="end"/>
            </w:r>
          </w:p>
        </w:tc>
        <w:tc>
          <w:tcPr>
            <w:tcW w:w="567" w:type="dxa"/>
          </w:tcPr>
          <w:p w:rsidR="006A45AF" w:rsidRDefault="006A45AF">
            <w:pPr>
              <w:spacing w:line="240" w:lineRule="auto"/>
              <w:rPr>
                <w:sz w:val="24"/>
              </w:rPr>
            </w:pPr>
            <w:hyperlink w:anchor="Seif1" w:tooltip="קובל וועדת תלונות" w:history="1">
              <w:r>
                <w:rPr>
                  <w:rStyle w:val="Hyperlink"/>
                </w:rPr>
                <w:t>Go</w:t>
              </w:r>
            </w:hyperlink>
          </w:p>
        </w:tc>
        <w:tc>
          <w:tcPr>
            <w:tcW w:w="5669" w:type="dxa"/>
          </w:tcPr>
          <w:p w:rsidR="006A45AF" w:rsidRDefault="006A45AF">
            <w:pPr>
              <w:spacing w:line="240" w:lineRule="auto"/>
              <w:rPr>
                <w:sz w:val="24"/>
                <w:rtl/>
              </w:rPr>
            </w:pPr>
            <w:r>
              <w:rPr>
                <w:sz w:val="24"/>
                <w:rtl/>
              </w:rPr>
              <w:t>קובל וועדת תלונות</w:t>
            </w:r>
          </w:p>
        </w:tc>
        <w:tc>
          <w:tcPr>
            <w:tcW w:w="1247" w:type="dxa"/>
          </w:tcPr>
          <w:p w:rsidR="006A45AF" w:rsidRDefault="006A45AF">
            <w:pPr>
              <w:spacing w:line="240" w:lineRule="auto"/>
              <w:rPr>
                <w:sz w:val="24"/>
              </w:rPr>
            </w:pPr>
            <w:r>
              <w:rPr>
                <w:sz w:val="24"/>
                <w:rtl/>
              </w:rPr>
              <w:t xml:space="preserve">סעיף 2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2E4627">
              <w:rPr>
                <w:noProof/>
                <w:sz w:val="24"/>
                <w:rtl/>
              </w:rPr>
              <w:t>3</w:t>
            </w:r>
            <w:r>
              <w:rPr>
                <w:sz w:val="24"/>
                <w:rtl/>
              </w:rPr>
              <w:fldChar w:fldCharType="end"/>
            </w:r>
          </w:p>
        </w:tc>
        <w:tc>
          <w:tcPr>
            <w:tcW w:w="567" w:type="dxa"/>
          </w:tcPr>
          <w:p w:rsidR="006A45AF" w:rsidRDefault="006A45AF">
            <w:pPr>
              <w:spacing w:line="240" w:lineRule="auto"/>
              <w:rPr>
                <w:sz w:val="24"/>
              </w:rPr>
            </w:pPr>
            <w:hyperlink w:anchor="Seif2" w:tooltip="תגובת נאשם" w:history="1">
              <w:r>
                <w:rPr>
                  <w:rStyle w:val="Hyperlink"/>
                </w:rPr>
                <w:t>Go</w:t>
              </w:r>
            </w:hyperlink>
          </w:p>
        </w:tc>
        <w:tc>
          <w:tcPr>
            <w:tcW w:w="5669" w:type="dxa"/>
          </w:tcPr>
          <w:p w:rsidR="006A45AF" w:rsidRDefault="006A45AF">
            <w:pPr>
              <w:spacing w:line="240" w:lineRule="auto"/>
              <w:rPr>
                <w:sz w:val="24"/>
                <w:rtl/>
              </w:rPr>
            </w:pPr>
            <w:r>
              <w:rPr>
                <w:sz w:val="24"/>
                <w:rtl/>
              </w:rPr>
              <w:t>תגובת נאשם</w:t>
            </w:r>
          </w:p>
        </w:tc>
        <w:tc>
          <w:tcPr>
            <w:tcW w:w="1247" w:type="dxa"/>
          </w:tcPr>
          <w:p w:rsidR="006A45AF" w:rsidRDefault="006A45AF">
            <w:pPr>
              <w:spacing w:line="240" w:lineRule="auto"/>
              <w:rPr>
                <w:sz w:val="24"/>
              </w:rPr>
            </w:pPr>
            <w:r>
              <w:rPr>
                <w:sz w:val="24"/>
                <w:rtl/>
              </w:rPr>
              <w:t xml:space="preserve">סעיף 3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2E4627">
              <w:rPr>
                <w:noProof/>
                <w:sz w:val="24"/>
                <w:rtl/>
              </w:rPr>
              <w:t>3</w:t>
            </w:r>
            <w:r>
              <w:rPr>
                <w:sz w:val="24"/>
                <w:rtl/>
              </w:rPr>
              <w:fldChar w:fldCharType="end"/>
            </w:r>
          </w:p>
        </w:tc>
        <w:tc>
          <w:tcPr>
            <w:tcW w:w="567" w:type="dxa"/>
          </w:tcPr>
          <w:p w:rsidR="006A45AF" w:rsidRDefault="006A45AF">
            <w:pPr>
              <w:spacing w:line="240" w:lineRule="auto"/>
              <w:rPr>
                <w:sz w:val="24"/>
              </w:rPr>
            </w:pPr>
            <w:hyperlink w:anchor="Seif3" w:tooltip="פרטים נוספים" w:history="1">
              <w:r>
                <w:rPr>
                  <w:rStyle w:val="Hyperlink"/>
                </w:rPr>
                <w:t>Go</w:t>
              </w:r>
            </w:hyperlink>
          </w:p>
        </w:tc>
        <w:tc>
          <w:tcPr>
            <w:tcW w:w="5669" w:type="dxa"/>
          </w:tcPr>
          <w:p w:rsidR="006A45AF" w:rsidRDefault="006A45AF">
            <w:pPr>
              <w:spacing w:line="240" w:lineRule="auto"/>
              <w:rPr>
                <w:sz w:val="24"/>
                <w:rtl/>
              </w:rPr>
            </w:pPr>
            <w:r>
              <w:rPr>
                <w:sz w:val="24"/>
                <w:rtl/>
              </w:rPr>
              <w:t>פרטים נוספים</w:t>
            </w:r>
          </w:p>
        </w:tc>
        <w:tc>
          <w:tcPr>
            <w:tcW w:w="1247" w:type="dxa"/>
          </w:tcPr>
          <w:p w:rsidR="006A45AF" w:rsidRDefault="006A45AF">
            <w:pPr>
              <w:spacing w:line="240" w:lineRule="auto"/>
              <w:rPr>
                <w:sz w:val="24"/>
              </w:rPr>
            </w:pPr>
            <w:r>
              <w:rPr>
                <w:sz w:val="24"/>
                <w:rtl/>
              </w:rPr>
              <w:t xml:space="preserve">סעיף 4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2E4627">
              <w:rPr>
                <w:noProof/>
                <w:sz w:val="24"/>
                <w:rtl/>
              </w:rPr>
              <w:t>3</w:t>
            </w:r>
            <w:r>
              <w:rPr>
                <w:sz w:val="24"/>
                <w:rtl/>
              </w:rPr>
              <w:fldChar w:fldCharType="end"/>
            </w:r>
          </w:p>
        </w:tc>
        <w:tc>
          <w:tcPr>
            <w:tcW w:w="567" w:type="dxa"/>
          </w:tcPr>
          <w:p w:rsidR="006A45AF" w:rsidRDefault="006A45AF">
            <w:pPr>
              <w:spacing w:line="240" w:lineRule="auto"/>
              <w:rPr>
                <w:sz w:val="24"/>
              </w:rPr>
            </w:pPr>
            <w:hyperlink w:anchor="Seif4" w:tooltip="הגשת קובלנה" w:history="1">
              <w:r>
                <w:rPr>
                  <w:rStyle w:val="Hyperlink"/>
                </w:rPr>
                <w:t>Go</w:t>
              </w:r>
            </w:hyperlink>
          </w:p>
        </w:tc>
        <w:tc>
          <w:tcPr>
            <w:tcW w:w="5669" w:type="dxa"/>
          </w:tcPr>
          <w:p w:rsidR="006A45AF" w:rsidRDefault="006A45AF">
            <w:pPr>
              <w:spacing w:line="240" w:lineRule="auto"/>
              <w:rPr>
                <w:sz w:val="24"/>
                <w:rtl/>
              </w:rPr>
            </w:pPr>
            <w:r>
              <w:rPr>
                <w:sz w:val="24"/>
                <w:rtl/>
              </w:rPr>
              <w:t>הגשת קובלנה</w:t>
            </w:r>
          </w:p>
        </w:tc>
        <w:tc>
          <w:tcPr>
            <w:tcW w:w="1247" w:type="dxa"/>
          </w:tcPr>
          <w:p w:rsidR="006A45AF" w:rsidRDefault="006A45AF">
            <w:pPr>
              <w:spacing w:line="240" w:lineRule="auto"/>
              <w:rPr>
                <w:sz w:val="24"/>
              </w:rPr>
            </w:pPr>
            <w:r>
              <w:rPr>
                <w:sz w:val="24"/>
                <w:rtl/>
              </w:rPr>
              <w:t xml:space="preserve">סעיף 5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2E4627">
              <w:rPr>
                <w:noProof/>
                <w:sz w:val="24"/>
                <w:rtl/>
              </w:rPr>
              <w:t>3</w:t>
            </w:r>
            <w:r>
              <w:rPr>
                <w:sz w:val="24"/>
                <w:rtl/>
              </w:rPr>
              <w:fldChar w:fldCharType="end"/>
            </w:r>
          </w:p>
        </w:tc>
        <w:tc>
          <w:tcPr>
            <w:tcW w:w="567" w:type="dxa"/>
          </w:tcPr>
          <w:p w:rsidR="006A45AF" w:rsidRDefault="006A45AF">
            <w:pPr>
              <w:spacing w:line="240" w:lineRule="auto"/>
              <w:rPr>
                <w:sz w:val="24"/>
              </w:rPr>
            </w:pPr>
            <w:hyperlink w:anchor="Seif5" w:tooltip="אי הגשת קובלנה" w:history="1">
              <w:r>
                <w:rPr>
                  <w:rStyle w:val="Hyperlink"/>
                </w:rPr>
                <w:t>Go</w:t>
              </w:r>
            </w:hyperlink>
          </w:p>
        </w:tc>
        <w:tc>
          <w:tcPr>
            <w:tcW w:w="5669" w:type="dxa"/>
          </w:tcPr>
          <w:p w:rsidR="006A45AF" w:rsidRDefault="006A45AF">
            <w:pPr>
              <w:spacing w:line="240" w:lineRule="auto"/>
              <w:rPr>
                <w:sz w:val="24"/>
                <w:rtl/>
              </w:rPr>
            </w:pPr>
            <w:r>
              <w:rPr>
                <w:sz w:val="24"/>
                <w:rtl/>
              </w:rPr>
              <w:t>אי הגשת קובלנה</w:t>
            </w:r>
          </w:p>
        </w:tc>
        <w:tc>
          <w:tcPr>
            <w:tcW w:w="1247" w:type="dxa"/>
          </w:tcPr>
          <w:p w:rsidR="006A45AF" w:rsidRDefault="006A45AF">
            <w:pPr>
              <w:spacing w:line="240" w:lineRule="auto"/>
              <w:rPr>
                <w:sz w:val="24"/>
              </w:rPr>
            </w:pPr>
            <w:r>
              <w:rPr>
                <w:sz w:val="24"/>
                <w:rtl/>
              </w:rPr>
              <w:t xml:space="preserve">סעיף 6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2E4627">
              <w:rPr>
                <w:noProof/>
                <w:sz w:val="24"/>
                <w:rtl/>
              </w:rPr>
              <w:t>4</w:t>
            </w:r>
            <w:r>
              <w:rPr>
                <w:sz w:val="24"/>
                <w:rtl/>
              </w:rPr>
              <w:fldChar w:fldCharType="end"/>
            </w:r>
          </w:p>
        </w:tc>
        <w:tc>
          <w:tcPr>
            <w:tcW w:w="567" w:type="dxa"/>
          </w:tcPr>
          <w:p w:rsidR="006A45AF" w:rsidRDefault="006A45AF">
            <w:pPr>
              <w:spacing w:line="240" w:lineRule="auto"/>
              <w:rPr>
                <w:sz w:val="24"/>
              </w:rPr>
            </w:pPr>
            <w:hyperlink w:anchor="Seif6" w:tooltip="קובלנה במספר עותקים" w:history="1">
              <w:r>
                <w:rPr>
                  <w:rStyle w:val="Hyperlink"/>
                </w:rPr>
                <w:t>Go</w:t>
              </w:r>
            </w:hyperlink>
          </w:p>
        </w:tc>
        <w:tc>
          <w:tcPr>
            <w:tcW w:w="5669" w:type="dxa"/>
          </w:tcPr>
          <w:p w:rsidR="006A45AF" w:rsidRDefault="006A45AF">
            <w:pPr>
              <w:spacing w:line="240" w:lineRule="auto"/>
              <w:rPr>
                <w:sz w:val="24"/>
                <w:rtl/>
              </w:rPr>
            </w:pPr>
            <w:r>
              <w:rPr>
                <w:sz w:val="24"/>
                <w:rtl/>
              </w:rPr>
              <w:t>קובלנה במספר עותקים</w:t>
            </w:r>
          </w:p>
        </w:tc>
        <w:tc>
          <w:tcPr>
            <w:tcW w:w="1247" w:type="dxa"/>
          </w:tcPr>
          <w:p w:rsidR="006A45AF" w:rsidRDefault="006A45AF">
            <w:pPr>
              <w:spacing w:line="240" w:lineRule="auto"/>
              <w:rPr>
                <w:sz w:val="24"/>
              </w:rPr>
            </w:pPr>
            <w:r>
              <w:rPr>
                <w:sz w:val="24"/>
                <w:rtl/>
              </w:rPr>
              <w:t xml:space="preserve">סעיף 7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2E4627">
              <w:rPr>
                <w:noProof/>
                <w:sz w:val="24"/>
                <w:rtl/>
              </w:rPr>
              <w:t>4</w:t>
            </w:r>
            <w:r>
              <w:rPr>
                <w:sz w:val="24"/>
                <w:rtl/>
              </w:rPr>
              <w:fldChar w:fldCharType="end"/>
            </w:r>
          </w:p>
        </w:tc>
        <w:tc>
          <w:tcPr>
            <w:tcW w:w="567" w:type="dxa"/>
          </w:tcPr>
          <w:p w:rsidR="006A45AF" w:rsidRDefault="006A45AF">
            <w:pPr>
              <w:spacing w:line="240" w:lineRule="auto"/>
              <w:rPr>
                <w:sz w:val="24"/>
              </w:rPr>
            </w:pPr>
            <w:hyperlink w:anchor="Seif7" w:tooltip="המצאה לנאשם" w:history="1">
              <w:r>
                <w:rPr>
                  <w:rStyle w:val="Hyperlink"/>
                </w:rPr>
                <w:t>Go</w:t>
              </w:r>
            </w:hyperlink>
          </w:p>
        </w:tc>
        <w:tc>
          <w:tcPr>
            <w:tcW w:w="5669" w:type="dxa"/>
          </w:tcPr>
          <w:p w:rsidR="006A45AF" w:rsidRDefault="006A45AF">
            <w:pPr>
              <w:spacing w:line="240" w:lineRule="auto"/>
              <w:rPr>
                <w:sz w:val="24"/>
                <w:rtl/>
              </w:rPr>
            </w:pPr>
            <w:r>
              <w:rPr>
                <w:sz w:val="24"/>
                <w:rtl/>
              </w:rPr>
              <w:t>המצאה לנאשם</w:t>
            </w:r>
          </w:p>
        </w:tc>
        <w:tc>
          <w:tcPr>
            <w:tcW w:w="1247" w:type="dxa"/>
          </w:tcPr>
          <w:p w:rsidR="006A45AF" w:rsidRDefault="006A45AF">
            <w:pPr>
              <w:spacing w:line="240" w:lineRule="auto"/>
              <w:rPr>
                <w:sz w:val="24"/>
              </w:rPr>
            </w:pPr>
            <w:r>
              <w:rPr>
                <w:sz w:val="24"/>
                <w:rtl/>
              </w:rPr>
              <w:t xml:space="preserve">סעיף 8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2E4627">
              <w:rPr>
                <w:noProof/>
                <w:sz w:val="24"/>
                <w:rtl/>
              </w:rPr>
              <w:t>4</w:t>
            </w:r>
            <w:r>
              <w:rPr>
                <w:sz w:val="24"/>
                <w:rtl/>
              </w:rPr>
              <w:fldChar w:fldCharType="end"/>
            </w:r>
          </w:p>
        </w:tc>
        <w:tc>
          <w:tcPr>
            <w:tcW w:w="567" w:type="dxa"/>
          </w:tcPr>
          <w:p w:rsidR="006A45AF" w:rsidRDefault="006A45AF">
            <w:pPr>
              <w:spacing w:line="240" w:lineRule="auto"/>
              <w:rPr>
                <w:sz w:val="24"/>
              </w:rPr>
            </w:pPr>
            <w:hyperlink w:anchor="Seif8" w:tooltip="עריכת קובלנה" w:history="1">
              <w:r>
                <w:rPr>
                  <w:rStyle w:val="Hyperlink"/>
                </w:rPr>
                <w:t>Go</w:t>
              </w:r>
            </w:hyperlink>
          </w:p>
        </w:tc>
        <w:tc>
          <w:tcPr>
            <w:tcW w:w="5669" w:type="dxa"/>
          </w:tcPr>
          <w:p w:rsidR="006A45AF" w:rsidRDefault="006A45AF">
            <w:pPr>
              <w:spacing w:line="240" w:lineRule="auto"/>
              <w:rPr>
                <w:sz w:val="24"/>
                <w:rtl/>
              </w:rPr>
            </w:pPr>
            <w:r>
              <w:rPr>
                <w:sz w:val="24"/>
                <w:rtl/>
              </w:rPr>
              <w:t>עריכת קובלנה</w:t>
            </w:r>
          </w:p>
        </w:tc>
        <w:tc>
          <w:tcPr>
            <w:tcW w:w="1247" w:type="dxa"/>
          </w:tcPr>
          <w:p w:rsidR="006A45AF" w:rsidRDefault="006A45AF">
            <w:pPr>
              <w:spacing w:line="240" w:lineRule="auto"/>
              <w:rPr>
                <w:sz w:val="24"/>
              </w:rPr>
            </w:pPr>
            <w:r>
              <w:rPr>
                <w:sz w:val="24"/>
                <w:rtl/>
              </w:rPr>
              <w:t xml:space="preserve">סעיף 9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2E4627">
              <w:rPr>
                <w:noProof/>
                <w:sz w:val="24"/>
                <w:rtl/>
              </w:rPr>
              <w:t>4</w:t>
            </w:r>
            <w:r>
              <w:rPr>
                <w:sz w:val="24"/>
                <w:rtl/>
              </w:rPr>
              <w:fldChar w:fldCharType="end"/>
            </w:r>
          </w:p>
        </w:tc>
        <w:tc>
          <w:tcPr>
            <w:tcW w:w="567" w:type="dxa"/>
          </w:tcPr>
          <w:p w:rsidR="006A45AF" w:rsidRDefault="006A45AF">
            <w:pPr>
              <w:spacing w:line="240" w:lineRule="auto"/>
              <w:rPr>
                <w:sz w:val="24"/>
              </w:rPr>
            </w:pPr>
            <w:hyperlink w:anchor="Seif9" w:tooltip="זכות עיון" w:history="1">
              <w:r>
                <w:rPr>
                  <w:rStyle w:val="Hyperlink"/>
                </w:rPr>
                <w:t>Go</w:t>
              </w:r>
            </w:hyperlink>
          </w:p>
        </w:tc>
        <w:tc>
          <w:tcPr>
            <w:tcW w:w="5669" w:type="dxa"/>
          </w:tcPr>
          <w:p w:rsidR="006A45AF" w:rsidRDefault="006A45AF">
            <w:pPr>
              <w:spacing w:line="240" w:lineRule="auto"/>
              <w:rPr>
                <w:sz w:val="24"/>
                <w:rtl/>
              </w:rPr>
            </w:pPr>
            <w:r>
              <w:rPr>
                <w:sz w:val="24"/>
                <w:rtl/>
              </w:rPr>
              <w:t>זכות עיון</w:t>
            </w:r>
          </w:p>
        </w:tc>
        <w:tc>
          <w:tcPr>
            <w:tcW w:w="1247" w:type="dxa"/>
          </w:tcPr>
          <w:p w:rsidR="006A45AF" w:rsidRDefault="006A45AF">
            <w:pPr>
              <w:spacing w:line="240" w:lineRule="auto"/>
              <w:rPr>
                <w:sz w:val="24"/>
              </w:rPr>
            </w:pPr>
            <w:r>
              <w:rPr>
                <w:sz w:val="24"/>
                <w:rtl/>
              </w:rPr>
              <w:t xml:space="preserve">סעיף 10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2E4627">
              <w:rPr>
                <w:noProof/>
                <w:sz w:val="24"/>
                <w:rtl/>
              </w:rPr>
              <w:t>4</w:t>
            </w:r>
            <w:r>
              <w:rPr>
                <w:sz w:val="24"/>
                <w:rtl/>
              </w:rPr>
              <w:fldChar w:fldCharType="end"/>
            </w:r>
          </w:p>
        </w:tc>
        <w:tc>
          <w:tcPr>
            <w:tcW w:w="567" w:type="dxa"/>
          </w:tcPr>
          <w:p w:rsidR="006A45AF" w:rsidRDefault="006A45AF">
            <w:pPr>
              <w:spacing w:line="240" w:lineRule="auto"/>
              <w:rPr>
                <w:sz w:val="24"/>
              </w:rPr>
            </w:pPr>
            <w:hyperlink w:anchor="Seif10" w:tooltip="צירוף אישומים" w:history="1">
              <w:r>
                <w:rPr>
                  <w:rStyle w:val="Hyperlink"/>
                </w:rPr>
                <w:t>Go</w:t>
              </w:r>
            </w:hyperlink>
          </w:p>
        </w:tc>
        <w:tc>
          <w:tcPr>
            <w:tcW w:w="5669" w:type="dxa"/>
          </w:tcPr>
          <w:p w:rsidR="006A45AF" w:rsidRDefault="006A45AF">
            <w:pPr>
              <w:spacing w:line="240" w:lineRule="auto"/>
              <w:rPr>
                <w:sz w:val="24"/>
                <w:rtl/>
              </w:rPr>
            </w:pPr>
            <w:r>
              <w:rPr>
                <w:sz w:val="24"/>
                <w:rtl/>
              </w:rPr>
              <w:t>צירוף אישומים</w:t>
            </w:r>
          </w:p>
        </w:tc>
        <w:tc>
          <w:tcPr>
            <w:tcW w:w="1247" w:type="dxa"/>
          </w:tcPr>
          <w:p w:rsidR="006A45AF" w:rsidRDefault="006A45AF">
            <w:pPr>
              <w:spacing w:line="240" w:lineRule="auto"/>
              <w:rPr>
                <w:sz w:val="24"/>
              </w:rPr>
            </w:pPr>
            <w:r>
              <w:rPr>
                <w:sz w:val="24"/>
                <w:rtl/>
              </w:rPr>
              <w:t xml:space="preserve">סעיף 11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2E4627">
              <w:rPr>
                <w:noProof/>
                <w:sz w:val="24"/>
                <w:rtl/>
              </w:rPr>
              <w:t>4</w:t>
            </w:r>
            <w:r>
              <w:rPr>
                <w:sz w:val="24"/>
                <w:rtl/>
              </w:rPr>
              <w:fldChar w:fldCharType="end"/>
            </w:r>
          </w:p>
        </w:tc>
        <w:tc>
          <w:tcPr>
            <w:tcW w:w="567" w:type="dxa"/>
          </w:tcPr>
          <w:p w:rsidR="006A45AF" w:rsidRDefault="006A45AF">
            <w:pPr>
              <w:spacing w:line="240" w:lineRule="auto"/>
              <w:rPr>
                <w:sz w:val="24"/>
              </w:rPr>
            </w:pPr>
            <w:hyperlink w:anchor="Seif11" w:tooltip="צירוף נאשמים" w:history="1">
              <w:r>
                <w:rPr>
                  <w:rStyle w:val="Hyperlink"/>
                </w:rPr>
                <w:t>Go</w:t>
              </w:r>
            </w:hyperlink>
          </w:p>
        </w:tc>
        <w:tc>
          <w:tcPr>
            <w:tcW w:w="5669" w:type="dxa"/>
          </w:tcPr>
          <w:p w:rsidR="006A45AF" w:rsidRDefault="006A45AF">
            <w:pPr>
              <w:spacing w:line="240" w:lineRule="auto"/>
              <w:rPr>
                <w:sz w:val="24"/>
                <w:rtl/>
              </w:rPr>
            </w:pPr>
            <w:r>
              <w:rPr>
                <w:sz w:val="24"/>
                <w:rtl/>
              </w:rPr>
              <w:t>צירוף נאשמים</w:t>
            </w:r>
          </w:p>
        </w:tc>
        <w:tc>
          <w:tcPr>
            <w:tcW w:w="1247" w:type="dxa"/>
          </w:tcPr>
          <w:p w:rsidR="006A45AF" w:rsidRDefault="006A45AF">
            <w:pPr>
              <w:spacing w:line="240" w:lineRule="auto"/>
              <w:rPr>
                <w:sz w:val="24"/>
              </w:rPr>
            </w:pPr>
            <w:r>
              <w:rPr>
                <w:sz w:val="24"/>
                <w:rtl/>
              </w:rPr>
              <w:t xml:space="preserve">סעיף 12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2E4627">
              <w:rPr>
                <w:noProof/>
                <w:sz w:val="24"/>
                <w:rtl/>
              </w:rPr>
              <w:t>4</w:t>
            </w:r>
            <w:r>
              <w:rPr>
                <w:sz w:val="24"/>
                <w:rtl/>
              </w:rPr>
              <w:fldChar w:fldCharType="end"/>
            </w:r>
          </w:p>
        </w:tc>
        <w:tc>
          <w:tcPr>
            <w:tcW w:w="567" w:type="dxa"/>
          </w:tcPr>
          <w:p w:rsidR="006A45AF" w:rsidRDefault="006A45AF">
            <w:pPr>
              <w:spacing w:line="240" w:lineRule="auto"/>
              <w:rPr>
                <w:sz w:val="24"/>
              </w:rPr>
            </w:pPr>
            <w:hyperlink w:anchor="Seif12" w:tooltip="הפרדת הדיון" w:history="1">
              <w:r>
                <w:rPr>
                  <w:rStyle w:val="Hyperlink"/>
                </w:rPr>
                <w:t>Go</w:t>
              </w:r>
            </w:hyperlink>
          </w:p>
        </w:tc>
        <w:tc>
          <w:tcPr>
            <w:tcW w:w="5669" w:type="dxa"/>
          </w:tcPr>
          <w:p w:rsidR="006A45AF" w:rsidRDefault="006A45AF">
            <w:pPr>
              <w:spacing w:line="240" w:lineRule="auto"/>
              <w:rPr>
                <w:sz w:val="24"/>
                <w:rtl/>
              </w:rPr>
            </w:pPr>
            <w:r>
              <w:rPr>
                <w:sz w:val="24"/>
                <w:rtl/>
              </w:rPr>
              <w:t>הפרדת הדיון</w:t>
            </w:r>
          </w:p>
        </w:tc>
        <w:tc>
          <w:tcPr>
            <w:tcW w:w="1247" w:type="dxa"/>
          </w:tcPr>
          <w:p w:rsidR="006A45AF" w:rsidRDefault="006A45AF">
            <w:pPr>
              <w:spacing w:line="240" w:lineRule="auto"/>
              <w:rPr>
                <w:sz w:val="24"/>
              </w:rPr>
            </w:pPr>
            <w:r>
              <w:rPr>
                <w:sz w:val="24"/>
                <w:rtl/>
              </w:rPr>
              <w:t xml:space="preserve">סעיף 13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2E4627">
              <w:rPr>
                <w:noProof/>
                <w:sz w:val="24"/>
                <w:rtl/>
              </w:rPr>
              <w:t>4</w:t>
            </w:r>
            <w:r>
              <w:rPr>
                <w:sz w:val="24"/>
                <w:rtl/>
              </w:rPr>
              <w:fldChar w:fldCharType="end"/>
            </w:r>
          </w:p>
        </w:tc>
        <w:tc>
          <w:tcPr>
            <w:tcW w:w="567" w:type="dxa"/>
          </w:tcPr>
          <w:p w:rsidR="006A45AF" w:rsidRDefault="006A45AF">
            <w:pPr>
              <w:spacing w:line="240" w:lineRule="auto"/>
              <w:rPr>
                <w:sz w:val="24"/>
              </w:rPr>
            </w:pPr>
            <w:hyperlink w:anchor="Seif13" w:tooltip="חזרה מקובלנה או תיקונה" w:history="1">
              <w:r>
                <w:rPr>
                  <w:rStyle w:val="Hyperlink"/>
                </w:rPr>
                <w:t>Go</w:t>
              </w:r>
            </w:hyperlink>
          </w:p>
        </w:tc>
        <w:tc>
          <w:tcPr>
            <w:tcW w:w="5669" w:type="dxa"/>
          </w:tcPr>
          <w:p w:rsidR="006A45AF" w:rsidRDefault="006A45AF">
            <w:pPr>
              <w:spacing w:line="240" w:lineRule="auto"/>
              <w:rPr>
                <w:sz w:val="24"/>
                <w:rtl/>
              </w:rPr>
            </w:pPr>
            <w:r>
              <w:rPr>
                <w:sz w:val="24"/>
                <w:rtl/>
              </w:rPr>
              <w:t>חזרה מקובלנה או תיקונה</w:t>
            </w:r>
          </w:p>
        </w:tc>
        <w:tc>
          <w:tcPr>
            <w:tcW w:w="1247" w:type="dxa"/>
          </w:tcPr>
          <w:p w:rsidR="006A45AF" w:rsidRDefault="006A45AF">
            <w:pPr>
              <w:spacing w:line="240" w:lineRule="auto"/>
              <w:rPr>
                <w:sz w:val="24"/>
              </w:rPr>
            </w:pPr>
            <w:r>
              <w:rPr>
                <w:sz w:val="24"/>
                <w:rtl/>
              </w:rPr>
              <w:t xml:space="preserve">סעיף 14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2E4627">
              <w:rPr>
                <w:noProof/>
                <w:sz w:val="24"/>
                <w:rtl/>
              </w:rPr>
              <w:t>4</w:t>
            </w:r>
            <w:r>
              <w:rPr>
                <w:sz w:val="24"/>
                <w:rtl/>
              </w:rPr>
              <w:fldChar w:fldCharType="end"/>
            </w:r>
          </w:p>
        </w:tc>
        <w:tc>
          <w:tcPr>
            <w:tcW w:w="567" w:type="dxa"/>
          </w:tcPr>
          <w:p w:rsidR="006A45AF" w:rsidRDefault="006A45AF">
            <w:pPr>
              <w:spacing w:line="240" w:lineRule="auto"/>
              <w:rPr>
                <w:sz w:val="24"/>
              </w:rPr>
            </w:pPr>
            <w:hyperlink w:anchor="Seif14" w:tooltip="הודעה לנאשם על תיקון קובלנה או חזרה ממנה" w:history="1">
              <w:r>
                <w:rPr>
                  <w:rStyle w:val="Hyperlink"/>
                </w:rPr>
                <w:t>Go</w:t>
              </w:r>
            </w:hyperlink>
          </w:p>
        </w:tc>
        <w:tc>
          <w:tcPr>
            <w:tcW w:w="5669" w:type="dxa"/>
          </w:tcPr>
          <w:p w:rsidR="006A45AF" w:rsidRDefault="006A45AF">
            <w:pPr>
              <w:spacing w:line="240" w:lineRule="auto"/>
              <w:rPr>
                <w:sz w:val="24"/>
                <w:rtl/>
              </w:rPr>
            </w:pPr>
            <w:r>
              <w:rPr>
                <w:sz w:val="24"/>
                <w:rtl/>
              </w:rPr>
              <w:t>הודעה לנאשם על תיקון קובלנה או חזרה ממנה</w:t>
            </w:r>
          </w:p>
        </w:tc>
        <w:tc>
          <w:tcPr>
            <w:tcW w:w="1247" w:type="dxa"/>
          </w:tcPr>
          <w:p w:rsidR="006A45AF" w:rsidRDefault="006A45AF">
            <w:pPr>
              <w:spacing w:line="240" w:lineRule="auto"/>
              <w:rPr>
                <w:sz w:val="24"/>
              </w:rPr>
            </w:pPr>
            <w:r>
              <w:rPr>
                <w:sz w:val="24"/>
                <w:rtl/>
              </w:rPr>
              <w:t xml:space="preserve">סעיף 15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2E4627">
              <w:rPr>
                <w:noProof/>
                <w:sz w:val="24"/>
                <w:rtl/>
              </w:rPr>
              <w:t>4</w:t>
            </w:r>
            <w:r>
              <w:rPr>
                <w:sz w:val="24"/>
                <w:rtl/>
              </w:rPr>
              <w:fldChar w:fldCharType="end"/>
            </w:r>
          </w:p>
        </w:tc>
        <w:tc>
          <w:tcPr>
            <w:tcW w:w="567" w:type="dxa"/>
          </w:tcPr>
          <w:p w:rsidR="006A45AF" w:rsidRDefault="006A45AF">
            <w:pPr>
              <w:spacing w:line="240" w:lineRule="auto"/>
              <w:rPr>
                <w:sz w:val="24"/>
              </w:rPr>
            </w:pPr>
            <w:hyperlink w:anchor="Seif15" w:tooltip="הזמנה לדיון" w:history="1">
              <w:r>
                <w:rPr>
                  <w:rStyle w:val="Hyperlink"/>
                </w:rPr>
                <w:t>Go</w:t>
              </w:r>
            </w:hyperlink>
          </w:p>
        </w:tc>
        <w:tc>
          <w:tcPr>
            <w:tcW w:w="5669" w:type="dxa"/>
          </w:tcPr>
          <w:p w:rsidR="006A45AF" w:rsidRDefault="006A45AF">
            <w:pPr>
              <w:spacing w:line="240" w:lineRule="auto"/>
              <w:rPr>
                <w:sz w:val="24"/>
                <w:rtl/>
              </w:rPr>
            </w:pPr>
            <w:r>
              <w:rPr>
                <w:sz w:val="24"/>
                <w:rtl/>
              </w:rPr>
              <w:t>הזמנה לדיון</w:t>
            </w:r>
          </w:p>
        </w:tc>
        <w:tc>
          <w:tcPr>
            <w:tcW w:w="1247" w:type="dxa"/>
          </w:tcPr>
          <w:p w:rsidR="006A45AF" w:rsidRDefault="006A45AF">
            <w:pPr>
              <w:spacing w:line="240" w:lineRule="auto"/>
              <w:rPr>
                <w:sz w:val="24"/>
              </w:rPr>
            </w:pPr>
            <w:r>
              <w:rPr>
                <w:sz w:val="24"/>
                <w:rtl/>
              </w:rPr>
              <w:t xml:space="preserve">סעיף 16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2E4627">
              <w:rPr>
                <w:noProof/>
                <w:sz w:val="24"/>
                <w:rtl/>
              </w:rPr>
              <w:t>4</w:t>
            </w:r>
            <w:r>
              <w:rPr>
                <w:sz w:val="24"/>
                <w:rtl/>
              </w:rPr>
              <w:fldChar w:fldCharType="end"/>
            </w:r>
          </w:p>
        </w:tc>
        <w:tc>
          <w:tcPr>
            <w:tcW w:w="567" w:type="dxa"/>
          </w:tcPr>
          <w:p w:rsidR="006A45AF" w:rsidRDefault="006A45AF">
            <w:pPr>
              <w:spacing w:line="240" w:lineRule="auto"/>
              <w:rPr>
                <w:sz w:val="24"/>
              </w:rPr>
            </w:pPr>
            <w:hyperlink w:anchor="Seif16" w:tooltip="הזמנת עדים" w:history="1">
              <w:r>
                <w:rPr>
                  <w:rStyle w:val="Hyperlink"/>
                </w:rPr>
                <w:t>Go</w:t>
              </w:r>
            </w:hyperlink>
          </w:p>
        </w:tc>
        <w:tc>
          <w:tcPr>
            <w:tcW w:w="5669" w:type="dxa"/>
          </w:tcPr>
          <w:p w:rsidR="006A45AF" w:rsidRDefault="006A45AF">
            <w:pPr>
              <w:spacing w:line="240" w:lineRule="auto"/>
              <w:rPr>
                <w:sz w:val="24"/>
                <w:rtl/>
              </w:rPr>
            </w:pPr>
            <w:r>
              <w:rPr>
                <w:sz w:val="24"/>
                <w:rtl/>
              </w:rPr>
              <w:t>הזמנת עדים</w:t>
            </w:r>
          </w:p>
        </w:tc>
        <w:tc>
          <w:tcPr>
            <w:tcW w:w="1247" w:type="dxa"/>
          </w:tcPr>
          <w:p w:rsidR="006A45AF" w:rsidRDefault="006A45AF">
            <w:pPr>
              <w:spacing w:line="240" w:lineRule="auto"/>
              <w:rPr>
                <w:sz w:val="24"/>
              </w:rPr>
            </w:pPr>
            <w:r>
              <w:rPr>
                <w:sz w:val="24"/>
                <w:rtl/>
              </w:rPr>
              <w:t xml:space="preserve">סעיף 17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2E4627">
              <w:rPr>
                <w:noProof/>
                <w:sz w:val="24"/>
                <w:rtl/>
              </w:rPr>
              <w:t>5</w:t>
            </w:r>
            <w:r>
              <w:rPr>
                <w:sz w:val="24"/>
                <w:rtl/>
              </w:rPr>
              <w:fldChar w:fldCharType="end"/>
            </w:r>
          </w:p>
        </w:tc>
        <w:tc>
          <w:tcPr>
            <w:tcW w:w="567" w:type="dxa"/>
          </w:tcPr>
          <w:p w:rsidR="006A45AF" w:rsidRDefault="006A45AF">
            <w:pPr>
              <w:spacing w:line="240" w:lineRule="auto"/>
              <w:rPr>
                <w:sz w:val="24"/>
              </w:rPr>
            </w:pPr>
            <w:hyperlink w:anchor="Seif17" w:tooltip="צורת הזמנה ותוכנה" w:history="1">
              <w:r>
                <w:rPr>
                  <w:rStyle w:val="Hyperlink"/>
                </w:rPr>
                <w:t>Go</w:t>
              </w:r>
            </w:hyperlink>
          </w:p>
        </w:tc>
        <w:tc>
          <w:tcPr>
            <w:tcW w:w="5669" w:type="dxa"/>
          </w:tcPr>
          <w:p w:rsidR="006A45AF" w:rsidRDefault="006A45AF">
            <w:pPr>
              <w:spacing w:line="240" w:lineRule="auto"/>
              <w:rPr>
                <w:sz w:val="24"/>
                <w:rtl/>
              </w:rPr>
            </w:pPr>
            <w:r>
              <w:rPr>
                <w:sz w:val="24"/>
                <w:rtl/>
              </w:rPr>
              <w:t>צורת הזמנה ותוכנה</w:t>
            </w:r>
          </w:p>
        </w:tc>
        <w:tc>
          <w:tcPr>
            <w:tcW w:w="1247" w:type="dxa"/>
          </w:tcPr>
          <w:p w:rsidR="006A45AF" w:rsidRDefault="006A45AF">
            <w:pPr>
              <w:spacing w:line="240" w:lineRule="auto"/>
              <w:rPr>
                <w:sz w:val="24"/>
              </w:rPr>
            </w:pPr>
            <w:r>
              <w:rPr>
                <w:sz w:val="24"/>
                <w:rtl/>
              </w:rPr>
              <w:t xml:space="preserve">סעיף 18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2E4627">
              <w:rPr>
                <w:noProof/>
                <w:sz w:val="24"/>
                <w:rtl/>
              </w:rPr>
              <w:t>5</w:t>
            </w:r>
            <w:r>
              <w:rPr>
                <w:sz w:val="24"/>
                <w:rtl/>
              </w:rPr>
              <w:fldChar w:fldCharType="end"/>
            </w:r>
          </w:p>
        </w:tc>
        <w:tc>
          <w:tcPr>
            <w:tcW w:w="567" w:type="dxa"/>
          </w:tcPr>
          <w:p w:rsidR="006A45AF" w:rsidRDefault="006A45AF">
            <w:pPr>
              <w:spacing w:line="240" w:lineRule="auto"/>
              <w:rPr>
                <w:sz w:val="24"/>
              </w:rPr>
            </w:pPr>
            <w:hyperlink w:anchor="Seif18" w:tooltip="ניהול הדיון" w:history="1">
              <w:r>
                <w:rPr>
                  <w:rStyle w:val="Hyperlink"/>
                </w:rPr>
                <w:t>Go</w:t>
              </w:r>
            </w:hyperlink>
          </w:p>
        </w:tc>
        <w:tc>
          <w:tcPr>
            <w:tcW w:w="5669" w:type="dxa"/>
          </w:tcPr>
          <w:p w:rsidR="006A45AF" w:rsidRDefault="006A45AF">
            <w:pPr>
              <w:spacing w:line="240" w:lineRule="auto"/>
              <w:rPr>
                <w:sz w:val="24"/>
                <w:rtl/>
              </w:rPr>
            </w:pPr>
            <w:r>
              <w:rPr>
                <w:sz w:val="24"/>
                <w:rtl/>
              </w:rPr>
              <w:t>ניהול הדיון</w:t>
            </w:r>
          </w:p>
        </w:tc>
        <w:tc>
          <w:tcPr>
            <w:tcW w:w="1247" w:type="dxa"/>
          </w:tcPr>
          <w:p w:rsidR="006A45AF" w:rsidRDefault="006A45AF">
            <w:pPr>
              <w:spacing w:line="240" w:lineRule="auto"/>
              <w:rPr>
                <w:sz w:val="24"/>
              </w:rPr>
            </w:pPr>
            <w:r>
              <w:rPr>
                <w:sz w:val="24"/>
                <w:rtl/>
              </w:rPr>
              <w:t xml:space="preserve">סעיף 19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2E4627">
              <w:rPr>
                <w:noProof/>
                <w:sz w:val="24"/>
                <w:rtl/>
              </w:rPr>
              <w:t>5</w:t>
            </w:r>
            <w:r>
              <w:rPr>
                <w:sz w:val="24"/>
                <w:rtl/>
              </w:rPr>
              <w:fldChar w:fldCharType="end"/>
            </w:r>
          </w:p>
        </w:tc>
        <w:tc>
          <w:tcPr>
            <w:tcW w:w="567" w:type="dxa"/>
          </w:tcPr>
          <w:p w:rsidR="006A45AF" w:rsidRDefault="006A45AF">
            <w:pPr>
              <w:spacing w:line="240" w:lineRule="auto"/>
              <w:rPr>
                <w:sz w:val="24"/>
              </w:rPr>
            </w:pPr>
            <w:hyperlink w:anchor="Seif19" w:tooltip="פרוטוקול" w:history="1">
              <w:r>
                <w:rPr>
                  <w:rStyle w:val="Hyperlink"/>
                </w:rPr>
                <w:t>Go</w:t>
              </w:r>
            </w:hyperlink>
          </w:p>
        </w:tc>
        <w:tc>
          <w:tcPr>
            <w:tcW w:w="5669" w:type="dxa"/>
          </w:tcPr>
          <w:p w:rsidR="006A45AF" w:rsidRDefault="006A45AF">
            <w:pPr>
              <w:spacing w:line="240" w:lineRule="auto"/>
              <w:rPr>
                <w:sz w:val="24"/>
                <w:rtl/>
              </w:rPr>
            </w:pPr>
            <w:r>
              <w:rPr>
                <w:sz w:val="24"/>
                <w:rtl/>
              </w:rPr>
              <w:t>פרוטוקול</w:t>
            </w:r>
          </w:p>
        </w:tc>
        <w:tc>
          <w:tcPr>
            <w:tcW w:w="1247" w:type="dxa"/>
          </w:tcPr>
          <w:p w:rsidR="006A45AF" w:rsidRDefault="006A45AF">
            <w:pPr>
              <w:spacing w:line="240" w:lineRule="auto"/>
              <w:rPr>
                <w:sz w:val="24"/>
              </w:rPr>
            </w:pPr>
            <w:r>
              <w:rPr>
                <w:sz w:val="24"/>
                <w:rtl/>
              </w:rPr>
              <w:t xml:space="preserve">סעיף 20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2E4627">
              <w:rPr>
                <w:noProof/>
                <w:sz w:val="24"/>
                <w:rtl/>
              </w:rPr>
              <w:t>5</w:t>
            </w:r>
            <w:r>
              <w:rPr>
                <w:sz w:val="24"/>
                <w:rtl/>
              </w:rPr>
              <w:fldChar w:fldCharType="end"/>
            </w:r>
          </w:p>
        </w:tc>
        <w:tc>
          <w:tcPr>
            <w:tcW w:w="567" w:type="dxa"/>
          </w:tcPr>
          <w:p w:rsidR="006A45AF" w:rsidRDefault="006A45AF">
            <w:pPr>
              <w:spacing w:line="240" w:lineRule="auto"/>
              <w:rPr>
                <w:sz w:val="24"/>
              </w:rPr>
            </w:pPr>
            <w:hyperlink w:anchor="Seif20" w:tooltip="נוכחות נאשם וקובל" w:history="1">
              <w:r>
                <w:rPr>
                  <w:rStyle w:val="Hyperlink"/>
                </w:rPr>
                <w:t>Go</w:t>
              </w:r>
            </w:hyperlink>
          </w:p>
        </w:tc>
        <w:tc>
          <w:tcPr>
            <w:tcW w:w="5669" w:type="dxa"/>
          </w:tcPr>
          <w:p w:rsidR="006A45AF" w:rsidRDefault="006A45AF">
            <w:pPr>
              <w:spacing w:line="240" w:lineRule="auto"/>
              <w:rPr>
                <w:sz w:val="24"/>
                <w:rtl/>
              </w:rPr>
            </w:pPr>
            <w:r>
              <w:rPr>
                <w:sz w:val="24"/>
                <w:rtl/>
              </w:rPr>
              <w:t>נוכחות נאשם וקובל</w:t>
            </w:r>
          </w:p>
        </w:tc>
        <w:tc>
          <w:tcPr>
            <w:tcW w:w="1247" w:type="dxa"/>
          </w:tcPr>
          <w:p w:rsidR="006A45AF" w:rsidRDefault="006A45AF">
            <w:pPr>
              <w:spacing w:line="240" w:lineRule="auto"/>
              <w:rPr>
                <w:sz w:val="24"/>
              </w:rPr>
            </w:pPr>
            <w:r>
              <w:rPr>
                <w:sz w:val="24"/>
                <w:rtl/>
              </w:rPr>
              <w:t xml:space="preserve">סעיף 21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2E4627">
              <w:rPr>
                <w:noProof/>
                <w:sz w:val="24"/>
                <w:rtl/>
              </w:rPr>
              <w:t>5</w:t>
            </w:r>
            <w:r>
              <w:rPr>
                <w:sz w:val="24"/>
                <w:rtl/>
              </w:rPr>
              <w:fldChar w:fldCharType="end"/>
            </w:r>
          </w:p>
        </w:tc>
        <w:tc>
          <w:tcPr>
            <w:tcW w:w="567" w:type="dxa"/>
          </w:tcPr>
          <w:p w:rsidR="006A45AF" w:rsidRDefault="006A45AF">
            <w:pPr>
              <w:spacing w:line="240" w:lineRule="auto"/>
              <w:rPr>
                <w:sz w:val="24"/>
              </w:rPr>
            </w:pPr>
            <w:hyperlink w:anchor="Seif21" w:tooltip="העדר אפשרות להשתתף בדיון או לסיימו" w:history="1">
              <w:r>
                <w:rPr>
                  <w:rStyle w:val="Hyperlink"/>
                </w:rPr>
                <w:t>Go</w:t>
              </w:r>
            </w:hyperlink>
          </w:p>
        </w:tc>
        <w:tc>
          <w:tcPr>
            <w:tcW w:w="5669" w:type="dxa"/>
          </w:tcPr>
          <w:p w:rsidR="006A45AF" w:rsidRDefault="006A45AF">
            <w:pPr>
              <w:spacing w:line="240" w:lineRule="auto"/>
              <w:rPr>
                <w:sz w:val="24"/>
                <w:rtl/>
              </w:rPr>
            </w:pPr>
            <w:r>
              <w:rPr>
                <w:sz w:val="24"/>
                <w:rtl/>
              </w:rPr>
              <w:t>העדר אפשרות להשתתף בדיון או לסיימו</w:t>
            </w:r>
          </w:p>
        </w:tc>
        <w:tc>
          <w:tcPr>
            <w:tcW w:w="1247" w:type="dxa"/>
          </w:tcPr>
          <w:p w:rsidR="006A45AF" w:rsidRDefault="006A45AF">
            <w:pPr>
              <w:spacing w:line="240" w:lineRule="auto"/>
              <w:rPr>
                <w:sz w:val="24"/>
              </w:rPr>
            </w:pPr>
            <w:r>
              <w:rPr>
                <w:sz w:val="24"/>
                <w:rtl/>
              </w:rPr>
              <w:t xml:space="preserve">סעיף 22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2E4627">
              <w:rPr>
                <w:noProof/>
                <w:sz w:val="24"/>
                <w:rtl/>
              </w:rPr>
              <w:t>5</w:t>
            </w:r>
            <w:r>
              <w:rPr>
                <w:sz w:val="24"/>
                <w:rtl/>
              </w:rPr>
              <w:fldChar w:fldCharType="end"/>
            </w:r>
          </w:p>
        </w:tc>
        <w:tc>
          <w:tcPr>
            <w:tcW w:w="567" w:type="dxa"/>
          </w:tcPr>
          <w:p w:rsidR="006A45AF" w:rsidRDefault="006A45AF">
            <w:pPr>
              <w:spacing w:line="240" w:lineRule="auto"/>
              <w:rPr>
                <w:sz w:val="24"/>
              </w:rPr>
            </w:pPr>
            <w:hyperlink w:anchor="Seif22" w:tooltip="פסילת חבר ועדת אתיקה" w:history="1">
              <w:r>
                <w:rPr>
                  <w:rStyle w:val="Hyperlink"/>
                </w:rPr>
                <w:t>Go</w:t>
              </w:r>
            </w:hyperlink>
          </w:p>
        </w:tc>
        <w:tc>
          <w:tcPr>
            <w:tcW w:w="5669" w:type="dxa"/>
          </w:tcPr>
          <w:p w:rsidR="006A45AF" w:rsidRDefault="006A45AF">
            <w:pPr>
              <w:spacing w:line="240" w:lineRule="auto"/>
              <w:rPr>
                <w:sz w:val="24"/>
                <w:rtl/>
              </w:rPr>
            </w:pPr>
            <w:r>
              <w:rPr>
                <w:sz w:val="24"/>
                <w:rtl/>
              </w:rPr>
              <w:t>פסילת חבר ועדת אתיקה</w:t>
            </w:r>
          </w:p>
        </w:tc>
        <w:tc>
          <w:tcPr>
            <w:tcW w:w="1247" w:type="dxa"/>
          </w:tcPr>
          <w:p w:rsidR="006A45AF" w:rsidRDefault="006A45AF">
            <w:pPr>
              <w:spacing w:line="240" w:lineRule="auto"/>
              <w:rPr>
                <w:sz w:val="24"/>
              </w:rPr>
            </w:pPr>
            <w:r>
              <w:rPr>
                <w:sz w:val="24"/>
                <w:rtl/>
              </w:rPr>
              <w:t xml:space="preserve">סעיף 23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2E4627">
              <w:rPr>
                <w:noProof/>
                <w:sz w:val="24"/>
                <w:rtl/>
              </w:rPr>
              <w:t>5</w:t>
            </w:r>
            <w:r>
              <w:rPr>
                <w:sz w:val="24"/>
                <w:rtl/>
              </w:rPr>
              <w:fldChar w:fldCharType="end"/>
            </w:r>
          </w:p>
        </w:tc>
        <w:tc>
          <w:tcPr>
            <w:tcW w:w="567" w:type="dxa"/>
          </w:tcPr>
          <w:p w:rsidR="006A45AF" w:rsidRDefault="006A45AF">
            <w:pPr>
              <w:spacing w:line="240" w:lineRule="auto"/>
              <w:rPr>
                <w:sz w:val="24"/>
              </w:rPr>
            </w:pPr>
            <w:hyperlink w:anchor="Seif23" w:tooltip="תשובת הנאשם לקובלנה" w:history="1">
              <w:r>
                <w:rPr>
                  <w:rStyle w:val="Hyperlink"/>
                </w:rPr>
                <w:t>Go</w:t>
              </w:r>
            </w:hyperlink>
          </w:p>
        </w:tc>
        <w:tc>
          <w:tcPr>
            <w:tcW w:w="5669" w:type="dxa"/>
          </w:tcPr>
          <w:p w:rsidR="006A45AF" w:rsidRDefault="006A45AF">
            <w:pPr>
              <w:spacing w:line="240" w:lineRule="auto"/>
              <w:rPr>
                <w:sz w:val="24"/>
                <w:rtl/>
              </w:rPr>
            </w:pPr>
            <w:r>
              <w:rPr>
                <w:sz w:val="24"/>
                <w:rtl/>
              </w:rPr>
              <w:t>תשובת הנאשם לקובלנה</w:t>
            </w:r>
          </w:p>
        </w:tc>
        <w:tc>
          <w:tcPr>
            <w:tcW w:w="1247" w:type="dxa"/>
          </w:tcPr>
          <w:p w:rsidR="006A45AF" w:rsidRDefault="006A45AF">
            <w:pPr>
              <w:spacing w:line="240" w:lineRule="auto"/>
              <w:rPr>
                <w:sz w:val="24"/>
              </w:rPr>
            </w:pPr>
            <w:r>
              <w:rPr>
                <w:sz w:val="24"/>
                <w:rtl/>
              </w:rPr>
              <w:t xml:space="preserve">סעיף 24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2E4627">
              <w:rPr>
                <w:noProof/>
                <w:sz w:val="24"/>
                <w:rtl/>
              </w:rPr>
              <w:t>5</w:t>
            </w:r>
            <w:r>
              <w:rPr>
                <w:sz w:val="24"/>
                <w:rtl/>
              </w:rPr>
              <w:fldChar w:fldCharType="end"/>
            </w:r>
          </w:p>
        </w:tc>
        <w:tc>
          <w:tcPr>
            <w:tcW w:w="567" w:type="dxa"/>
          </w:tcPr>
          <w:p w:rsidR="006A45AF" w:rsidRDefault="006A45AF">
            <w:pPr>
              <w:spacing w:line="240" w:lineRule="auto"/>
              <w:rPr>
                <w:sz w:val="24"/>
              </w:rPr>
            </w:pPr>
            <w:hyperlink w:anchor="Seif24" w:tooltip="ראיות מטעם הקובל והנאשם" w:history="1">
              <w:r>
                <w:rPr>
                  <w:rStyle w:val="Hyperlink"/>
                </w:rPr>
                <w:t>Go</w:t>
              </w:r>
            </w:hyperlink>
          </w:p>
        </w:tc>
        <w:tc>
          <w:tcPr>
            <w:tcW w:w="5669" w:type="dxa"/>
          </w:tcPr>
          <w:p w:rsidR="006A45AF" w:rsidRDefault="006A45AF">
            <w:pPr>
              <w:spacing w:line="240" w:lineRule="auto"/>
              <w:rPr>
                <w:sz w:val="24"/>
                <w:rtl/>
              </w:rPr>
            </w:pPr>
            <w:r>
              <w:rPr>
                <w:sz w:val="24"/>
                <w:rtl/>
              </w:rPr>
              <w:t>ראיות מטעם הקובל והנאשם</w:t>
            </w:r>
          </w:p>
        </w:tc>
        <w:tc>
          <w:tcPr>
            <w:tcW w:w="1247" w:type="dxa"/>
          </w:tcPr>
          <w:p w:rsidR="006A45AF" w:rsidRDefault="006A45AF">
            <w:pPr>
              <w:spacing w:line="240" w:lineRule="auto"/>
              <w:rPr>
                <w:sz w:val="24"/>
              </w:rPr>
            </w:pPr>
            <w:r>
              <w:rPr>
                <w:sz w:val="24"/>
                <w:rtl/>
              </w:rPr>
              <w:t xml:space="preserve">סעיף 25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2E4627">
              <w:rPr>
                <w:noProof/>
                <w:sz w:val="24"/>
                <w:rtl/>
              </w:rPr>
              <w:t>5</w:t>
            </w:r>
            <w:r>
              <w:rPr>
                <w:sz w:val="24"/>
                <w:rtl/>
              </w:rPr>
              <w:fldChar w:fldCharType="end"/>
            </w:r>
          </w:p>
        </w:tc>
        <w:tc>
          <w:tcPr>
            <w:tcW w:w="567" w:type="dxa"/>
          </w:tcPr>
          <w:p w:rsidR="006A45AF" w:rsidRDefault="006A45AF">
            <w:pPr>
              <w:spacing w:line="240" w:lineRule="auto"/>
              <w:rPr>
                <w:sz w:val="24"/>
              </w:rPr>
            </w:pPr>
            <w:hyperlink w:anchor="Seif25" w:tooltip="ראיות מטעם ועדת אתיקה וראיות נוספות" w:history="1">
              <w:r>
                <w:rPr>
                  <w:rStyle w:val="Hyperlink"/>
                </w:rPr>
                <w:t>Go</w:t>
              </w:r>
            </w:hyperlink>
          </w:p>
        </w:tc>
        <w:tc>
          <w:tcPr>
            <w:tcW w:w="5669" w:type="dxa"/>
          </w:tcPr>
          <w:p w:rsidR="006A45AF" w:rsidRDefault="006A45AF">
            <w:pPr>
              <w:spacing w:line="240" w:lineRule="auto"/>
              <w:rPr>
                <w:sz w:val="24"/>
                <w:rtl/>
              </w:rPr>
            </w:pPr>
            <w:r>
              <w:rPr>
                <w:sz w:val="24"/>
                <w:rtl/>
              </w:rPr>
              <w:t>ראיות מטעם ועדת אתיקה וראיות נוספות</w:t>
            </w:r>
          </w:p>
        </w:tc>
        <w:tc>
          <w:tcPr>
            <w:tcW w:w="1247" w:type="dxa"/>
          </w:tcPr>
          <w:p w:rsidR="006A45AF" w:rsidRDefault="006A45AF">
            <w:pPr>
              <w:spacing w:line="240" w:lineRule="auto"/>
              <w:rPr>
                <w:sz w:val="24"/>
              </w:rPr>
            </w:pPr>
            <w:r>
              <w:rPr>
                <w:sz w:val="24"/>
                <w:rtl/>
              </w:rPr>
              <w:t xml:space="preserve">סעיף 26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2E4627">
              <w:rPr>
                <w:noProof/>
                <w:sz w:val="24"/>
                <w:rtl/>
              </w:rPr>
              <w:t>5</w:t>
            </w:r>
            <w:r>
              <w:rPr>
                <w:sz w:val="24"/>
                <w:rtl/>
              </w:rPr>
              <w:fldChar w:fldCharType="end"/>
            </w:r>
          </w:p>
        </w:tc>
        <w:tc>
          <w:tcPr>
            <w:tcW w:w="567" w:type="dxa"/>
          </w:tcPr>
          <w:p w:rsidR="006A45AF" w:rsidRDefault="006A45AF">
            <w:pPr>
              <w:spacing w:line="240" w:lineRule="auto"/>
              <w:rPr>
                <w:sz w:val="24"/>
              </w:rPr>
            </w:pPr>
            <w:hyperlink w:anchor="Seif26" w:tooltip="סדר חקירת עדים והגשת ראיות אחרות" w:history="1">
              <w:r>
                <w:rPr>
                  <w:rStyle w:val="Hyperlink"/>
                </w:rPr>
                <w:t>Go</w:t>
              </w:r>
            </w:hyperlink>
          </w:p>
        </w:tc>
        <w:tc>
          <w:tcPr>
            <w:tcW w:w="5669" w:type="dxa"/>
          </w:tcPr>
          <w:p w:rsidR="006A45AF" w:rsidRDefault="006A45AF">
            <w:pPr>
              <w:spacing w:line="240" w:lineRule="auto"/>
              <w:rPr>
                <w:sz w:val="24"/>
                <w:rtl/>
              </w:rPr>
            </w:pPr>
            <w:r>
              <w:rPr>
                <w:sz w:val="24"/>
                <w:rtl/>
              </w:rPr>
              <w:t>סדר חקירת עדים והגשת ראיות אחרות</w:t>
            </w:r>
          </w:p>
        </w:tc>
        <w:tc>
          <w:tcPr>
            <w:tcW w:w="1247" w:type="dxa"/>
          </w:tcPr>
          <w:p w:rsidR="006A45AF" w:rsidRDefault="006A45AF">
            <w:pPr>
              <w:spacing w:line="240" w:lineRule="auto"/>
              <w:rPr>
                <w:sz w:val="24"/>
              </w:rPr>
            </w:pPr>
            <w:r>
              <w:rPr>
                <w:sz w:val="24"/>
                <w:rtl/>
              </w:rPr>
              <w:t xml:space="preserve">סעיף 27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2E4627">
              <w:rPr>
                <w:noProof/>
                <w:sz w:val="24"/>
                <w:rtl/>
              </w:rPr>
              <w:t>5</w:t>
            </w:r>
            <w:r>
              <w:rPr>
                <w:sz w:val="24"/>
                <w:rtl/>
              </w:rPr>
              <w:fldChar w:fldCharType="end"/>
            </w:r>
          </w:p>
        </w:tc>
        <w:tc>
          <w:tcPr>
            <w:tcW w:w="567" w:type="dxa"/>
          </w:tcPr>
          <w:p w:rsidR="006A45AF" w:rsidRDefault="006A45AF">
            <w:pPr>
              <w:spacing w:line="240" w:lineRule="auto"/>
              <w:rPr>
                <w:sz w:val="24"/>
              </w:rPr>
            </w:pPr>
            <w:hyperlink w:anchor="Seif27" w:tooltip="סיכומים" w:history="1">
              <w:r>
                <w:rPr>
                  <w:rStyle w:val="Hyperlink"/>
                </w:rPr>
                <w:t>Go</w:t>
              </w:r>
            </w:hyperlink>
          </w:p>
        </w:tc>
        <w:tc>
          <w:tcPr>
            <w:tcW w:w="5669" w:type="dxa"/>
          </w:tcPr>
          <w:p w:rsidR="006A45AF" w:rsidRDefault="006A45AF">
            <w:pPr>
              <w:spacing w:line="240" w:lineRule="auto"/>
              <w:rPr>
                <w:sz w:val="24"/>
                <w:rtl/>
              </w:rPr>
            </w:pPr>
            <w:r>
              <w:rPr>
                <w:sz w:val="24"/>
                <w:rtl/>
              </w:rPr>
              <w:t>סיכומים</w:t>
            </w:r>
          </w:p>
        </w:tc>
        <w:tc>
          <w:tcPr>
            <w:tcW w:w="1247" w:type="dxa"/>
          </w:tcPr>
          <w:p w:rsidR="006A45AF" w:rsidRDefault="006A45AF">
            <w:pPr>
              <w:spacing w:line="240" w:lineRule="auto"/>
              <w:rPr>
                <w:sz w:val="24"/>
              </w:rPr>
            </w:pPr>
            <w:r>
              <w:rPr>
                <w:sz w:val="24"/>
                <w:rtl/>
              </w:rPr>
              <w:t xml:space="preserve">סעיף 28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2E4627">
              <w:rPr>
                <w:noProof/>
                <w:sz w:val="24"/>
                <w:rtl/>
              </w:rPr>
              <w:t>6</w:t>
            </w:r>
            <w:r>
              <w:rPr>
                <w:sz w:val="24"/>
                <w:rtl/>
              </w:rPr>
              <w:fldChar w:fldCharType="end"/>
            </w:r>
          </w:p>
        </w:tc>
        <w:tc>
          <w:tcPr>
            <w:tcW w:w="567" w:type="dxa"/>
          </w:tcPr>
          <w:p w:rsidR="006A45AF" w:rsidRDefault="006A45AF">
            <w:pPr>
              <w:spacing w:line="240" w:lineRule="auto"/>
              <w:rPr>
                <w:sz w:val="24"/>
              </w:rPr>
            </w:pPr>
            <w:hyperlink w:anchor="Seif28" w:tooltip="הכרעת הדין" w:history="1">
              <w:r>
                <w:rPr>
                  <w:rStyle w:val="Hyperlink"/>
                </w:rPr>
                <w:t>Go</w:t>
              </w:r>
            </w:hyperlink>
          </w:p>
        </w:tc>
        <w:tc>
          <w:tcPr>
            <w:tcW w:w="5669" w:type="dxa"/>
          </w:tcPr>
          <w:p w:rsidR="006A45AF" w:rsidRDefault="006A45AF">
            <w:pPr>
              <w:spacing w:line="240" w:lineRule="auto"/>
              <w:rPr>
                <w:sz w:val="24"/>
                <w:rtl/>
              </w:rPr>
            </w:pPr>
            <w:r>
              <w:rPr>
                <w:sz w:val="24"/>
                <w:rtl/>
              </w:rPr>
              <w:t>הכרעת הדין</w:t>
            </w:r>
          </w:p>
        </w:tc>
        <w:tc>
          <w:tcPr>
            <w:tcW w:w="1247" w:type="dxa"/>
          </w:tcPr>
          <w:p w:rsidR="006A45AF" w:rsidRDefault="006A45AF">
            <w:pPr>
              <w:spacing w:line="240" w:lineRule="auto"/>
              <w:rPr>
                <w:sz w:val="24"/>
              </w:rPr>
            </w:pPr>
            <w:r>
              <w:rPr>
                <w:sz w:val="24"/>
                <w:rtl/>
              </w:rPr>
              <w:t xml:space="preserve">סעיף 29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2E4627">
              <w:rPr>
                <w:noProof/>
                <w:sz w:val="24"/>
                <w:rtl/>
              </w:rPr>
              <w:t>6</w:t>
            </w:r>
            <w:r>
              <w:rPr>
                <w:sz w:val="24"/>
                <w:rtl/>
              </w:rPr>
              <w:fldChar w:fldCharType="end"/>
            </w:r>
          </w:p>
        </w:tc>
        <w:tc>
          <w:tcPr>
            <w:tcW w:w="567" w:type="dxa"/>
          </w:tcPr>
          <w:p w:rsidR="006A45AF" w:rsidRDefault="006A45AF">
            <w:pPr>
              <w:spacing w:line="240" w:lineRule="auto"/>
              <w:rPr>
                <w:sz w:val="24"/>
              </w:rPr>
            </w:pPr>
            <w:hyperlink w:anchor="Seif29" w:tooltip="הרשעה בעבירות אחדות" w:history="1">
              <w:r>
                <w:rPr>
                  <w:rStyle w:val="Hyperlink"/>
                </w:rPr>
                <w:t>Go</w:t>
              </w:r>
            </w:hyperlink>
          </w:p>
        </w:tc>
        <w:tc>
          <w:tcPr>
            <w:tcW w:w="5669" w:type="dxa"/>
          </w:tcPr>
          <w:p w:rsidR="006A45AF" w:rsidRDefault="006A45AF">
            <w:pPr>
              <w:spacing w:line="240" w:lineRule="auto"/>
              <w:rPr>
                <w:sz w:val="24"/>
                <w:rtl/>
              </w:rPr>
            </w:pPr>
            <w:r>
              <w:rPr>
                <w:sz w:val="24"/>
                <w:rtl/>
              </w:rPr>
              <w:t>הרשעה בעבירות אחדות</w:t>
            </w:r>
          </w:p>
        </w:tc>
        <w:tc>
          <w:tcPr>
            <w:tcW w:w="1247" w:type="dxa"/>
          </w:tcPr>
          <w:p w:rsidR="006A45AF" w:rsidRDefault="006A45AF">
            <w:pPr>
              <w:spacing w:line="240" w:lineRule="auto"/>
              <w:rPr>
                <w:sz w:val="24"/>
              </w:rPr>
            </w:pPr>
            <w:r>
              <w:rPr>
                <w:sz w:val="24"/>
                <w:rtl/>
              </w:rPr>
              <w:t xml:space="preserve">סעיף 30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2E4627">
              <w:rPr>
                <w:noProof/>
                <w:sz w:val="24"/>
                <w:rtl/>
              </w:rPr>
              <w:t>6</w:t>
            </w:r>
            <w:r>
              <w:rPr>
                <w:sz w:val="24"/>
                <w:rtl/>
              </w:rPr>
              <w:fldChar w:fldCharType="end"/>
            </w:r>
          </w:p>
        </w:tc>
        <w:tc>
          <w:tcPr>
            <w:tcW w:w="567" w:type="dxa"/>
          </w:tcPr>
          <w:p w:rsidR="006A45AF" w:rsidRDefault="006A45AF">
            <w:pPr>
              <w:spacing w:line="240" w:lineRule="auto"/>
              <w:rPr>
                <w:sz w:val="24"/>
              </w:rPr>
            </w:pPr>
            <w:hyperlink w:anchor="Seif30" w:tooltip="טענות וראיות לעונש" w:history="1">
              <w:r>
                <w:rPr>
                  <w:rStyle w:val="Hyperlink"/>
                </w:rPr>
                <w:t>Go</w:t>
              </w:r>
            </w:hyperlink>
          </w:p>
        </w:tc>
        <w:tc>
          <w:tcPr>
            <w:tcW w:w="5669" w:type="dxa"/>
          </w:tcPr>
          <w:p w:rsidR="006A45AF" w:rsidRDefault="006A45AF">
            <w:pPr>
              <w:spacing w:line="240" w:lineRule="auto"/>
              <w:rPr>
                <w:sz w:val="24"/>
                <w:rtl/>
              </w:rPr>
            </w:pPr>
            <w:r>
              <w:rPr>
                <w:sz w:val="24"/>
                <w:rtl/>
              </w:rPr>
              <w:t>טענות וראיות לעונש</w:t>
            </w:r>
          </w:p>
        </w:tc>
        <w:tc>
          <w:tcPr>
            <w:tcW w:w="1247" w:type="dxa"/>
          </w:tcPr>
          <w:p w:rsidR="006A45AF" w:rsidRDefault="006A45AF">
            <w:pPr>
              <w:spacing w:line="240" w:lineRule="auto"/>
              <w:rPr>
                <w:sz w:val="24"/>
              </w:rPr>
            </w:pPr>
            <w:r>
              <w:rPr>
                <w:sz w:val="24"/>
                <w:rtl/>
              </w:rPr>
              <w:t xml:space="preserve">סעיף 31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Seif31</w:instrText>
            </w:r>
            <w:r>
              <w:rPr>
                <w:sz w:val="24"/>
                <w:rtl/>
              </w:rPr>
              <w:instrText xml:space="preserve"> </w:instrText>
            </w:r>
            <w:r>
              <w:rPr>
                <w:sz w:val="24"/>
                <w:rtl/>
              </w:rPr>
              <w:fldChar w:fldCharType="separate"/>
            </w:r>
            <w:r w:rsidR="002E4627">
              <w:rPr>
                <w:noProof/>
                <w:sz w:val="24"/>
                <w:rtl/>
              </w:rPr>
              <w:t>6</w:t>
            </w:r>
            <w:r>
              <w:rPr>
                <w:sz w:val="24"/>
                <w:rtl/>
              </w:rPr>
              <w:fldChar w:fldCharType="end"/>
            </w:r>
          </w:p>
        </w:tc>
        <w:tc>
          <w:tcPr>
            <w:tcW w:w="567" w:type="dxa"/>
          </w:tcPr>
          <w:p w:rsidR="006A45AF" w:rsidRDefault="006A45AF">
            <w:pPr>
              <w:spacing w:line="240" w:lineRule="auto"/>
              <w:rPr>
                <w:sz w:val="24"/>
              </w:rPr>
            </w:pPr>
            <w:hyperlink w:anchor="Seif31" w:tooltip="הטלת העונש" w:history="1">
              <w:r>
                <w:rPr>
                  <w:rStyle w:val="Hyperlink"/>
                </w:rPr>
                <w:t>Go</w:t>
              </w:r>
            </w:hyperlink>
          </w:p>
        </w:tc>
        <w:tc>
          <w:tcPr>
            <w:tcW w:w="5669" w:type="dxa"/>
          </w:tcPr>
          <w:p w:rsidR="006A45AF" w:rsidRDefault="006A45AF">
            <w:pPr>
              <w:spacing w:line="240" w:lineRule="auto"/>
              <w:rPr>
                <w:sz w:val="24"/>
                <w:rtl/>
              </w:rPr>
            </w:pPr>
            <w:r>
              <w:rPr>
                <w:sz w:val="24"/>
                <w:rtl/>
              </w:rPr>
              <w:t>הטלת העונש</w:t>
            </w:r>
          </w:p>
        </w:tc>
        <w:tc>
          <w:tcPr>
            <w:tcW w:w="1247" w:type="dxa"/>
          </w:tcPr>
          <w:p w:rsidR="006A45AF" w:rsidRDefault="006A45AF">
            <w:pPr>
              <w:spacing w:line="240" w:lineRule="auto"/>
              <w:rPr>
                <w:sz w:val="24"/>
              </w:rPr>
            </w:pPr>
            <w:r>
              <w:rPr>
                <w:sz w:val="24"/>
                <w:rtl/>
              </w:rPr>
              <w:t xml:space="preserve">סעיף 32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Seif32</w:instrText>
            </w:r>
            <w:r>
              <w:rPr>
                <w:sz w:val="24"/>
                <w:rtl/>
              </w:rPr>
              <w:instrText xml:space="preserve"> </w:instrText>
            </w:r>
            <w:r>
              <w:rPr>
                <w:sz w:val="24"/>
                <w:rtl/>
              </w:rPr>
              <w:fldChar w:fldCharType="separate"/>
            </w:r>
            <w:r w:rsidR="002E4627">
              <w:rPr>
                <w:noProof/>
                <w:sz w:val="24"/>
                <w:rtl/>
              </w:rPr>
              <w:t>6</w:t>
            </w:r>
            <w:r>
              <w:rPr>
                <w:sz w:val="24"/>
                <w:rtl/>
              </w:rPr>
              <w:fldChar w:fldCharType="end"/>
            </w:r>
          </w:p>
        </w:tc>
        <w:tc>
          <w:tcPr>
            <w:tcW w:w="567" w:type="dxa"/>
          </w:tcPr>
          <w:p w:rsidR="006A45AF" w:rsidRDefault="006A45AF">
            <w:pPr>
              <w:spacing w:line="240" w:lineRule="auto"/>
              <w:rPr>
                <w:sz w:val="24"/>
              </w:rPr>
            </w:pPr>
            <w:hyperlink w:anchor="Seif32" w:tooltip="חריגה מהמועד" w:history="1">
              <w:r>
                <w:rPr>
                  <w:rStyle w:val="Hyperlink"/>
                </w:rPr>
                <w:t>Go</w:t>
              </w:r>
            </w:hyperlink>
          </w:p>
        </w:tc>
        <w:tc>
          <w:tcPr>
            <w:tcW w:w="5669" w:type="dxa"/>
          </w:tcPr>
          <w:p w:rsidR="006A45AF" w:rsidRDefault="006A45AF">
            <w:pPr>
              <w:spacing w:line="240" w:lineRule="auto"/>
              <w:rPr>
                <w:sz w:val="24"/>
                <w:rtl/>
              </w:rPr>
            </w:pPr>
            <w:r>
              <w:rPr>
                <w:sz w:val="24"/>
                <w:rtl/>
              </w:rPr>
              <w:t>חריגה מהמועד</w:t>
            </w:r>
          </w:p>
        </w:tc>
        <w:tc>
          <w:tcPr>
            <w:tcW w:w="1247" w:type="dxa"/>
          </w:tcPr>
          <w:p w:rsidR="006A45AF" w:rsidRDefault="006A45AF">
            <w:pPr>
              <w:spacing w:line="240" w:lineRule="auto"/>
              <w:rPr>
                <w:sz w:val="24"/>
              </w:rPr>
            </w:pPr>
            <w:r>
              <w:rPr>
                <w:sz w:val="24"/>
                <w:rtl/>
              </w:rPr>
              <w:t xml:space="preserve">סעיף 33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Seif33</w:instrText>
            </w:r>
            <w:r>
              <w:rPr>
                <w:sz w:val="24"/>
                <w:rtl/>
              </w:rPr>
              <w:instrText xml:space="preserve"> </w:instrText>
            </w:r>
            <w:r>
              <w:rPr>
                <w:sz w:val="24"/>
                <w:rtl/>
              </w:rPr>
              <w:fldChar w:fldCharType="separate"/>
            </w:r>
            <w:r w:rsidR="002E4627">
              <w:rPr>
                <w:noProof/>
                <w:sz w:val="24"/>
                <w:rtl/>
              </w:rPr>
              <w:t>6</w:t>
            </w:r>
            <w:r>
              <w:rPr>
                <w:sz w:val="24"/>
                <w:rtl/>
              </w:rPr>
              <w:fldChar w:fldCharType="end"/>
            </w:r>
          </w:p>
        </w:tc>
        <w:tc>
          <w:tcPr>
            <w:tcW w:w="567" w:type="dxa"/>
          </w:tcPr>
          <w:p w:rsidR="006A45AF" w:rsidRDefault="006A45AF">
            <w:pPr>
              <w:spacing w:line="240" w:lineRule="auto"/>
              <w:rPr>
                <w:sz w:val="24"/>
              </w:rPr>
            </w:pPr>
            <w:hyperlink w:anchor="Seif33" w:tooltip="דיון בהעדר הנאשם" w:history="1">
              <w:r>
                <w:rPr>
                  <w:rStyle w:val="Hyperlink"/>
                </w:rPr>
                <w:t>Go</w:t>
              </w:r>
            </w:hyperlink>
          </w:p>
        </w:tc>
        <w:tc>
          <w:tcPr>
            <w:tcW w:w="5669" w:type="dxa"/>
          </w:tcPr>
          <w:p w:rsidR="006A45AF" w:rsidRDefault="006A45AF">
            <w:pPr>
              <w:spacing w:line="240" w:lineRule="auto"/>
              <w:rPr>
                <w:sz w:val="24"/>
                <w:rtl/>
              </w:rPr>
            </w:pPr>
            <w:r>
              <w:rPr>
                <w:sz w:val="24"/>
                <w:rtl/>
              </w:rPr>
              <w:t>דיון בהעדר הנאשם</w:t>
            </w:r>
          </w:p>
        </w:tc>
        <w:tc>
          <w:tcPr>
            <w:tcW w:w="1247" w:type="dxa"/>
          </w:tcPr>
          <w:p w:rsidR="006A45AF" w:rsidRDefault="006A45AF">
            <w:pPr>
              <w:spacing w:line="240" w:lineRule="auto"/>
              <w:rPr>
                <w:sz w:val="24"/>
              </w:rPr>
            </w:pPr>
            <w:r>
              <w:rPr>
                <w:sz w:val="24"/>
                <w:rtl/>
              </w:rPr>
              <w:t xml:space="preserve">סעיף 34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Seif34</w:instrText>
            </w:r>
            <w:r>
              <w:rPr>
                <w:sz w:val="24"/>
                <w:rtl/>
              </w:rPr>
              <w:instrText xml:space="preserve"> </w:instrText>
            </w:r>
            <w:r>
              <w:rPr>
                <w:sz w:val="24"/>
                <w:rtl/>
              </w:rPr>
              <w:fldChar w:fldCharType="separate"/>
            </w:r>
            <w:r w:rsidR="002E4627">
              <w:rPr>
                <w:noProof/>
                <w:sz w:val="24"/>
                <w:rtl/>
              </w:rPr>
              <w:t>6</w:t>
            </w:r>
            <w:r>
              <w:rPr>
                <w:sz w:val="24"/>
                <w:rtl/>
              </w:rPr>
              <w:fldChar w:fldCharType="end"/>
            </w:r>
          </w:p>
        </w:tc>
        <w:tc>
          <w:tcPr>
            <w:tcW w:w="567" w:type="dxa"/>
          </w:tcPr>
          <w:p w:rsidR="006A45AF" w:rsidRDefault="006A45AF">
            <w:pPr>
              <w:spacing w:line="240" w:lineRule="auto"/>
              <w:rPr>
                <w:sz w:val="24"/>
              </w:rPr>
            </w:pPr>
            <w:hyperlink w:anchor="Seif34" w:tooltip="הודעה למתלונן" w:history="1">
              <w:r>
                <w:rPr>
                  <w:rStyle w:val="Hyperlink"/>
                </w:rPr>
                <w:t>Go</w:t>
              </w:r>
            </w:hyperlink>
          </w:p>
        </w:tc>
        <w:tc>
          <w:tcPr>
            <w:tcW w:w="5669" w:type="dxa"/>
          </w:tcPr>
          <w:p w:rsidR="006A45AF" w:rsidRDefault="006A45AF">
            <w:pPr>
              <w:spacing w:line="240" w:lineRule="auto"/>
              <w:rPr>
                <w:sz w:val="24"/>
                <w:rtl/>
              </w:rPr>
            </w:pPr>
            <w:r>
              <w:rPr>
                <w:sz w:val="24"/>
                <w:rtl/>
              </w:rPr>
              <w:t>הודעה למתלונן</w:t>
            </w:r>
          </w:p>
        </w:tc>
        <w:tc>
          <w:tcPr>
            <w:tcW w:w="1247" w:type="dxa"/>
          </w:tcPr>
          <w:p w:rsidR="006A45AF" w:rsidRDefault="006A45AF">
            <w:pPr>
              <w:spacing w:line="240" w:lineRule="auto"/>
              <w:rPr>
                <w:sz w:val="24"/>
              </w:rPr>
            </w:pPr>
            <w:r>
              <w:rPr>
                <w:sz w:val="24"/>
                <w:rtl/>
              </w:rPr>
              <w:t xml:space="preserve">סעיף 35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Seif35</w:instrText>
            </w:r>
            <w:r>
              <w:rPr>
                <w:sz w:val="24"/>
                <w:rtl/>
              </w:rPr>
              <w:instrText xml:space="preserve"> </w:instrText>
            </w:r>
            <w:r>
              <w:rPr>
                <w:sz w:val="24"/>
                <w:rtl/>
              </w:rPr>
              <w:fldChar w:fldCharType="separate"/>
            </w:r>
            <w:r w:rsidR="002E4627">
              <w:rPr>
                <w:noProof/>
                <w:sz w:val="24"/>
                <w:rtl/>
              </w:rPr>
              <w:t>6</w:t>
            </w:r>
            <w:r>
              <w:rPr>
                <w:sz w:val="24"/>
                <w:rtl/>
              </w:rPr>
              <w:fldChar w:fldCharType="end"/>
            </w:r>
          </w:p>
        </w:tc>
        <w:tc>
          <w:tcPr>
            <w:tcW w:w="567" w:type="dxa"/>
          </w:tcPr>
          <w:p w:rsidR="006A45AF" w:rsidRDefault="006A45AF">
            <w:pPr>
              <w:spacing w:line="240" w:lineRule="auto"/>
              <w:rPr>
                <w:sz w:val="24"/>
              </w:rPr>
            </w:pPr>
            <w:hyperlink w:anchor="Seif35" w:tooltip="המצאת מסמכים" w:history="1">
              <w:r>
                <w:rPr>
                  <w:rStyle w:val="Hyperlink"/>
                </w:rPr>
                <w:t>Go</w:t>
              </w:r>
            </w:hyperlink>
          </w:p>
        </w:tc>
        <w:tc>
          <w:tcPr>
            <w:tcW w:w="5669" w:type="dxa"/>
          </w:tcPr>
          <w:p w:rsidR="006A45AF" w:rsidRDefault="006A45AF">
            <w:pPr>
              <w:spacing w:line="240" w:lineRule="auto"/>
              <w:rPr>
                <w:sz w:val="24"/>
                <w:rtl/>
              </w:rPr>
            </w:pPr>
            <w:r>
              <w:rPr>
                <w:sz w:val="24"/>
                <w:rtl/>
              </w:rPr>
              <w:t>המצאת מסמכים</w:t>
            </w:r>
          </w:p>
        </w:tc>
        <w:tc>
          <w:tcPr>
            <w:tcW w:w="1247" w:type="dxa"/>
          </w:tcPr>
          <w:p w:rsidR="006A45AF" w:rsidRDefault="006A45AF">
            <w:pPr>
              <w:spacing w:line="240" w:lineRule="auto"/>
              <w:rPr>
                <w:sz w:val="24"/>
              </w:rPr>
            </w:pPr>
            <w:r>
              <w:rPr>
                <w:sz w:val="24"/>
                <w:rtl/>
              </w:rPr>
              <w:t xml:space="preserve">סעיף 36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lastRenderedPageBreak/>
              <w:fldChar w:fldCharType="begin"/>
            </w:r>
            <w:r>
              <w:rPr>
                <w:sz w:val="24"/>
                <w:rtl/>
              </w:rPr>
              <w:instrText xml:space="preserve"> </w:instrText>
            </w:r>
            <w:r>
              <w:rPr>
                <w:sz w:val="24"/>
              </w:rPr>
              <w:instrText>PAGEREF Seif36</w:instrText>
            </w:r>
            <w:r>
              <w:rPr>
                <w:sz w:val="24"/>
                <w:rtl/>
              </w:rPr>
              <w:instrText xml:space="preserve"> </w:instrText>
            </w:r>
            <w:r>
              <w:rPr>
                <w:sz w:val="24"/>
                <w:rtl/>
              </w:rPr>
              <w:fldChar w:fldCharType="separate"/>
            </w:r>
            <w:r w:rsidR="002E4627">
              <w:rPr>
                <w:noProof/>
                <w:sz w:val="24"/>
                <w:rtl/>
              </w:rPr>
              <w:t>6</w:t>
            </w:r>
            <w:r>
              <w:rPr>
                <w:sz w:val="24"/>
                <w:rtl/>
              </w:rPr>
              <w:fldChar w:fldCharType="end"/>
            </w:r>
          </w:p>
        </w:tc>
        <w:tc>
          <w:tcPr>
            <w:tcW w:w="567" w:type="dxa"/>
          </w:tcPr>
          <w:p w:rsidR="006A45AF" w:rsidRDefault="006A45AF">
            <w:pPr>
              <w:spacing w:line="240" w:lineRule="auto"/>
              <w:rPr>
                <w:sz w:val="24"/>
              </w:rPr>
            </w:pPr>
            <w:hyperlink w:anchor="Seif36" w:tooltip="תחליף המצאה" w:history="1">
              <w:r>
                <w:rPr>
                  <w:rStyle w:val="Hyperlink"/>
                </w:rPr>
                <w:t>Go</w:t>
              </w:r>
            </w:hyperlink>
          </w:p>
        </w:tc>
        <w:tc>
          <w:tcPr>
            <w:tcW w:w="5669" w:type="dxa"/>
          </w:tcPr>
          <w:p w:rsidR="006A45AF" w:rsidRDefault="006A45AF">
            <w:pPr>
              <w:spacing w:line="240" w:lineRule="auto"/>
              <w:rPr>
                <w:sz w:val="24"/>
                <w:rtl/>
              </w:rPr>
            </w:pPr>
            <w:r>
              <w:rPr>
                <w:sz w:val="24"/>
                <w:rtl/>
              </w:rPr>
              <w:t>תחליף המצאה</w:t>
            </w:r>
          </w:p>
        </w:tc>
        <w:tc>
          <w:tcPr>
            <w:tcW w:w="1247" w:type="dxa"/>
          </w:tcPr>
          <w:p w:rsidR="006A45AF" w:rsidRDefault="006A45AF">
            <w:pPr>
              <w:spacing w:line="240" w:lineRule="auto"/>
              <w:rPr>
                <w:sz w:val="24"/>
              </w:rPr>
            </w:pPr>
            <w:r>
              <w:rPr>
                <w:sz w:val="24"/>
                <w:rtl/>
              </w:rPr>
              <w:t xml:space="preserve">סעיף 37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Seif37</w:instrText>
            </w:r>
            <w:r>
              <w:rPr>
                <w:sz w:val="24"/>
                <w:rtl/>
              </w:rPr>
              <w:instrText xml:space="preserve"> </w:instrText>
            </w:r>
            <w:r>
              <w:rPr>
                <w:sz w:val="24"/>
                <w:rtl/>
              </w:rPr>
              <w:fldChar w:fldCharType="separate"/>
            </w:r>
            <w:r w:rsidR="002E4627">
              <w:rPr>
                <w:noProof/>
                <w:sz w:val="24"/>
                <w:rtl/>
              </w:rPr>
              <w:t>7</w:t>
            </w:r>
            <w:r>
              <w:rPr>
                <w:sz w:val="24"/>
                <w:rtl/>
              </w:rPr>
              <w:fldChar w:fldCharType="end"/>
            </w:r>
          </w:p>
        </w:tc>
        <w:tc>
          <w:tcPr>
            <w:tcW w:w="567" w:type="dxa"/>
          </w:tcPr>
          <w:p w:rsidR="006A45AF" w:rsidRDefault="006A45AF">
            <w:pPr>
              <w:spacing w:line="240" w:lineRule="auto"/>
              <w:rPr>
                <w:sz w:val="24"/>
              </w:rPr>
            </w:pPr>
            <w:hyperlink w:anchor="Seif37" w:tooltip="פגמים שאינם פוגמים בדיון" w:history="1">
              <w:r>
                <w:rPr>
                  <w:rStyle w:val="Hyperlink"/>
                </w:rPr>
                <w:t>Go</w:t>
              </w:r>
            </w:hyperlink>
          </w:p>
        </w:tc>
        <w:tc>
          <w:tcPr>
            <w:tcW w:w="5669" w:type="dxa"/>
          </w:tcPr>
          <w:p w:rsidR="006A45AF" w:rsidRDefault="006A45AF">
            <w:pPr>
              <w:spacing w:line="240" w:lineRule="auto"/>
              <w:rPr>
                <w:sz w:val="24"/>
                <w:rtl/>
              </w:rPr>
            </w:pPr>
            <w:r>
              <w:rPr>
                <w:sz w:val="24"/>
                <w:rtl/>
              </w:rPr>
              <w:t>פגמים שאינם פוגמים בדיון</w:t>
            </w:r>
          </w:p>
        </w:tc>
        <w:tc>
          <w:tcPr>
            <w:tcW w:w="1247" w:type="dxa"/>
          </w:tcPr>
          <w:p w:rsidR="006A45AF" w:rsidRDefault="006A45AF">
            <w:pPr>
              <w:spacing w:line="240" w:lineRule="auto"/>
              <w:rPr>
                <w:sz w:val="24"/>
              </w:rPr>
            </w:pPr>
            <w:r>
              <w:rPr>
                <w:sz w:val="24"/>
                <w:rtl/>
              </w:rPr>
              <w:t xml:space="preserve">סעיף 38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Seif38</w:instrText>
            </w:r>
            <w:r>
              <w:rPr>
                <w:sz w:val="24"/>
                <w:rtl/>
              </w:rPr>
              <w:instrText xml:space="preserve"> </w:instrText>
            </w:r>
            <w:r>
              <w:rPr>
                <w:sz w:val="24"/>
                <w:rtl/>
              </w:rPr>
              <w:fldChar w:fldCharType="separate"/>
            </w:r>
            <w:r w:rsidR="002E4627">
              <w:rPr>
                <w:noProof/>
                <w:sz w:val="24"/>
                <w:rtl/>
              </w:rPr>
              <w:t>7</w:t>
            </w:r>
            <w:r>
              <w:rPr>
                <w:sz w:val="24"/>
                <w:rtl/>
              </w:rPr>
              <w:fldChar w:fldCharType="end"/>
            </w:r>
          </w:p>
        </w:tc>
        <w:tc>
          <w:tcPr>
            <w:tcW w:w="567" w:type="dxa"/>
          </w:tcPr>
          <w:p w:rsidR="006A45AF" w:rsidRDefault="006A45AF">
            <w:pPr>
              <w:spacing w:line="240" w:lineRule="auto"/>
              <w:rPr>
                <w:sz w:val="24"/>
              </w:rPr>
            </w:pPr>
            <w:hyperlink w:anchor="Seif38" w:tooltip="סדרי דין באין הוראות" w:history="1">
              <w:r>
                <w:rPr>
                  <w:rStyle w:val="Hyperlink"/>
                </w:rPr>
                <w:t>Go</w:t>
              </w:r>
            </w:hyperlink>
          </w:p>
        </w:tc>
        <w:tc>
          <w:tcPr>
            <w:tcW w:w="5669" w:type="dxa"/>
          </w:tcPr>
          <w:p w:rsidR="006A45AF" w:rsidRDefault="006A45AF">
            <w:pPr>
              <w:spacing w:line="240" w:lineRule="auto"/>
              <w:rPr>
                <w:sz w:val="24"/>
                <w:rtl/>
              </w:rPr>
            </w:pPr>
            <w:r>
              <w:rPr>
                <w:sz w:val="24"/>
                <w:rtl/>
              </w:rPr>
              <w:t>סדרי דין באין הוראות</w:t>
            </w:r>
          </w:p>
        </w:tc>
        <w:tc>
          <w:tcPr>
            <w:tcW w:w="1247" w:type="dxa"/>
          </w:tcPr>
          <w:p w:rsidR="006A45AF" w:rsidRDefault="006A45AF">
            <w:pPr>
              <w:spacing w:line="240" w:lineRule="auto"/>
              <w:rPr>
                <w:sz w:val="24"/>
              </w:rPr>
            </w:pPr>
            <w:r>
              <w:rPr>
                <w:sz w:val="24"/>
                <w:rtl/>
              </w:rPr>
              <w:t xml:space="preserve">סעיף 39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Seif39</w:instrText>
            </w:r>
            <w:r>
              <w:rPr>
                <w:sz w:val="24"/>
                <w:rtl/>
              </w:rPr>
              <w:instrText xml:space="preserve"> </w:instrText>
            </w:r>
            <w:r>
              <w:rPr>
                <w:sz w:val="24"/>
                <w:rtl/>
              </w:rPr>
              <w:fldChar w:fldCharType="separate"/>
            </w:r>
            <w:r w:rsidR="002E4627">
              <w:rPr>
                <w:noProof/>
                <w:sz w:val="24"/>
                <w:rtl/>
              </w:rPr>
              <w:t>7</w:t>
            </w:r>
            <w:r>
              <w:rPr>
                <w:sz w:val="24"/>
                <w:rtl/>
              </w:rPr>
              <w:fldChar w:fldCharType="end"/>
            </w:r>
          </w:p>
        </w:tc>
        <w:tc>
          <w:tcPr>
            <w:tcW w:w="567" w:type="dxa"/>
          </w:tcPr>
          <w:p w:rsidR="006A45AF" w:rsidRDefault="006A45AF">
            <w:pPr>
              <w:spacing w:line="240" w:lineRule="auto"/>
              <w:rPr>
                <w:sz w:val="24"/>
              </w:rPr>
            </w:pPr>
            <w:hyperlink w:anchor="Seif39" w:tooltip="תחילה" w:history="1">
              <w:r>
                <w:rPr>
                  <w:rStyle w:val="Hyperlink"/>
                </w:rPr>
                <w:t>Go</w:t>
              </w:r>
            </w:hyperlink>
          </w:p>
        </w:tc>
        <w:tc>
          <w:tcPr>
            <w:tcW w:w="5669" w:type="dxa"/>
          </w:tcPr>
          <w:p w:rsidR="006A45AF" w:rsidRDefault="006A45AF">
            <w:pPr>
              <w:spacing w:line="240" w:lineRule="auto"/>
              <w:rPr>
                <w:sz w:val="24"/>
                <w:rtl/>
              </w:rPr>
            </w:pPr>
            <w:r>
              <w:rPr>
                <w:sz w:val="24"/>
                <w:rtl/>
              </w:rPr>
              <w:t>תחילה</w:t>
            </w:r>
          </w:p>
        </w:tc>
        <w:tc>
          <w:tcPr>
            <w:tcW w:w="1247" w:type="dxa"/>
          </w:tcPr>
          <w:p w:rsidR="006A45AF" w:rsidRDefault="006A45AF">
            <w:pPr>
              <w:spacing w:line="240" w:lineRule="auto"/>
              <w:rPr>
                <w:sz w:val="24"/>
              </w:rPr>
            </w:pPr>
            <w:r>
              <w:rPr>
                <w:sz w:val="24"/>
                <w:rtl/>
              </w:rPr>
              <w:t xml:space="preserve">סעיף 40 </w:t>
            </w:r>
          </w:p>
        </w:tc>
      </w:tr>
      <w:tr w:rsidR="006A45AF">
        <w:tblPrEx>
          <w:tblCellMar>
            <w:top w:w="0" w:type="dxa"/>
            <w:bottom w:w="0" w:type="dxa"/>
          </w:tblCellMar>
        </w:tblPrEx>
        <w:tc>
          <w:tcPr>
            <w:tcW w:w="850" w:type="dxa"/>
          </w:tcPr>
          <w:p w:rsidR="006A45AF" w:rsidRDefault="006A45AF">
            <w:pPr>
              <w:spacing w:line="240" w:lineRule="auto"/>
              <w:rPr>
                <w:sz w:val="24"/>
              </w:rPr>
            </w:pPr>
            <w:r>
              <w:rPr>
                <w:sz w:val="24"/>
                <w:rtl/>
              </w:rPr>
              <w:fldChar w:fldCharType="begin"/>
            </w:r>
            <w:r>
              <w:rPr>
                <w:sz w:val="24"/>
                <w:rtl/>
              </w:rPr>
              <w:instrText xml:space="preserve"> </w:instrText>
            </w:r>
            <w:r>
              <w:rPr>
                <w:sz w:val="24"/>
              </w:rPr>
              <w:instrText>PAGEREF Seif40</w:instrText>
            </w:r>
            <w:r>
              <w:rPr>
                <w:sz w:val="24"/>
                <w:rtl/>
              </w:rPr>
              <w:instrText xml:space="preserve"> </w:instrText>
            </w:r>
            <w:r>
              <w:rPr>
                <w:sz w:val="24"/>
                <w:rtl/>
              </w:rPr>
              <w:fldChar w:fldCharType="separate"/>
            </w:r>
            <w:r w:rsidR="002E4627">
              <w:rPr>
                <w:noProof/>
                <w:sz w:val="24"/>
                <w:rtl/>
              </w:rPr>
              <w:t>7</w:t>
            </w:r>
            <w:r>
              <w:rPr>
                <w:sz w:val="24"/>
                <w:rtl/>
              </w:rPr>
              <w:fldChar w:fldCharType="end"/>
            </w:r>
          </w:p>
        </w:tc>
        <w:tc>
          <w:tcPr>
            <w:tcW w:w="567" w:type="dxa"/>
          </w:tcPr>
          <w:p w:rsidR="006A45AF" w:rsidRDefault="006A45AF">
            <w:pPr>
              <w:spacing w:line="240" w:lineRule="auto"/>
              <w:rPr>
                <w:sz w:val="24"/>
              </w:rPr>
            </w:pPr>
            <w:hyperlink w:anchor="Seif40" w:tooltip="הוראת מעבר" w:history="1">
              <w:r>
                <w:rPr>
                  <w:rStyle w:val="Hyperlink"/>
                </w:rPr>
                <w:t>Go</w:t>
              </w:r>
            </w:hyperlink>
          </w:p>
        </w:tc>
        <w:tc>
          <w:tcPr>
            <w:tcW w:w="5669" w:type="dxa"/>
          </w:tcPr>
          <w:p w:rsidR="006A45AF" w:rsidRDefault="006A45AF">
            <w:pPr>
              <w:spacing w:line="240" w:lineRule="auto"/>
              <w:rPr>
                <w:sz w:val="24"/>
                <w:rtl/>
              </w:rPr>
            </w:pPr>
            <w:r>
              <w:rPr>
                <w:sz w:val="24"/>
                <w:rtl/>
              </w:rPr>
              <w:t>הוראת מעבר</w:t>
            </w:r>
          </w:p>
        </w:tc>
        <w:tc>
          <w:tcPr>
            <w:tcW w:w="1247" w:type="dxa"/>
          </w:tcPr>
          <w:p w:rsidR="006A45AF" w:rsidRDefault="006A45AF">
            <w:pPr>
              <w:spacing w:line="240" w:lineRule="auto"/>
              <w:rPr>
                <w:sz w:val="24"/>
              </w:rPr>
            </w:pPr>
            <w:r>
              <w:rPr>
                <w:sz w:val="24"/>
                <w:rtl/>
              </w:rPr>
              <w:t xml:space="preserve">סעיף 41 </w:t>
            </w:r>
          </w:p>
        </w:tc>
      </w:tr>
    </w:tbl>
    <w:p w:rsidR="006A45AF" w:rsidRDefault="006A45AF">
      <w:pPr>
        <w:pStyle w:val="big-header"/>
        <w:ind w:left="0" w:right="1134"/>
        <w:rPr>
          <w:rFonts w:cs="FrankRuehl"/>
          <w:sz w:val="32"/>
          <w:rtl/>
        </w:rPr>
      </w:pPr>
    </w:p>
    <w:p w:rsidR="006A45AF" w:rsidRDefault="006A45AF" w:rsidP="00E17FA5">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המהנדסים והאדריכלים (סדרי דין בדיון לפני ועדת אתיקה), </w:t>
      </w:r>
      <w:r w:rsidR="002E4627">
        <w:rPr>
          <w:rFonts w:cs="FrankRuehl"/>
          <w:sz w:val="32"/>
          <w:rtl/>
        </w:rPr>
        <w:br/>
      </w:r>
      <w:r>
        <w:rPr>
          <w:rFonts w:cs="FrankRuehl" w:hint="cs"/>
          <w:sz w:val="32"/>
          <w:rtl/>
        </w:rPr>
        <w:t>תש"ס</w:t>
      </w:r>
      <w:r w:rsidR="002E4627">
        <w:rPr>
          <w:rFonts w:cs="FrankRuehl" w:hint="cs"/>
          <w:sz w:val="32"/>
          <w:rtl/>
        </w:rPr>
        <w:t>-</w:t>
      </w:r>
      <w:r>
        <w:rPr>
          <w:rFonts w:cs="FrankRuehl"/>
          <w:sz w:val="32"/>
          <w:rtl/>
        </w:rPr>
        <w:t>1999</w:t>
      </w:r>
      <w:r w:rsidR="002E4627">
        <w:rPr>
          <w:rStyle w:val="a6"/>
          <w:rFonts w:cs="FrankRuehl"/>
          <w:sz w:val="32"/>
          <w:rtl/>
        </w:rPr>
        <w:footnoteReference w:customMarkFollows="1" w:id="1"/>
        <w:t>*</w:t>
      </w:r>
    </w:p>
    <w:p w:rsidR="006A45AF" w:rsidRDefault="006A45AF" w:rsidP="002E462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16 ו-23 לחוק המהנדסים והאדריכלים, תשי"ח</w:t>
      </w:r>
      <w:r w:rsidR="002E4627">
        <w:rPr>
          <w:rStyle w:val="default"/>
          <w:rFonts w:cs="FrankRuehl" w:hint="cs"/>
          <w:rtl/>
        </w:rPr>
        <w:t>-</w:t>
      </w:r>
      <w:r>
        <w:rPr>
          <w:rStyle w:val="default"/>
          <w:rFonts w:cs="FrankRuehl"/>
          <w:rtl/>
        </w:rPr>
        <w:t>1958 (</w:t>
      </w:r>
      <w:r>
        <w:rPr>
          <w:rStyle w:val="default"/>
          <w:rFonts w:cs="FrankRuehl" w:hint="cs"/>
          <w:rtl/>
        </w:rPr>
        <w:t xml:space="preserve">להלן </w:t>
      </w:r>
      <w:r w:rsidR="002E4627">
        <w:rPr>
          <w:rStyle w:val="default"/>
          <w:rFonts w:cs="FrankRuehl" w:hint="cs"/>
          <w:rtl/>
        </w:rPr>
        <w:t>-</w:t>
      </w:r>
      <w:r>
        <w:rPr>
          <w:rStyle w:val="default"/>
          <w:rFonts w:cs="FrankRuehl"/>
          <w:rtl/>
        </w:rPr>
        <w:t xml:space="preserve"> </w:t>
      </w:r>
      <w:r>
        <w:rPr>
          <w:rStyle w:val="default"/>
          <w:rFonts w:cs="FrankRuehl" w:hint="cs"/>
          <w:rtl/>
        </w:rPr>
        <w:t>החוק), ולאחר התייעצות עם שר המשפטים, אני מתקין תקנות אלה:</w:t>
      </w:r>
    </w:p>
    <w:p w:rsidR="006A45AF" w:rsidRDefault="006A45AF">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85pt;z-index:251637248"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2E4627">
        <w:rPr>
          <w:rStyle w:val="default"/>
          <w:rFonts w:cs="FrankRuehl"/>
          <w:rtl/>
        </w:rPr>
        <w:t>–</w:t>
      </w:r>
    </w:p>
    <w:p w:rsidR="006A45AF" w:rsidRDefault="006A45AF" w:rsidP="002E4627">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מ</w:t>
      </w:r>
      <w:r>
        <w:rPr>
          <w:rStyle w:val="default"/>
          <w:rFonts w:cs="FrankRuehl" w:hint="cs"/>
          <w:rtl/>
        </w:rPr>
        <w:t xml:space="preserve">ועצה" </w:t>
      </w:r>
      <w:r w:rsidR="002E4627">
        <w:rPr>
          <w:rStyle w:val="default"/>
          <w:rFonts w:cs="FrankRuehl" w:hint="cs"/>
          <w:rtl/>
        </w:rPr>
        <w:t>-</w:t>
      </w:r>
      <w:r>
        <w:rPr>
          <w:rStyle w:val="default"/>
          <w:rFonts w:cs="FrankRuehl"/>
          <w:rtl/>
        </w:rPr>
        <w:t xml:space="preserve"> </w:t>
      </w:r>
      <w:r>
        <w:rPr>
          <w:rStyle w:val="default"/>
          <w:rFonts w:cs="FrankRuehl" w:hint="cs"/>
          <w:rtl/>
        </w:rPr>
        <w:t>כהגדרתה בחוק;</w:t>
      </w:r>
    </w:p>
    <w:p w:rsidR="006A45AF" w:rsidRDefault="006A45AF" w:rsidP="002E462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פנקס" </w:t>
      </w:r>
      <w:r w:rsidR="002E4627">
        <w:rPr>
          <w:rStyle w:val="default"/>
          <w:rFonts w:cs="FrankRuehl" w:hint="cs"/>
          <w:rtl/>
        </w:rPr>
        <w:t>-</w:t>
      </w:r>
      <w:r>
        <w:rPr>
          <w:rStyle w:val="default"/>
          <w:rFonts w:cs="FrankRuehl"/>
          <w:rtl/>
        </w:rPr>
        <w:t xml:space="preserve"> </w:t>
      </w:r>
      <w:r>
        <w:rPr>
          <w:rStyle w:val="default"/>
          <w:rFonts w:cs="FrankRuehl" w:hint="cs"/>
          <w:rtl/>
        </w:rPr>
        <w:t>פנקס המהנדסים והאדריכלים כהגדרתו בחוק;</w:t>
      </w:r>
    </w:p>
    <w:p w:rsidR="006A45AF" w:rsidRDefault="006A45AF" w:rsidP="002E462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2E4627">
        <w:rPr>
          <w:rStyle w:val="default"/>
          <w:rFonts w:cs="FrankRuehl" w:hint="cs"/>
          <w:rtl/>
        </w:rPr>
        <w:t>-</w:t>
      </w:r>
      <w:r>
        <w:rPr>
          <w:rStyle w:val="default"/>
          <w:rFonts w:cs="FrankRuehl"/>
          <w:rtl/>
        </w:rPr>
        <w:t xml:space="preserve"> </w:t>
      </w:r>
      <w:r>
        <w:rPr>
          <w:rStyle w:val="default"/>
          <w:rFonts w:cs="FrankRuehl" w:hint="cs"/>
          <w:rtl/>
        </w:rPr>
        <w:t>שר העבודה והרווחה.</w:t>
      </w:r>
    </w:p>
    <w:p w:rsidR="006A45AF" w:rsidRDefault="006A45AF" w:rsidP="002E4627">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9.35pt;z-index:251638272"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קו</w:t>
                  </w:r>
                  <w:r>
                    <w:rPr>
                      <w:rFonts w:cs="Miriam" w:hint="cs"/>
                      <w:sz w:val="18"/>
                      <w:szCs w:val="18"/>
                      <w:rtl/>
                    </w:rPr>
                    <w:t>בל וועדת תלונות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לונה נגד מי שרשום בפנקס (להלן </w:t>
      </w:r>
      <w:r w:rsidR="002E4627">
        <w:rPr>
          <w:rStyle w:val="default"/>
          <w:rFonts w:cs="FrankRuehl" w:hint="cs"/>
          <w:rtl/>
        </w:rPr>
        <w:t>-</w:t>
      </w:r>
      <w:r>
        <w:rPr>
          <w:rStyle w:val="default"/>
          <w:rFonts w:cs="FrankRuehl"/>
          <w:rtl/>
        </w:rPr>
        <w:t xml:space="preserve"> </w:t>
      </w:r>
      <w:r>
        <w:rPr>
          <w:rStyle w:val="default"/>
          <w:rFonts w:cs="FrankRuehl" w:hint="cs"/>
          <w:rtl/>
        </w:rPr>
        <w:t>נאשם), תובא בפני עור</w:t>
      </w:r>
      <w:r>
        <w:rPr>
          <w:rStyle w:val="default"/>
          <w:rFonts w:cs="FrankRuehl"/>
          <w:rtl/>
        </w:rPr>
        <w:t xml:space="preserve">ך </w:t>
      </w:r>
      <w:r>
        <w:rPr>
          <w:rStyle w:val="default"/>
          <w:rFonts w:cs="FrankRuehl" w:hint="cs"/>
          <w:rtl/>
        </w:rPr>
        <w:t xml:space="preserve">דין עובד משרד העבודה והרווחה, שהיועץ המשפטי של אותו משרד הסמיכו, או בפני עורך דין אחר שהיועץ המשפטי הסמיכו לענין מסוים (להלן </w:t>
      </w:r>
      <w:r w:rsidR="002E4627">
        <w:rPr>
          <w:rStyle w:val="default"/>
          <w:rFonts w:cs="FrankRuehl" w:hint="cs"/>
          <w:rtl/>
        </w:rPr>
        <w:t>-</w:t>
      </w:r>
      <w:r>
        <w:rPr>
          <w:rStyle w:val="default"/>
          <w:rFonts w:cs="FrankRuehl"/>
          <w:rtl/>
        </w:rPr>
        <w:t xml:space="preserve"> </w:t>
      </w:r>
      <w:r>
        <w:rPr>
          <w:rStyle w:val="default"/>
          <w:rFonts w:cs="FrankRuehl" w:hint="cs"/>
          <w:rtl/>
        </w:rPr>
        <w:t>קובל).</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קובל יברר את התלונה ויחליט לפי תוצאות הבירור אם יש מקום כי יגיש נגד הנאשם קובלנה לועדת אתיקה כמשמעותה בתקנה 5, הכל</w:t>
      </w:r>
      <w:r>
        <w:rPr>
          <w:rStyle w:val="default"/>
          <w:rFonts w:cs="FrankRuehl"/>
          <w:rtl/>
        </w:rPr>
        <w:t xml:space="preserve"> כ</w:t>
      </w:r>
      <w:r>
        <w:rPr>
          <w:rStyle w:val="default"/>
          <w:rFonts w:cs="FrankRuehl" w:hint="cs"/>
          <w:rtl/>
        </w:rPr>
        <w:t>מפורט בתקנות אלה.</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שר, לאחר התייעצות </w:t>
      </w:r>
      <w:r>
        <w:rPr>
          <w:rStyle w:val="default"/>
          <w:rFonts w:cs="FrankRuehl"/>
          <w:rtl/>
        </w:rPr>
        <w:t>ע</w:t>
      </w:r>
      <w:r>
        <w:rPr>
          <w:rStyle w:val="default"/>
          <w:rFonts w:cs="FrankRuehl" w:hint="cs"/>
          <w:rtl/>
        </w:rPr>
        <w:t>ם המועצה, רשאי למנות ועדת תלונות בת חמישה חברים, אדריכלים ומהנדסים, הרשומים בפנקס, שתסייע לקובל בענינים המקצועיים הכרוכים בתלונה.</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18 לחוק, יחולו בנסיבות האמורות באותו סעיף ובשינויים המחויבים לענ</w:t>
      </w:r>
      <w:r>
        <w:rPr>
          <w:rStyle w:val="default"/>
          <w:rFonts w:cs="FrankRuehl"/>
          <w:rtl/>
        </w:rPr>
        <w:t>ין</w:t>
      </w:r>
      <w:r>
        <w:rPr>
          <w:rStyle w:val="default"/>
          <w:rFonts w:cs="FrankRuehl" w:hint="cs"/>
          <w:rtl/>
        </w:rPr>
        <w:t xml:space="preserve"> קובל וועדת תלונות.</w:t>
      </w:r>
    </w:p>
    <w:p w:rsidR="006A45AF" w:rsidRDefault="006A45AF">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1.45pt;z-index:251639296"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תג</w:t>
                  </w:r>
                  <w:r>
                    <w:rPr>
                      <w:rFonts w:cs="Miriam" w:hint="cs"/>
                      <w:sz w:val="18"/>
                      <w:szCs w:val="18"/>
                      <w:rtl/>
                    </w:rPr>
                    <w:t>ובת נאשם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הקובל כי יש לכאורה ממש בתלונה, ימציא לנאשם העתק מהתלונה, וייתן לו הזדמנות להשיב עליה בכתב.</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ומצא לנאשם העתק תלונה כאמור בתקנת משנה (א), רשאי הוא להשיב עליה בתוך 14 ימים מיום שהומצאה לו או בתוך תקופה ארוכה ממנה שקבע הק</w:t>
      </w:r>
      <w:r>
        <w:rPr>
          <w:rStyle w:val="default"/>
          <w:rFonts w:cs="FrankRuehl"/>
          <w:rtl/>
        </w:rPr>
        <w:t>וב</w:t>
      </w:r>
      <w:r>
        <w:rPr>
          <w:rStyle w:val="default"/>
          <w:rFonts w:cs="FrankRuehl" w:hint="cs"/>
          <w:rtl/>
        </w:rPr>
        <w:t>ל; משעברה תקופה זו, רשאי הקוב</w:t>
      </w:r>
      <w:r>
        <w:rPr>
          <w:rStyle w:val="default"/>
          <w:rFonts w:cs="FrankRuehl"/>
          <w:rtl/>
        </w:rPr>
        <w:t>ל</w:t>
      </w:r>
      <w:r>
        <w:rPr>
          <w:rStyle w:val="default"/>
          <w:rFonts w:cs="FrankRuehl" w:hint="cs"/>
          <w:rtl/>
        </w:rPr>
        <w:t xml:space="preserve"> להגיש קובלנה לועדת אתיקה, אף אם לא השיב הנאשם על התלונה.</w:t>
      </w:r>
    </w:p>
    <w:p w:rsidR="006A45AF" w:rsidRDefault="006A45AF">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4.35pt;z-index:251640320"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פר</w:t>
                  </w:r>
                  <w:r>
                    <w:rPr>
                      <w:rFonts w:cs="Miriam" w:hint="cs"/>
                      <w:sz w:val="18"/>
                      <w:szCs w:val="18"/>
                      <w:rtl/>
                    </w:rPr>
                    <w:t>טים נוספים</w:t>
                  </w:r>
                </w:p>
              </w:txbxContent>
            </v:textbox>
            <w10:anchorlock/>
          </v:rect>
        </w:pict>
      </w:r>
      <w:r>
        <w:rPr>
          <w:rStyle w:val="big-number"/>
          <w:rFonts w:cs="Miriam"/>
          <w:rtl/>
        </w:rPr>
        <w:t>4.</w:t>
      </w:r>
      <w:r>
        <w:rPr>
          <w:rStyle w:val="big-number"/>
          <w:rFonts w:cs="Miriam"/>
          <w:rtl/>
        </w:rPr>
        <w:tab/>
      </w:r>
      <w:r>
        <w:rPr>
          <w:rStyle w:val="default"/>
          <w:rFonts w:cs="FrankRuehl"/>
          <w:rtl/>
        </w:rPr>
        <w:t>קו</w:t>
      </w:r>
      <w:r>
        <w:rPr>
          <w:rStyle w:val="default"/>
          <w:rFonts w:cs="FrankRuehl" w:hint="cs"/>
          <w:rtl/>
        </w:rPr>
        <w:t>בל רשאי, במועדים שיקבע, לדרוש מהמתלונן או מהנאשם פרטים נוספים לתלונה או לתשובה, לפי הענין, אם ראה צורך בדבר להבהרת ענין המתעורר בהן, וכן רשאי הוא לדרוש מהמתלונן</w:t>
      </w:r>
      <w:r>
        <w:rPr>
          <w:rStyle w:val="default"/>
          <w:rFonts w:cs="FrankRuehl"/>
          <w:rtl/>
        </w:rPr>
        <w:t xml:space="preserve"> א</w:t>
      </w:r>
      <w:r>
        <w:rPr>
          <w:rStyle w:val="default"/>
          <w:rFonts w:cs="FrankRuehl" w:hint="cs"/>
          <w:rtl/>
        </w:rPr>
        <w:t>ו מהנאשם ראיות</w:t>
      </w:r>
      <w:r>
        <w:rPr>
          <w:rStyle w:val="default"/>
          <w:rFonts w:cs="FrankRuehl"/>
          <w:rtl/>
        </w:rPr>
        <w:t xml:space="preserve"> </w:t>
      </w:r>
      <w:r>
        <w:rPr>
          <w:rStyle w:val="default"/>
          <w:rFonts w:cs="FrankRuehl" w:hint="cs"/>
          <w:rtl/>
        </w:rPr>
        <w:t>לאימות פרטי התלונה או התשובה.</w:t>
      </w:r>
    </w:p>
    <w:p w:rsidR="006A45AF" w:rsidRDefault="006A45AF" w:rsidP="002E4627">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3.25pt;z-index:251641344"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הג</w:t>
                  </w:r>
                  <w:r>
                    <w:rPr>
                      <w:rFonts w:cs="Miriam" w:hint="cs"/>
                      <w:sz w:val="18"/>
                      <w:szCs w:val="18"/>
                      <w:rtl/>
                    </w:rPr>
                    <w:t>שת קובלנה</w:t>
                  </w:r>
                </w:p>
              </w:txbxContent>
            </v:textbox>
            <w10:anchorlock/>
          </v:rect>
        </w:pict>
      </w:r>
      <w:r>
        <w:rPr>
          <w:rStyle w:val="big-number"/>
          <w:rFonts w:cs="Miriam"/>
          <w:rtl/>
        </w:rPr>
        <w:t>5.</w:t>
      </w:r>
      <w:r>
        <w:rPr>
          <w:rStyle w:val="big-number"/>
          <w:rFonts w:cs="Miriam"/>
          <w:rtl/>
        </w:rPr>
        <w:tab/>
      </w:r>
      <w:r>
        <w:rPr>
          <w:rStyle w:val="default"/>
          <w:rFonts w:cs="FrankRuehl"/>
          <w:rtl/>
        </w:rPr>
        <w:t>רא</w:t>
      </w:r>
      <w:r>
        <w:rPr>
          <w:rStyle w:val="default"/>
          <w:rFonts w:cs="FrankRuehl" w:hint="cs"/>
          <w:rtl/>
        </w:rPr>
        <w:t xml:space="preserve">ה הקובל כי יש מקום להגיש קובלנה נגד הנאשם על פי התלונה, יגישה לועדת אתיקה, שמינתה המועצה על פי סעיף 16(א) לחוק, בת שלושה חברים ומורכבת רובה מהנדסים או אדריכלים, מאותו ענף ההנדסה או האדריכלות אשר רשום בו </w:t>
      </w:r>
      <w:r>
        <w:rPr>
          <w:rStyle w:val="default"/>
          <w:rFonts w:cs="FrankRuehl"/>
          <w:rtl/>
        </w:rPr>
        <w:t>הנא</w:t>
      </w:r>
      <w:r>
        <w:rPr>
          <w:rStyle w:val="default"/>
          <w:rFonts w:cs="FrankRuehl" w:hint="cs"/>
          <w:rtl/>
        </w:rPr>
        <w:t xml:space="preserve">שם כאמור בסעיף 16(ב) לחוק (להלן </w:t>
      </w:r>
      <w:r w:rsidR="002E4627">
        <w:rPr>
          <w:rStyle w:val="default"/>
          <w:rFonts w:cs="FrankRuehl" w:hint="cs"/>
          <w:rtl/>
        </w:rPr>
        <w:t>-</w:t>
      </w:r>
      <w:r>
        <w:rPr>
          <w:rStyle w:val="default"/>
          <w:rFonts w:cs="FrankRuehl"/>
          <w:rtl/>
        </w:rPr>
        <w:t xml:space="preserve"> </w:t>
      </w:r>
      <w:r>
        <w:rPr>
          <w:rStyle w:val="default"/>
          <w:rFonts w:cs="FrankRuehl" w:hint="cs"/>
          <w:rtl/>
        </w:rPr>
        <w:t>ועדת אתיקה).</w:t>
      </w:r>
    </w:p>
    <w:p w:rsidR="006A45AF" w:rsidRDefault="006A45AF">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6pt;z-index:251642368" o:allowincell="f" filled="f" stroked="f" strokecolor="lime" strokeweight=".25pt">
            <v:textbox inset="0,0,0,0">
              <w:txbxContent>
                <w:p w:rsidR="006A45AF" w:rsidRDefault="006A45AF" w:rsidP="002E4627">
                  <w:pPr>
                    <w:spacing w:line="160" w:lineRule="exact"/>
                    <w:jc w:val="left"/>
                    <w:rPr>
                      <w:rFonts w:cs="Miriam"/>
                      <w:noProof/>
                      <w:sz w:val="18"/>
                      <w:szCs w:val="18"/>
                      <w:rtl/>
                    </w:rPr>
                  </w:pPr>
                  <w:r>
                    <w:rPr>
                      <w:rFonts w:cs="Miriam"/>
                      <w:sz w:val="18"/>
                      <w:szCs w:val="18"/>
                      <w:rtl/>
                    </w:rPr>
                    <w:t>אי</w:t>
                  </w:r>
                  <w:r>
                    <w:rPr>
                      <w:rFonts w:cs="Miriam" w:hint="cs"/>
                      <w:sz w:val="18"/>
                      <w:szCs w:val="18"/>
                      <w:rtl/>
                    </w:rPr>
                    <w:t>-הגשת</w:t>
                  </w:r>
                  <w:r w:rsidR="002E4627">
                    <w:rPr>
                      <w:rFonts w:cs="Miriam" w:hint="cs"/>
                      <w:sz w:val="18"/>
                      <w:szCs w:val="18"/>
                      <w:rtl/>
                    </w:rPr>
                    <w:t xml:space="preserve"> </w:t>
                  </w:r>
                  <w:r>
                    <w:rPr>
                      <w:rFonts w:cs="Miriam"/>
                      <w:sz w:val="18"/>
                      <w:szCs w:val="18"/>
                      <w:rtl/>
                    </w:rPr>
                    <w:t>קו</w:t>
                  </w:r>
                  <w:r>
                    <w:rPr>
                      <w:rFonts w:cs="Miriam" w:hint="cs"/>
                      <w:sz w:val="18"/>
                      <w:szCs w:val="18"/>
                      <w:rtl/>
                    </w:rPr>
                    <w:t>בלנה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אה הקובל כי אין לכאורה ממש בתלונה או כי אין מקום להגיש קובלנה, לא יינקטו הליכים על פי תקנות אלה, אלא אם כן הורתה ועדת אתיקה על נקיטת הליכים כאמור, בתוך 14 ימים מיום שהובא</w:t>
      </w:r>
      <w:r>
        <w:rPr>
          <w:rStyle w:val="default"/>
          <w:rFonts w:cs="FrankRuehl"/>
          <w:rtl/>
        </w:rPr>
        <w:t xml:space="preserve">ה </w:t>
      </w:r>
      <w:r>
        <w:rPr>
          <w:rStyle w:val="default"/>
          <w:rFonts w:cs="FrankRuehl" w:hint="cs"/>
          <w:rtl/>
        </w:rPr>
        <w:t>בפניה החלטת הקובל.</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הקובל תובא בפני ועדת אתיקה, בתוך 7 ימים ממועד נתינתה.</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מצא כי אין לכאורה ממש בתלונה או כי אין מקום להגיש קובלנה, ימציא הקובל הודעה מנומקת על כך למתלונן ולנאשם.</w:t>
      </w:r>
    </w:p>
    <w:p w:rsidR="006A45AF" w:rsidRDefault="006A45AF">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7.05pt;z-index:251643392"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קו</w:t>
                  </w:r>
                  <w:r>
                    <w:rPr>
                      <w:rFonts w:cs="Miriam" w:hint="cs"/>
                      <w:sz w:val="18"/>
                      <w:szCs w:val="18"/>
                      <w:rtl/>
                    </w:rPr>
                    <w:t>בלנה במספר עותקים</w:t>
                  </w:r>
                </w:p>
              </w:txbxContent>
            </v:textbox>
            <w10:anchorlock/>
          </v:rect>
        </w:pict>
      </w:r>
      <w:r>
        <w:rPr>
          <w:rStyle w:val="big-number"/>
          <w:rFonts w:cs="Miriam"/>
          <w:rtl/>
        </w:rPr>
        <w:t>7.</w:t>
      </w:r>
      <w:r>
        <w:rPr>
          <w:rStyle w:val="big-number"/>
          <w:rFonts w:cs="Miriam"/>
          <w:rtl/>
        </w:rPr>
        <w:tab/>
      </w:r>
      <w:r>
        <w:rPr>
          <w:rStyle w:val="default"/>
          <w:rFonts w:cs="FrankRuehl"/>
          <w:rtl/>
        </w:rPr>
        <w:t>קו</w:t>
      </w:r>
      <w:r>
        <w:rPr>
          <w:rStyle w:val="default"/>
          <w:rFonts w:cs="FrankRuehl" w:hint="cs"/>
          <w:rtl/>
        </w:rPr>
        <w:t xml:space="preserve">בלנה תוגש לועדת </w:t>
      </w:r>
      <w:r>
        <w:rPr>
          <w:rStyle w:val="default"/>
          <w:rFonts w:cs="FrankRuehl"/>
          <w:rtl/>
        </w:rPr>
        <w:t>א</w:t>
      </w:r>
      <w:r>
        <w:rPr>
          <w:rStyle w:val="default"/>
          <w:rFonts w:cs="FrankRuehl" w:hint="cs"/>
          <w:rtl/>
        </w:rPr>
        <w:t>תיקה בארבעה עותקים ובמספר עותקים נוס</w:t>
      </w:r>
      <w:r>
        <w:rPr>
          <w:rStyle w:val="default"/>
          <w:rFonts w:cs="FrankRuehl"/>
          <w:rtl/>
        </w:rPr>
        <w:t>פי</w:t>
      </w:r>
      <w:r>
        <w:rPr>
          <w:rStyle w:val="default"/>
          <w:rFonts w:cs="FrankRuehl" w:hint="cs"/>
          <w:rtl/>
        </w:rPr>
        <w:t>ם, כמספר הנאשמים בה.</w:t>
      </w:r>
    </w:p>
    <w:p w:rsidR="006A45AF" w:rsidRDefault="006A45AF">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1.9pt;z-index:251644416"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המ</w:t>
                  </w:r>
                  <w:r>
                    <w:rPr>
                      <w:rFonts w:cs="Miriam" w:hint="cs"/>
                      <w:sz w:val="18"/>
                      <w:szCs w:val="18"/>
                      <w:rtl/>
                    </w:rPr>
                    <w:t>צאה לנאשם</w:t>
                  </w:r>
                </w:p>
              </w:txbxContent>
            </v:textbox>
            <w10:anchorlock/>
          </v:rect>
        </w:pict>
      </w:r>
      <w:r>
        <w:rPr>
          <w:rStyle w:val="big-number"/>
          <w:rFonts w:cs="Miriam"/>
          <w:rtl/>
        </w:rPr>
        <w:t>8.</w:t>
      </w:r>
      <w:r>
        <w:rPr>
          <w:rStyle w:val="big-number"/>
          <w:rFonts w:cs="Miriam"/>
          <w:rtl/>
        </w:rPr>
        <w:tab/>
      </w:r>
      <w:r>
        <w:rPr>
          <w:rStyle w:val="default"/>
          <w:rFonts w:cs="FrankRuehl"/>
          <w:rtl/>
        </w:rPr>
        <w:t>עו</w:t>
      </w:r>
      <w:r>
        <w:rPr>
          <w:rStyle w:val="default"/>
          <w:rFonts w:cs="FrankRuehl" w:hint="cs"/>
          <w:rtl/>
        </w:rPr>
        <w:t>תק מהקובלנה יומצא לנאשם בהקדם האפשרי ולא יאוחר מחמישה עשר ימים לפני תחילת הדיון.</w:t>
      </w:r>
    </w:p>
    <w:p w:rsidR="006A45AF" w:rsidRDefault="006A45AF">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2.55pt;z-index:251645440"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ער</w:t>
                  </w:r>
                  <w:r>
                    <w:rPr>
                      <w:rFonts w:cs="Miriam" w:hint="cs"/>
                      <w:sz w:val="18"/>
                      <w:szCs w:val="18"/>
                      <w:rtl/>
                    </w:rPr>
                    <w:t>יכת קובל</w:t>
                  </w:r>
                  <w:r>
                    <w:rPr>
                      <w:rFonts w:cs="Miriam"/>
                      <w:sz w:val="18"/>
                      <w:szCs w:val="18"/>
                      <w:rtl/>
                    </w:rPr>
                    <w:t>נה</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ובלנה תיערך בכתב ותכיל פרטים אלה:</w:t>
      </w:r>
    </w:p>
    <w:p w:rsidR="006A45AF" w:rsidRDefault="006A45AF">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הנאשם, מקום עבודתו, מענו, המדור בפנקס שבו הוא רשום ומספר רישומו בפנקס;</w:t>
      </w:r>
    </w:p>
    <w:p w:rsidR="006A45AF" w:rsidRDefault="006A45AF">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המתלונן, מקום עבוד</w:t>
      </w:r>
      <w:r>
        <w:rPr>
          <w:rStyle w:val="default"/>
          <w:rFonts w:cs="FrankRuehl"/>
          <w:rtl/>
        </w:rPr>
        <w:t>תו</w:t>
      </w:r>
      <w:r>
        <w:rPr>
          <w:rStyle w:val="default"/>
          <w:rFonts w:cs="FrankRuehl" w:hint="cs"/>
          <w:rtl/>
        </w:rPr>
        <w:t xml:space="preserve"> ומענו;</w:t>
      </w:r>
    </w:p>
    <w:p w:rsidR="006A45AF" w:rsidRDefault="006A45A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עובדות המשמשות בסיס לקובלנה;</w:t>
      </w:r>
    </w:p>
    <w:p w:rsidR="006A45AF" w:rsidRDefault="006A45AF">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ירוט העבירות המיוחסות לנאשם;</w:t>
      </w:r>
    </w:p>
    <w:p w:rsidR="006A45AF" w:rsidRDefault="006A45AF" w:rsidP="002E4627">
      <w:pPr>
        <w:pStyle w:val="P22"/>
        <w:spacing w:before="72"/>
        <w:ind w:left="1021" w:right="1134"/>
        <w:rPr>
          <w:rStyle w:val="default"/>
          <w:rFonts w:cs="FrankRuehl"/>
          <w:rtl/>
        </w:rPr>
      </w:pPr>
      <w:r>
        <w:rPr>
          <w:rStyle w:val="default"/>
          <w:rFonts w:cs="FrankRuehl" w:hint="cs"/>
          <w:rtl/>
        </w:rPr>
        <w:t>(5)</w:t>
      </w:r>
      <w:r>
        <w:rPr>
          <w:rStyle w:val="default"/>
          <w:rFonts w:cs="FrankRuehl"/>
          <w:rtl/>
        </w:rPr>
        <w:tab/>
        <w:t>צ</w:t>
      </w:r>
      <w:r>
        <w:rPr>
          <w:rStyle w:val="default"/>
          <w:rFonts w:cs="FrankRuehl" w:hint="cs"/>
          <w:rtl/>
        </w:rPr>
        <w:t xml:space="preserve">יון שמות העדים וראיות אחרות </w:t>
      </w:r>
      <w:r w:rsidR="002E4627">
        <w:rPr>
          <w:rStyle w:val="default"/>
          <w:rFonts w:cs="FrankRuehl" w:hint="cs"/>
          <w:rtl/>
        </w:rPr>
        <w:t>-</w:t>
      </w:r>
      <w:r>
        <w:rPr>
          <w:rStyle w:val="default"/>
          <w:rFonts w:cs="FrankRuehl"/>
          <w:rtl/>
        </w:rPr>
        <w:t xml:space="preserve"> </w:t>
      </w:r>
      <w:r>
        <w:rPr>
          <w:rStyle w:val="default"/>
          <w:rFonts w:cs="FrankRuehl" w:hint="cs"/>
          <w:rtl/>
        </w:rPr>
        <w:t>אם ישנן.</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קובלנה יצורפו התלונה, תשובת הנאשם ופרטים נוספים אם היו.</w:t>
      </w:r>
    </w:p>
    <w:p w:rsidR="006A45AF" w:rsidRDefault="006A45AF">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2.5pt;z-index:251646464"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זכ</w:t>
                  </w:r>
                  <w:r>
                    <w:rPr>
                      <w:rFonts w:cs="Miriam" w:hint="cs"/>
                      <w:sz w:val="18"/>
                      <w:szCs w:val="18"/>
                      <w:rtl/>
                    </w:rPr>
                    <w:t>ות עיון</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קובלנה, רשאי הנאשם לעיין, בכל זמן סביר, בחומר הבירור שנאס</w:t>
      </w:r>
      <w:r>
        <w:rPr>
          <w:rStyle w:val="default"/>
          <w:rFonts w:cs="FrankRuehl"/>
          <w:rtl/>
        </w:rPr>
        <w:t xml:space="preserve">ף </w:t>
      </w:r>
      <w:r>
        <w:rPr>
          <w:rStyle w:val="default"/>
          <w:rFonts w:cs="FrankRuehl" w:hint="cs"/>
          <w:rtl/>
        </w:rPr>
        <w:t>בידי הקובל והנוגע לקובלנה נגדו.</w:t>
      </w:r>
    </w:p>
    <w:p w:rsidR="006A45AF" w:rsidRDefault="006A45AF" w:rsidP="002E46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בהוראות תקנה זו כדי לפגוע בהוראות פרק ג' לפקודת הראיות [נוסח חדש], תשל"א</w:t>
      </w:r>
      <w:r w:rsidR="002E4627">
        <w:rPr>
          <w:rStyle w:val="default"/>
          <w:rFonts w:cs="FrankRuehl" w:hint="cs"/>
          <w:rtl/>
        </w:rPr>
        <w:t>-</w:t>
      </w:r>
      <w:r>
        <w:rPr>
          <w:rStyle w:val="default"/>
          <w:rFonts w:cs="FrankRuehl"/>
          <w:rtl/>
        </w:rPr>
        <w:t xml:space="preserve">1971, </w:t>
      </w:r>
      <w:r>
        <w:rPr>
          <w:rStyle w:val="default"/>
          <w:rFonts w:cs="FrankRuehl" w:hint="cs"/>
          <w:rtl/>
        </w:rPr>
        <w:t>ואין בהן כדי לאפשר עיון בחומר כאמור בתקנת משנה (א), שאי-</w:t>
      </w:r>
      <w:r>
        <w:rPr>
          <w:rStyle w:val="default"/>
          <w:rFonts w:cs="FrankRuehl"/>
          <w:rtl/>
        </w:rPr>
        <w:t>ג</w:t>
      </w:r>
      <w:r>
        <w:rPr>
          <w:rStyle w:val="default"/>
          <w:rFonts w:cs="FrankRuehl" w:hint="cs"/>
          <w:rtl/>
        </w:rPr>
        <w:t>ילויו מותר או שגילויו אסור לפי כל דין.</w:t>
      </w:r>
    </w:p>
    <w:p w:rsidR="006A45AF" w:rsidRDefault="006A45AF">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5.4pt;z-index:251647488"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צי</w:t>
                  </w:r>
                  <w:r>
                    <w:rPr>
                      <w:rFonts w:cs="Miriam" w:hint="cs"/>
                      <w:sz w:val="18"/>
                      <w:szCs w:val="18"/>
                      <w:rtl/>
                    </w:rPr>
                    <w:t>רוף אישומים</w:t>
                  </w:r>
                </w:p>
              </w:txbxContent>
            </v:textbox>
            <w10:anchorlock/>
          </v:rect>
        </w:pict>
      </w:r>
      <w:r>
        <w:rPr>
          <w:rStyle w:val="big-number"/>
          <w:rFonts w:cs="Miriam"/>
          <w:rtl/>
        </w:rPr>
        <w:t>11.</w:t>
      </w:r>
      <w:r>
        <w:rPr>
          <w:rStyle w:val="big-number"/>
          <w:rFonts w:cs="Miriam"/>
          <w:rtl/>
        </w:rPr>
        <w:tab/>
      </w:r>
      <w:r>
        <w:rPr>
          <w:rStyle w:val="default"/>
          <w:rFonts w:cs="FrankRuehl"/>
          <w:rtl/>
        </w:rPr>
        <w:t>מו</w:t>
      </w:r>
      <w:r>
        <w:rPr>
          <w:rStyle w:val="default"/>
          <w:rFonts w:cs="FrankRuehl" w:hint="cs"/>
          <w:rtl/>
        </w:rPr>
        <w:t>תר לצרף בקובלנה אחת תלונות אחדו</w:t>
      </w:r>
      <w:r>
        <w:rPr>
          <w:rStyle w:val="default"/>
          <w:rFonts w:cs="FrankRuehl"/>
          <w:rtl/>
        </w:rPr>
        <w:t xml:space="preserve">ת </w:t>
      </w:r>
      <w:r>
        <w:rPr>
          <w:rStyle w:val="default"/>
          <w:rFonts w:cs="FrankRuehl" w:hint="cs"/>
          <w:rtl/>
        </w:rPr>
        <w:t>המתייחסות לאותו נאשם, אם הן מבוססות על אותן עובדות או על עובדות דומות, או על סדרת מעשים הקשורים זה לזה באופן שהם מהווים מאורע אחד.</w:t>
      </w:r>
    </w:p>
    <w:p w:rsidR="006A45AF" w:rsidRDefault="006A45AF">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4.45pt;z-index:251648512"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צי</w:t>
                  </w:r>
                  <w:r>
                    <w:rPr>
                      <w:rFonts w:cs="Miriam" w:hint="cs"/>
                      <w:sz w:val="18"/>
                      <w:szCs w:val="18"/>
                      <w:rtl/>
                    </w:rPr>
                    <w:t>רוף נאשמים</w:t>
                  </w:r>
                </w:p>
              </w:txbxContent>
            </v:textbox>
            <w10:anchorlock/>
          </v:rect>
        </w:pict>
      </w:r>
      <w:r>
        <w:rPr>
          <w:rStyle w:val="big-number"/>
          <w:rFonts w:cs="Miriam"/>
          <w:rtl/>
        </w:rPr>
        <w:t>12.</w:t>
      </w:r>
      <w:r>
        <w:rPr>
          <w:rStyle w:val="big-number"/>
          <w:rFonts w:cs="Miriam"/>
          <w:rtl/>
        </w:rPr>
        <w:tab/>
      </w:r>
      <w:r>
        <w:rPr>
          <w:rStyle w:val="default"/>
          <w:rFonts w:cs="FrankRuehl"/>
          <w:rtl/>
        </w:rPr>
        <w:t>מו</w:t>
      </w:r>
      <w:r>
        <w:rPr>
          <w:rStyle w:val="default"/>
          <w:rFonts w:cs="FrankRuehl" w:hint="cs"/>
          <w:rtl/>
        </w:rPr>
        <w:t>תר להאשים בקובלנה אחת כמה נאשמים מאותו ענף ההנדסה או האדריכלות, אם כל אחד מהם היה צד לאחת</w:t>
      </w:r>
      <w:r>
        <w:rPr>
          <w:rStyle w:val="default"/>
          <w:rFonts w:cs="FrankRuehl"/>
          <w:rtl/>
        </w:rPr>
        <w:t xml:space="preserve"> מ</w:t>
      </w:r>
      <w:r>
        <w:rPr>
          <w:rStyle w:val="default"/>
          <w:rFonts w:cs="FrankRuehl" w:hint="cs"/>
          <w:rtl/>
        </w:rPr>
        <w:t>העבירות שבקובלנה, או אם האישום הוא בשל סדרת מעשים המיוחסים לנאשמים והקשורים זה לזה, באופן שהם מהווים מאורע אחד.</w:t>
      </w:r>
    </w:p>
    <w:p w:rsidR="006A45AF" w:rsidRDefault="006A45AF">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3.15pt;z-index:251649536"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הפ</w:t>
                  </w:r>
                  <w:r>
                    <w:rPr>
                      <w:rFonts w:cs="Miriam" w:hint="cs"/>
                      <w:sz w:val="18"/>
                      <w:szCs w:val="18"/>
                      <w:rtl/>
                    </w:rPr>
                    <w:t>רדת הדיון</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עדת אתיקה</w:t>
      </w:r>
      <w:r>
        <w:rPr>
          <w:rStyle w:val="default"/>
          <w:rFonts w:cs="FrankRuehl"/>
          <w:rtl/>
        </w:rPr>
        <w:t xml:space="preserve"> </w:t>
      </w:r>
      <w:r>
        <w:rPr>
          <w:rStyle w:val="default"/>
          <w:rFonts w:cs="FrankRuehl" w:hint="cs"/>
          <w:rtl/>
        </w:rPr>
        <w:t>רשאית, בכל שלב שלפני מתן פסק הדין, לצוות על הפרדת הדיון באישום פלוני שנכלל בקובלנה או על הפרדת דיונו של נאשם פלוני, שהואשם</w:t>
      </w:r>
      <w:r>
        <w:rPr>
          <w:rStyle w:val="default"/>
          <w:rFonts w:cs="FrankRuehl"/>
          <w:rtl/>
        </w:rPr>
        <w:t xml:space="preserve"> ע</w:t>
      </w:r>
      <w:r>
        <w:rPr>
          <w:rStyle w:val="default"/>
          <w:rFonts w:cs="FrankRuehl" w:hint="cs"/>
          <w:rtl/>
        </w:rPr>
        <w:t>ם אחרים.</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ופרד הדיון, תוגש קובלנה נפרדת בשל אישום שהדיון בו הופרד, או נגד נאשם שדיונו הופרד.</w:t>
      </w:r>
    </w:p>
    <w:p w:rsidR="006A45AF" w:rsidRDefault="006A45AF">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7.8pt;z-index:251650560" o:allowincell="f" filled="f" stroked="f" strokecolor="lime" strokeweight=".25pt">
            <v:textbox inset="0,0,0,0">
              <w:txbxContent>
                <w:p w:rsidR="006A45AF" w:rsidRDefault="006A45AF" w:rsidP="002E4627">
                  <w:pPr>
                    <w:spacing w:line="160" w:lineRule="exact"/>
                    <w:jc w:val="left"/>
                    <w:rPr>
                      <w:rFonts w:cs="Miriam"/>
                      <w:noProof/>
                      <w:sz w:val="18"/>
                      <w:szCs w:val="18"/>
                      <w:rtl/>
                    </w:rPr>
                  </w:pPr>
                  <w:r>
                    <w:rPr>
                      <w:rFonts w:cs="Miriam"/>
                      <w:sz w:val="18"/>
                      <w:szCs w:val="18"/>
                      <w:rtl/>
                    </w:rPr>
                    <w:t>חז</w:t>
                  </w:r>
                  <w:r>
                    <w:rPr>
                      <w:rFonts w:cs="Miriam" w:hint="cs"/>
                      <w:sz w:val="18"/>
                      <w:szCs w:val="18"/>
                      <w:rtl/>
                    </w:rPr>
                    <w:t>רה מקובלנה</w:t>
                  </w:r>
                  <w:r w:rsidR="002E4627">
                    <w:rPr>
                      <w:rFonts w:cs="Miriam" w:hint="cs"/>
                      <w:sz w:val="18"/>
                      <w:szCs w:val="18"/>
                      <w:rtl/>
                    </w:rPr>
                    <w:t xml:space="preserve"> </w:t>
                  </w:r>
                  <w:r>
                    <w:rPr>
                      <w:rFonts w:cs="Miriam"/>
                      <w:sz w:val="18"/>
                      <w:szCs w:val="18"/>
                      <w:rtl/>
                    </w:rPr>
                    <w:t>או</w:t>
                  </w:r>
                  <w:r>
                    <w:rPr>
                      <w:rFonts w:cs="Miriam" w:hint="cs"/>
                      <w:sz w:val="18"/>
                      <w:szCs w:val="18"/>
                      <w:rtl/>
                    </w:rPr>
                    <w:t xml:space="preserve"> תיקונה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קובל, ברשות ועדת אתיקה, רשאי לחזור בו מהקובלנה, כולה או מקצתה, או לתקנה.</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זר בו הקובל מהקובלנה כאמור בתקנת משנה (א), תזכה ועדת אתיקה את הנאשם</w:t>
      </w:r>
      <w:r>
        <w:rPr>
          <w:rStyle w:val="default"/>
          <w:rFonts w:cs="FrankRuehl"/>
          <w:rtl/>
        </w:rPr>
        <w:t xml:space="preserve"> מ</w:t>
      </w:r>
      <w:r>
        <w:rPr>
          <w:rStyle w:val="default"/>
          <w:rFonts w:cs="FrankRuehl" w:hint="cs"/>
          <w:rtl/>
        </w:rPr>
        <w:t>ן הקובלנה, כולה או מקצתה, לפי הענין.</w:t>
      </w:r>
    </w:p>
    <w:p w:rsidR="006A45AF" w:rsidRDefault="006A45AF">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29.9pt;z-index:251651584" o:allowincell="f" filled="f" stroked="f" strokecolor="lime" strokeweight=".25pt">
            <v:textbox inset="0,0,0,0">
              <w:txbxContent>
                <w:p w:rsidR="006A45AF" w:rsidRDefault="006A45AF" w:rsidP="002E4627">
                  <w:pPr>
                    <w:spacing w:line="160" w:lineRule="exact"/>
                    <w:jc w:val="left"/>
                    <w:rPr>
                      <w:rFonts w:cs="Miriam"/>
                      <w:noProof/>
                      <w:sz w:val="18"/>
                      <w:szCs w:val="18"/>
                      <w:rtl/>
                    </w:rPr>
                  </w:pPr>
                  <w:r>
                    <w:rPr>
                      <w:rFonts w:cs="Miriam"/>
                      <w:sz w:val="18"/>
                      <w:szCs w:val="18"/>
                      <w:rtl/>
                    </w:rPr>
                    <w:t>הו</w:t>
                  </w:r>
                  <w:r>
                    <w:rPr>
                      <w:rFonts w:cs="Miriam" w:hint="cs"/>
                      <w:sz w:val="18"/>
                      <w:szCs w:val="18"/>
                      <w:rtl/>
                    </w:rPr>
                    <w:t>דעה לנאשם</w:t>
                  </w:r>
                  <w:r w:rsidR="002E4627">
                    <w:rPr>
                      <w:rFonts w:cs="Miriam" w:hint="cs"/>
                      <w:sz w:val="18"/>
                      <w:szCs w:val="18"/>
                      <w:rtl/>
                    </w:rPr>
                    <w:t xml:space="preserve"> </w:t>
                  </w:r>
                  <w:r>
                    <w:rPr>
                      <w:rFonts w:cs="Miriam"/>
                      <w:sz w:val="18"/>
                      <w:szCs w:val="18"/>
                      <w:rtl/>
                    </w:rPr>
                    <w:t>על</w:t>
                  </w:r>
                  <w:r>
                    <w:rPr>
                      <w:rFonts w:cs="Miriam" w:hint="cs"/>
                      <w:sz w:val="18"/>
                      <w:szCs w:val="18"/>
                      <w:rtl/>
                    </w:rPr>
                    <w:t xml:space="preserve"> תיקון קובלנה או חזרה ממנה</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דעה על חזרה מהקובלנ</w:t>
      </w:r>
      <w:r>
        <w:rPr>
          <w:rStyle w:val="default"/>
          <w:rFonts w:cs="FrankRuehl"/>
          <w:rtl/>
        </w:rPr>
        <w:t>ה</w:t>
      </w:r>
      <w:r>
        <w:rPr>
          <w:rStyle w:val="default"/>
          <w:rFonts w:cs="FrankRuehl" w:hint="cs"/>
          <w:rtl/>
        </w:rPr>
        <w:t xml:space="preserve"> או על תיקון הקובלנה תומצא לנאשם.</w:t>
      </w:r>
    </w:p>
    <w:p w:rsidR="006A45AF" w:rsidRDefault="006A45AF">
      <w:pPr>
        <w:pStyle w:val="P00"/>
        <w:spacing w:before="72"/>
        <w:ind w:left="0" w:right="1134"/>
        <w:rPr>
          <w:rStyle w:val="default"/>
          <w:rFonts w:cs="FrankRuehl"/>
          <w:rtl/>
        </w:rPr>
      </w:pPr>
    </w:p>
    <w:p w:rsidR="006A45AF" w:rsidRDefault="006A45AF">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10.2pt;z-index:251652608"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הז</w:t>
                  </w:r>
                  <w:r>
                    <w:rPr>
                      <w:rFonts w:cs="Miriam" w:hint="cs"/>
                      <w:sz w:val="18"/>
                      <w:szCs w:val="18"/>
                      <w:rtl/>
                    </w:rPr>
                    <w:t>מנה לדיון</w:t>
                  </w:r>
                </w:p>
              </w:txbxContent>
            </v:textbox>
            <w10:anchorlock/>
          </v:rect>
        </w:pict>
      </w:r>
      <w:r>
        <w:rPr>
          <w:rStyle w:val="big-number"/>
          <w:rFonts w:cs="Miriam"/>
          <w:rtl/>
        </w:rPr>
        <w:t>16.</w:t>
      </w:r>
      <w:r>
        <w:rPr>
          <w:rStyle w:val="big-number"/>
          <w:rFonts w:cs="Miriam"/>
          <w:rtl/>
        </w:rPr>
        <w:tab/>
      </w:r>
      <w:r>
        <w:rPr>
          <w:rStyle w:val="default"/>
          <w:rFonts w:cs="FrankRuehl"/>
          <w:rtl/>
        </w:rPr>
        <w:t>יו</w:t>
      </w:r>
      <w:r>
        <w:rPr>
          <w:rStyle w:val="default"/>
          <w:rFonts w:cs="FrankRuehl" w:hint="cs"/>
          <w:rtl/>
        </w:rPr>
        <w:t xml:space="preserve">שב ראש ועדת אתיקה יקבע את מועד הדיון; הקובל והנאשם יוזמנו בכתב לדיון באותו מועד; ואולם אם נקבעה ישיבה נדחית בנוכחות הקובל, הנאשם או בא כוחו, לא תהא </w:t>
      </w:r>
      <w:r>
        <w:rPr>
          <w:rStyle w:val="default"/>
          <w:rFonts w:cs="FrankRuehl"/>
          <w:rtl/>
        </w:rPr>
        <w:t>חו</w:t>
      </w:r>
      <w:r>
        <w:rPr>
          <w:rStyle w:val="default"/>
          <w:rFonts w:cs="FrankRuehl" w:hint="cs"/>
          <w:rtl/>
        </w:rPr>
        <w:t>בה להזמינם כאמור.</w:t>
      </w:r>
    </w:p>
    <w:p w:rsidR="006A45AF" w:rsidRDefault="006A45AF" w:rsidP="002E4627">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14.65pt;z-index:251653632"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הז</w:t>
                  </w:r>
                  <w:r>
                    <w:rPr>
                      <w:rFonts w:cs="Miriam" w:hint="cs"/>
                      <w:sz w:val="18"/>
                      <w:szCs w:val="18"/>
                      <w:rtl/>
                    </w:rPr>
                    <w:t>מנת עדים</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 ראש ועדת אתיקה יזמין לדיון את העדים אשר ועדת</w:t>
      </w:r>
      <w:r>
        <w:rPr>
          <w:rStyle w:val="default"/>
          <w:rFonts w:cs="FrankRuehl"/>
          <w:rtl/>
        </w:rPr>
        <w:t xml:space="preserve"> א</w:t>
      </w:r>
      <w:r>
        <w:rPr>
          <w:rStyle w:val="default"/>
          <w:rFonts w:cs="FrankRuehl" w:hint="cs"/>
          <w:rtl/>
        </w:rPr>
        <w:t>תיקה תראה לנכון להזמינם לשם מסירת מידע או לשם הגשת מסמכים</w:t>
      </w:r>
      <w:r>
        <w:rPr>
          <w:rStyle w:val="default"/>
          <w:rFonts w:cs="FrankRuehl"/>
          <w:rtl/>
        </w:rPr>
        <w:t xml:space="preserve"> ש</w:t>
      </w:r>
      <w:r>
        <w:rPr>
          <w:rStyle w:val="default"/>
          <w:rFonts w:cs="FrankRuehl" w:hint="cs"/>
          <w:rtl/>
        </w:rPr>
        <w:t>ברשותם, בין על פי בקשת הקובל או הנאשם, ובין מיוזמתה.</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זמנת עד תהיה בהמצאת הזמנה בכתב לעד או בהודעה בעל פה לעד </w:t>
      </w:r>
      <w:r>
        <w:rPr>
          <w:rStyle w:val="default"/>
          <w:rFonts w:cs="FrankRuehl"/>
          <w:rtl/>
        </w:rPr>
        <w:t>על</w:t>
      </w:r>
      <w:r>
        <w:rPr>
          <w:rStyle w:val="default"/>
          <w:rFonts w:cs="FrankRuehl" w:hint="cs"/>
          <w:rtl/>
        </w:rPr>
        <w:t xml:space="preserve"> ידי ועדת אתיקה בשעת דיון.</w:t>
      </w:r>
    </w:p>
    <w:p w:rsidR="006A45AF" w:rsidRDefault="006A45AF">
      <w:pPr>
        <w:pStyle w:val="P00"/>
        <w:spacing w:before="72"/>
        <w:ind w:left="0" w:right="1134"/>
        <w:rPr>
          <w:rStyle w:val="default"/>
          <w:rFonts w:cs="FrankRuehl"/>
          <w:rtl/>
        </w:rPr>
      </w:pPr>
      <w:bookmarkStart w:id="17" w:name="Seif17"/>
      <w:bookmarkEnd w:id="17"/>
      <w:r>
        <w:rPr>
          <w:lang w:val="he-IL"/>
        </w:rPr>
        <w:pict>
          <v:rect id="_x0000_s1043" style="position:absolute;left:0;text-align:left;margin-left:464.5pt;margin-top:8.05pt;width:75.05pt;height:11.95pt;z-index:251654656"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צו</w:t>
                  </w:r>
                  <w:r>
                    <w:rPr>
                      <w:rFonts w:cs="Miriam" w:hint="cs"/>
                      <w:sz w:val="18"/>
                      <w:szCs w:val="18"/>
                      <w:rtl/>
                    </w:rPr>
                    <w:t>רת הזמנה ותוכנה</w:t>
                  </w:r>
                </w:p>
              </w:txbxContent>
            </v:textbox>
            <w10:anchorlock/>
          </v:rect>
        </w:pict>
      </w:r>
      <w:r>
        <w:rPr>
          <w:rStyle w:val="big-number"/>
          <w:rFonts w:cs="Miriam"/>
          <w:rtl/>
        </w:rPr>
        <w:t>18.</w:t>
      </w:r>
      <w:r>
        <w:rPr>
          <w:rStyle w:val="big-number"/>
          <w:rFonts w:cs="Miriam"/>
          <w:rtl/>
        </w:rPr>
        <w:tab/>
      </w:r>
      <w:r>
        <w:rPr>
          <w:rStyle w:val="default"/>
          <w:rFonts w:cs="FrankRuehl"/>
          <w:rtl/>
        </w:rPr>
        <w:t>הז</w:t>
      </w:r>
      <w:r>
        <w:rPr>
          <w:rStyle w:val="default"/>
          <w:rFonts w:cs="FrankRuehl" w:hint="cs"/>
          <w:rtl/>
        </w:rPr>
        <w:t>מנת עד בכתב תהיה חתומה ביד מי שמינה לכך יושב ראש ועדת אתיקה ותכיל פרטים אלה:</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ש</w:t>
      </w:r>
      <w:r>
        <w:rPr>
          <w:rStyle w:val="default"/>
          <w:rFonts w:cs="FrankRuehl" w:hint="cs"/>
          <w:rtl/>
        </w:rPr>
        <w:t>ם הקובל;</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ש</w:t>
      </w:r>
      <w:r>
        <w:rPr>
          <w:rStyle w:val="default"/>
          <w:rFonts w:cs="FrankRuehl" w:hint="cs"/>
          <w:rtl/>
        </w:rPr>
        <w:t>ם הנאשם;</w:t>
      </w:r>
    </w:p>
    <w:p w:rsidR="006A45AF" w:rsidRDefault="006A45AF">
      <w:pPr>
        <w:pStyle w:val="P11"/>
        <w:spacing w:before="72"/>
        <w:ind w:left="624" w:right="1134"/>
        <w:rPr>
          <w:rStyle w:val="default"/>
          <w:rFonts w:cs="FrankRuehl"/>
          <w:rtl/>
        </w:rPr>
      </w:pPr>
      <w:r>
        <w:rPr>
          <w:rStyle w:val="default"/>
          <w:rFonts w:cs="FrankRuehl"/>
          <w:rtl/>
        </w:rPr>
        <w:t>(3)</w:t>
      </w:r>
      <w:r>
        <w:rPr>
          <w:rStyle w:val="default"/>
          <w:rFonts w:cs="FrankRuehl"/>
          <w:rtl/>
        </w:rPr>
        <w:tab/>
        <w:t>ה</w:t>
      </w:r>
      <w:r>
        <w:rPr>
          <w:rStyle w:val="default"/>
          <w:rFonts w:cs="FrankRuehl" w:hint="cs"/>
          <w:rtl/>
        </w:rPr>
        <w:t>מקום והמועד שבהם יש להתייצב או להגיש את המסמכים שיפורטו בהזמנה.</w:t>
      </w:r>
    </w:p>
    <w:p w:rsidR="006A45AF" w:rsidRDefault="006A45AF">
      <w:pPr>
        <w:pStyle w:val="P00"/>
        <w:spacing w:before="72"/>
        <w:ind w:left="0" w:right="1134"/>
        <w:rPr>
          <w:rStyle w:val="default"/>
          <w:rFonts w:cs="FrankRuehl"/>
          <w:rtl/>
        </w:rPr>
      </w:pPr>
      <w:bookmarkStart w:id="18" w:name="Seif18"/>
      <w:bookmarkEnd w:id="18"/>
      <w:r>
        <w:rPr>
          <w:lang w:val="he-IL"/>
        </w:rPr>
        <w:pict>
          <v:rect id="_x0000_s1044" style="position:absolute;left:0;text-align:left;margin-left:464.5pt;margin-top:8.05pt;width:75.05pt;height:11.8pt;z-index:251655680"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ני</w:t>
                  </w:r>
                  <w:r>
                    <w:rPr>
                      <w:rFonts w:cs="Miriam" w:hint="cs"/>
                      <w:sz w:val="18"/>
                      <w:szCs w:val="18"/>
                      <w:rtl/>
                    </w:rPr>
                    <w:t>הול הדיון</w:t>
                  </w:r>
                </w:p>
              </w:txbxContent>
            </v:textbox>
            <w10:anchorlock/>
          </v:rect>
        </w:pict>
      </w:r>
      <w:r>
        <w:rPr>
          <w:rStyle w:val="big-number"/>
          <w:rFonts w:cs="Miriam"/>
          <w:rtl/>
        </w:rPr>
        <w:t>19.</w:t>
      </w:r>
      <w:r>
        <w:rPr>
          <w:rStyle w:val="big-number"/>
          <w:rFonts w:cs="Miriam"/>
          <w:rtl/>
        </w:rPr>
        <w:tab/>
      </w:r>
      <w:r>
        <w:rPr>
          <w:rStyle w:val="default"/>
          <w:rFonts w:cs="FrankRuehl"/>
          <w:rtl/>
        </w:rPr>
        <w:t>יו</w:t>
      </w:r>
      <w:r>
        <w:rPr>
          <w:rStyle w:val="default"/>
          <w:rFonts w:cs="FrankRuehl" w:hint="cs"/>
          <w:rtl/>
        </w:rPr>
        <w:t>שב ראש ועדת אתיקה ינהל את הדיון.</w:t>
      </w:r>
    </w:p>
    <w:p w:rsidR="006A45AF" w:rsidRDefault="006A45AF">
      <w:pPr>
        <w:pStyle w:val="P00"/>
        <w:spacing w:before="72"/>
        <w:ind w:left="0" w:right="1134"/>
        <w:rPr>
          <w:rStyle w:val="default"/>
          <w:rFonts w:cs="FrankRuehl"/>
          <w:rtl/>
        </w:rPr>
      </w:pPr>
      <w:bookmarkStart w:id="19" w:name="Seif19"/>
      <w:bookmarkEnd w:id="19"/>
      <w:r>
        <w:rPr>
          <w:lang w:val="he-IL"/>
        </w:rPr>
        <w:pict>
          <v:rect id="_x0000_s1045" style="position:absolute;left:0;text-align:left;margin-left:464.5pt;margin-top:8.05pt;width:75.05pt;height:14.3pt;z-index:251656704"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ושב ראש ועדת אתיקה ינהל פרוטוקול של הדיון, אולם רשאי הוא להורות שהפרוטוקול יירשם בידי אחר או שינוהל בדרך אחרת.</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תלונה וכל המסמכים שהוגשו לועדת אתיקה בנוגע לאותו דיון, יתויקו בתיק הדיון.</w:t>
      </w:r>
    </w:p>
    <w:p w:rsidR="006A45AF" w:rsidRDefault="006A45AF">
      <w:pPr>
        <w:pStyle w:val="P00"/>
        <w:spacing w:before="72"/>
        <w:ind w:left="0" w:right="1134"/>
        <w:rPr>
          <w:rStyle w:val="default"/>
          <w:rFonts w:cs="FrankRuehl"/>
          <w:rtl/>
        </w:rPr>
      </w:pPr>
      <w:bookmarkStart w:id="20" w:name="Seif20"/>
      <w:bookmarkEnd w:id="20"/>
      <w:r>
        <w:rPr>
          <w:lang w:val="he-IL"/>
        </w:rPr>
        <w:pict>
          <v:rect id="_x0000_s1046" style="position:absolute;left:0;text-align:left;margin-left:464.5pt;margin-top:8.05pt;width:75.05pt;height:15.15pt;z-index:251657728"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נו</w:t>
                  </w:r>
                  <w:r>
                    <w:rPr>
                      <w:rFonts w:cs="Miriam" w:hint="cs"/>
                      <w:sz w:val="18"/>
                      <w:szCs w:val="18"/>
                      <w:rtl/>
                    </w:rPr>
                    <w:t>כחות נאשם וקובל</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דיון בבירור האשמה יתנה</w:t>
      </w:r>
      <w:r>
        <w:rPr>
          <w:rStyle w:val="default"/>
          <w:rFonts w:cs="FrankRuehl"/>
          <w:rtl/>
        </w:rPr>
        <w:t xml:space="preserve">ל </w:t>
      </w:r>
      <w:r>
        <w:rPr>
          <w:rStyle w:val="default"/>
          <w:rFonts w:cs="FrankRuehl" w:hint="cs"/>
          <w:rtl/>
        </w:rPr>
        <w:t>בנוכחות הקובל והנאשם, אך רשאית ועדת אתיקה לנהל דיון שלא בנוכחות הנאשם באחד מאלה:</w:t>
      </w:r>
    </w:p>
    <w:p w:rsidR="006A45AF" w:rsidRDefault="006A45A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נאשם ביקש שהדיון יתנהל שלא בפניו והוא מיוצג על ידי בא כוח;</w:t>
      </w:r>
    </w:p>
    <w:p w:rsidR="006A45AF" w:rsidRDefault="006A45A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נאשם נעדר מהישיבה בלי סיבה מספקת, לאחר שהוזהר שאם ייעדר בלי סיבה מספקת תהיה ו</w:t>
      </w:r>
      <w:r>
        <w:rPr>
          <w:rStyle w:val="default"/>
          <w:rFonts w:cs="FrankRuehl"/>
          <w:rtl/>
        </w:rPr>
        <w:t>ע</w:t>
      </w:r>
      <w:r>
        <w:rPr>
          <w:rStyle w:val="default"/>
          <w:rFonts w:cs="FrankRuehl" w:hint="cs"/>
          <w:rtl/>
        </w:rPr>
        <w:t>דת אתיקה רשאית לדון בענינו</w:t>
      </w:r>
      <w:r>
        <w:rPr>
          <w:rStyle w:val="default"/>
          <w:rFonts w:cs="FrankRuehl"/>
          <w:rtl/>
        </w:rPr>
        <w:t xml:space="preserve"> ש</w:t>
      </w:r>
      <w:r>
        <w:rPr>
          <w:rStyle w:val="default"/>
          <w:rFonts w:cs="FrankRuehl" w:hint="cs"/>
          <w:rtl/>
        </w:rPr>
        <w:t>לא בפניו.</w:t>
      </w:r>
    </w:p>
    <w:p w:rsidR="006A45AF" w:rsidRDefault="006A45AF" w:rsidP="002E46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וזמן הקובל לדיון ולא התייצב, רשאית ועדת אתיקה לדחות את מועד הדיון או אם לא ראתה לנכון לדחותו </w:t>
      </w:r>
      <w:r w:rsidR="002E4627">
        <w:rPr>
          <w:rStyle w:val="default"/>
          <w:rFonts w:cs="FrankRuehl" w:hint="cs"/>
          <w:rtl/>
        </w:rPr>
        <w:t>-</w:t>
      </w:r>
      <w:r>
        <w:rPr>
          <w:rStyle w:val="default"/>
          <w:rFonts w:cs="FrankRuehl"/>
          <w:rtl/>
        </w:rPr>
        <w:t xml:space="preserve"> </w:t>
      </w:r>
      <w:r>
        <w:rPr>
          <w:rStyle w:val="default"/>
          <w:rFonts w:cs="FrankRuehl" w:hint="cs"/>
          <w:rtl/>
        </w:rPr>
        <w:t>לזכות את הנאשם.</w:t>
      </w:r>
    </w:p>
    <w:p w:rsidR="006A45AF" w:rsidRDefault="006A45AF">
      <w:pPr>
        <w:pStyle w:val="P00"/>
        <w:spacing w:before="72"/>
        <w:ind w:left="0" w:right="1134"/>
        <w:rPr>
          <w:rStyle w:val="default"/>
          <w:rFonts w:cs="FrankRuehl"/>
          <w:rtl/>
        </w:rPr>
      </w:pPr>
      <w:bookmarkStart w:id="21" w:name="Seif21"/>
      <w:bookmarkEnd w:id="21"/>
      <w:r>
        <w:rPr>
          <w:lang w:val="he-IL"/>
        </w:rPr>
        <w:pict>
          <v:rect id="_x0000_s1047" style="position:absolute;left:0;text-align:left;margin-left:464.5pt;margin-top:8.05pt;width:75.05pt;height:27.7pt;z-index:251658752" o:allowincell="f" filled="f" stroked="f" strokecolor="lime" strokeweight=".25pt">
            <v:textbox inset="0,0,0,0">
              <w:txbxContent>
                <w:p w:rsidR="006A45AF" w:rsidRDefault="006A45AF" w:rsidP="002E4627">
                  <w:pPr>
                    <w:spacing w:line="160" w:lineRule="exact"/>
                    <w:jc w:val="left"/>
                    <w:rPr>
                      <w:rFonts w:cs="Miriam"/>
                      <w:noProof/>
                      <w:sz w:val="18"/>
                      <w:szCs w:val="18"/>
                      <w:rtl/>
                    </w:rPr>
                  </w:pPr>
                  <w:r>
                    <w:rPr>
                      <w:rFonts w:cs="Miriam"/>
                      <w:sz w:val="18"/>
                      <w:szCs w:val="18"/>
                      <w:rtl/>
                    </w:rPr>
                    <w:t>הע</w:t>
                  </w:r>
                  <w:r>
                    <w:rPr>
                      <w:rFonts w:cs="Miriam" w:hint="cs"/>
                      <w:sz w:val="18"/>
                      <w:szCs w:val="18"/>
                      <w:rtl/>
                    </w:rPr>
                    <w:t>דר אפשרות להשתתף בדיון</w:t>
                  </w:r>
                  <w:r w:rsidR="002E4627">
                    <w:rPr>
                      <w:rFonts w:cs="Miriam" w:hint="cs"/>
                      <w:sz w:val="18"/>
                      <w:szCs w:val="18"/>
                      <w:rtl/>
                    </w:rPr>
                    <w:t xml:space="preserve"> </w:t>
                  </w:r>
                  <w:r>
                    <w:rPr>
                      <w:rFonts w:cs="Miriam"/>
                      <w:sz w:val="18"/>
                      <w:szCs w:val="18"/>
                      <w:rtl/>
                    </w:rPr>
                    <w:t>או</w:t>
                  </w:r>
                  <w:r>
                    <w:rPr>
                      <w:rFonts w:cs="Miriam" w:hint="cs"/>
                      <w:sz w:val="18"/>
                      <w:szCs w:val="18"/>
                      <w:rtl/>
                    </w:rPr>
                    <w:t xml:space="preserve"> לסיימו</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בצר מחבר ועדת אתיקה להשתתף בדיון או לסיים את הדיון, ר</w:t>
      </w:r>
      <w:r>
        <w:rPr>
          <w:rStyle w:val="default"/>
          <w:rFonts w:cs="FrankRuehl"/>
          <w:rtl/>
        </w:rPr>
        <w:t>ש</w:t>
      </w:r>
      <w:r>
        <w:rPr>
          <w:rStyle w:val="default"/>
          <w:rFonts w:cs="FrankRuehl" w:hint="cs"/>
          <w:rtl/>
        </w:rPr>
        <w:t>אית ועדת אתיקה לקיים את הדיון או לסיימו בהשתתפות ממלא מקום אותו</w:t>
      </w:r>
      <w:r>
        <w:rPr>
          <w:rStyle w:val="default"/>
          <w:rFonts w:cs="FrankRuehl"/>
          <w:rtl/>
        </w:rPr>
        <w:t xml:space="preserve"> ח</w:t>
      </w:r>
      <w:r>
        <w:rPr>
          <w:rStyle w:val="default"/>
          <w:rFonts w:cs="FrankRuehl" w:hint="cs"/>
          <w:rtl/>
        </w:rPr>
        <w:t>בר.</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נסיבות האמורות בתקנת משנה (א), רשאית ועדת אתיקה להמשיך בדיון מן השלב שאליו הגיעה בהרכבה הקודם, אם סברה, לאחר שנתנה לבעלי הדין הזדמנות לטעון את טענותיהם, שלא ייגרם עיוות דין; החליטה</w:t>
      </w:r>
      <w:r>
        <w:rPr>
          <w:rStyle w:val="default"/>
          <w:rFonts w:cs="FrankRuehl"/>
          <w:rtl/>
        </w:rPr>
        <w:t xml:space="preserve"> </w:t>
      </w:r>
      <w:r>
        <w:rPr>
          <w:rStyle w:val="default"/>
          <w:rFonts w:cs="FrankRuehl" w:hint="cs"/>
          <w:rtl/>
        </w:rPr>
        <w:t>ועדת אתיקה להמשיך בדיון, רשאית היא לנהוג בראיות שגבתה בהרכבה הק</w:t>
      </w:r>
      <w:r>
        <w:rPr>
          <w:rStyle w:val="default"/>
          <w:rFonts w:cs="FrankRuehl"/>
          <w:rtl/>
        </w:rPr>
        <w:t>וד</w:t>
      </w:r>
      <w:r>
        <w:rPr>
          <w:rStyle w:val="default"/>
          <w:rFonts w:cs="FrankRuehl" w:hint="cs"/>
          <w:rtl/>
        </w:rPr>
        <w:t>ם כאילו היא גבתה אותן או לחזור ולגבותן, כולן או חלקן.</w:t>
      </w:r>
    </w:p>
    <w:p w:rsidR="006A45AF" w:rsidRDefault="006A45AF">
      <w:pPr>
        <w:pStyle w:val="P00"/>
        <w:spacing w:before="72"/>
        <w:ind w:left="0" w:right="1134"/>
        <w:rPr>
          <w:rStyle w:val="default"/>
          <w:rFonts w:cs="FrankRuehl"/>
          <w:rtl/>
        </w:rPr>
      </w:pPr>
      <w:bookmarkStart w:id="22" w:name="Seif22"/>
      <w:bookmarkEnd w:id="22"/>
      <w:r>
        <w:rPr>
          <w:lang w:val="he-IL"/>
        </w:rPr>
        <w:pict>
          <v:rect id="_x0000_s1048" style="position:absolute;left:0;text-align:left;margin-left:464.5pt;margin-top:8.05pt;width:75.05pt;height:23.2pt;z-index:251659776" o:allowincell="f" filled="f" stroked="f" strokecolor="lime" strokeweight=".25pt">
            <v:textbox inset="0,0,0,0">
              <w:txbxContent>
                <w:p w:rsidR="006A45AF" w:rsidRDefault="006A45AF" w:rsidP="002E4627">
                  <w:pPr>
                    <w:spacing w:line="160" w:lineRule="exact"/>
                    <w:jc w:val="left"/>
                    <w:rPr>
                      <w:rFonts w:cs="Miriam"/>
                      <w:noProof/>
                      <w:sz w:val="18"/>
                      <w:szCs w:val="18"/>
                      <w:rtl/>
                    </w:rPr>
                  </w:pPr>
                  <w:r>
                    <w:rPr>
                      <w:rFonts w:cs="Miriam"/>
                      <w:sz w:val="18"/>
                      <w:szCs w:val="18"/>
                      <w:rtl/>
                    </w:rPr>
                    <w:t>פס</w:t>
                  </w:r>
                  <w:r>
                    <w:rPr>
                      <w:rFonts w:cs="Miriam" w:hint="cs"/>
                      <w:sz w:val="18"/>
                      <w:szCs w:val="18"/>
                      <w:rtl/>
                    </w:rPr>
                    <w:t>ילת חבר</w:t>
                  </w:r>
                  <w:r w:rsidR="002E4627">
                    <w:rPr>
                      <w:rFonts w:cs="Miriam" w:hint="cs"/>
                      <w:sz w:val="18"/>
                      <w:szCs w:val="18"/>
                      <w:rtl/>
                    </w:rPr>
                    <w:t xml:space="preserve"> </w:t>
                  </w: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ת אתיקה</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ובל או נאשם רשאים לבקש שחבר ועדת אתיקה יפסול את עצמו מלישב בדין, אם קיימות נסיבות שיש בהן כדי ליצור חשש ממשי למשוא פנים בבירור הקובלנה.</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תישמע בקשה כאמור בתקנת משנה (א) אלא בתחילת הדי</w:t>
      </w:r>
      <w:r>
        <w:rPr>
          <w:rStyle w:val="default"/>
          <w:rFonts w:cs="FrankRuehl"/>
          <w:rtl/>
        </w:rPr>
        <w:t>ון</w:t>
      </w:r>
      <w:r>
        <w:rPr>
          <w:rStyle w:val="default"/>
          <w:rFonts w:cs="FrankRuehl" w:hint="cs"/>
          <w:rtl/>
        </w:rPr>
        <w:t>, או מיד לאחר שנודעו לקובל או לנאשם הנסיבות שיש בהן כדי ליצור חשש ממשי כאמור.</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טענה טענת פסלות נגד חבר ועדת אתיקה, תחליט בה ועדת אתיקה לאלתר ולפני שתיתן כל החלטה </w:t>
      </w:r>
      <w:r>
        <w:rPr>
          <w:rStyle w:val="default"/>
          <w:rFonts w:cs="FrankRuehl"/>
          <w:rtl/>
        </w:rPr>
        <w:t>א</w:t>
      </w:r>
      <w:r>
        <w:rPr>
          <w:rStyle w:val="default"/>
          <w:rFonts w:cs="FrankRuehl" w:hint="cs"/>
          <w:rtl/>
        </w:rPr>
        <w:t>חרת.</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מנע מחבר ועדת אתיקה לפי תקנה זו להשתתף בדיון או לסיים את הדיון, יחולו הוראו</w:t>
      </w:r>
      <w:r>
        <w:rPr>
          <w:rStyle w:val="default"/>
          <w:rFonts w:cs="FrankRuehl"/>
          <w:rtl/>
        </w:rPr>
        <w:t xml:space="preserve">ת </w:t>
      </w:r>
      <w:r>
        <w:rPr>
          <w:rStyle w:val="default"/>
          <w:rFonts w:cs="FrankRuehl" w:hint="cs"/>
          <w:rtl/>
        </w:rPr>
        <w:t xml:space="preserve">תקנה 22. </w:t>
      </w:r>
    </w:p>
    <w:p w:rsidR="006A45AF" w:rsidRDefault="006A45AF">
      <w:pPr>
        <w:pStyle w:val="P00"/>
        <w:spacing w:before="72"/>
        <w:ind w:left="0" w:right="1134"/>
        <w:rPr>
          <w:rStyle w:val="default"/>
          <w:rFonts w:cs="FrankRuehl"/>
          <w:rtl/>
        </w:rPr>
      </w:pPr>
      <w:bookmarkStart w:id="23" w:name="Seif23"/>
      <w:bookmarkEnd w:id="23"/>
      <w:r>
        <w:rPr>
          <w:lang w:val="he-IL"/>
        </w:rPr>
        <w:pict>
          <v:rect id="_x0000_s1049" style="position:absolute;left:0;text-align:left;margin-left:464.5pt;margin-top:8.05pt;width:75.05pt;height:19.05pt;z-index:251660800"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תש</w:t>
                  </w:r>
                  <w:r>
                    <w:rPr>
                      <w:rFonts w:cs="Miriam" w:hint="cs"/>
                      <w:sz w:val="18"/>
                      <w:szCs w:val="18"/>
                      <w:rtl/>
                    </w:rPr>
                    <w:t>ובת הנאשם לקובלנה</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תחילת הדיון יזהה יושב ראש ועדת אתיקה את הנאשם, יקרא לפניו את הקובלנה וישאל אותו מה תשובתו לקובלנה.</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נאשם רשאי להודות בעובדות הנטענות בכתב הקובלנה, כולן או מקצתן, או לכפור בהן וכן לטעון עובדות נוספות, בי</w:t>
      </w:r>
      <w:r>
        <w:rPr>
          <w:rStyle w:val="default"/>
          <w:rFonts w:cs="FrankRuehl"/>
          <w:rtl/>
        </w:rPr>
        <w:t xml:space="preserve">ן </w:t>
      </w:r>
      <w:r>
        <w:rPr>
          <w:rStyle w:val="default"/>
          <w:rFonts w:cs="FrankRuehl" w:hint="cs"/>
          <w:rtl/>
        </w:rPr>
        <w:t>אם הודה כאמור ובין אם לאו.</w:t>
      </w:r>
    </w:p>
    <w:p w:rsidR="006A45AF" w:rsidRDefault="006A45AF">
      <w:pPr>
        <w:pStyle w:val="P00"/>
        <w:spacing w:before="72"/>
        <w:ind w:left="0" w:right="1134"/>
        <w:rPr>
          <w:rStyle w:val="default"/>
          <w:rFonts w:cs="FrankRuehl"/>
          <w:rtl/>
        </w:rPr>
      </w:pPr>
      <w:bookmarkStart w:id="24" w:name="Seif24"/>
      <w:bookmarkEnd w:id="24"/>
      <w:r>
        <w:rPr>
          <w:lang w:val="he-IL"/>
        </w:rPr>
        <w:pict>
          <v:rect id="_x0000_s1050" style="position:absolute;left:0;text-align:left;margin-left:464.5pt;margin-top:8.05pt;width:75.05pt;height:18.15pt;z-index:251661824"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רא</w:t>
                  </w:r>
                  <w:r>
                    <w:rPr>
                      <w:rFonts w:cs="Miriam" w:hint="cs"/>
                      <w:sz w:val="18"/>
                      <w:szCs w:val="18"/>
                      <w:rtl/>
                    </w:rPr>
                    <w:t>יות מטעם הקובל והנאשם</w:t>
                  </w:r>
                </w:p>
              </w:txbxContent>
            </v:textbox>
            <w10:anchorlock/>
          </v:rect>
        </w:pict>
      </w:r>
      <w:r>
        <w:rPr>
          <w:rStyle w:val="big-number"/>
          <w:rFonts w:cs="Miriam"/>
          <w:rtl/>
        </w:rPr>
        <w:t>25.</w:t>
      </w:r>
      <w:r>
        <w:rPr>
          <w:rStyle w:val="big-number"/>
          <w:rFonts w:cs="Miriam"/>
          <w:rtl/>
        </w:rPr>
        <w:tab/>
      </w:r>
      <w:r>
        <w:rPr>
          <w:rStyle w:val="default"/>
          <w:rFonts w:cs="FrankRuehl"/>
          <w:rtl/>
        </w:rPr>
        <w:t>כפ</w:t>
      </w:r>
      <w:r>
        <w:rPr>
          <w:rStyle w:val="default"/>
          <w:rFonts w:cs="FrankRuehl" w:hint="cs"/>
          <w:rtl/>
        </w:rPr>
        <w:t>ר הנאשם בפני ועדת אתיקה בעובדות הנטענות בקובלנה, כולן או מקצתן, או טען עובדות נוספות,</w:t>
      </w:r>
      <w:r>
        <w:rPr>
          <w:rStyle w:val="default"/>
          <w:rFonts w:cs="FrankRuehl"/>
          <w:rtl/>
        </w:rPr>
        <w:t xml:space="preserve"> </w:t>
      </w:r>
      <w:r>
        <w:rPr>
          <w:rStyle w:val="default"/>
          <w:rFonts w:cs="FrankRuehl" w:hint="cs"/>
          <w:rtl/>
        </w:rPr>
        <w:t>רשאים הקובל ואחריו הנאשם להביא עדים מטעמם ולהגיש ראיות אחרות.</w:t>
      </w:r>
    </w:p>
    <w:p w:rsidR="006A45AF" w:rsidRDefault="006A45AF">
      <w:pPr>
        <w:pStyle w:val="P00"/>
        <w:spacing w:before="72"/>
        <w:ind w:left="0" w:right="1134"/>
        <w:rPr>
          <w:rStyle w:val="default"/>
          <w:rFonts w:cs="FrankRuehl"/>
          <w:rtl/>
        </w:rPr>
      </w:pPr>
      <w:bookmarkStart w:id="25" w:name="Seif25"/>
      <w:bookmarkEnd w:id="25"/>
      <w:r>
        <w:rPr>
          <w:lang w:val="he-IL"/>
        </w:rPr>
        <w:pict>
          <v:rect id="_x0000_s1051" style="position:absolute;left:0;text-align:left;margin-left:464.5pt;margin-top:8.05pt;width:75.05pt;height:30pt;z-index:251662848" o:allowincell="f" filled="f" stroked="f" strokecolor="lime" strokeweight=".25pt">
            <v:textbox inset="0,0,0,0">
              <w:txbxContent>
                <w:p w:rsidR="006A45AF" w:rsidRDefault="006A45AF" w:rsidP="002E4627">
                  <w:pPr>
                    <w:spacing w:line="160" w:lineRule="exact"/>
                    <w:jc w:val="left"/>
                    <w:rPr>
                      <w:rFonts w:cs="Miriam"/>
                      <w:noProof/>
                      <w:sz w:val="18"/>
                      <w:szCs w:val="18"/>
                      <w:rtl/>
                    </w:rPr>
                  </w:pPr>
                  <w:r>
                    <w:rPr>
                      <w:rFonts w:cs="Miriam"/>
                      <w:sz w:val="18"/>
                      <w:szCs w:val="18"/>
                      <w:rtl/>
                    </w:rPr>
                    <w:t>רא</w:t>
                  </w:r>
                  <w:r>
                    <w:rPr>
                      <w:rFonts w:cs="Miriam" w:hint="cs"/>
                      <w:sz w:val="18"/>
                      <w:szCs w:val="18"/>
                      <w:rtl/>
                    </w:rPr>
                    <w:t>יות מטעם</w:t>
                  </w:r>
                  <w:r w:rsidR="002E4627">
                    <w:rPr>
                      <w:rFonts w:cs="Miriam" w:hint="cs"/>
                      <w:sz w:val="18"/>
                      <w:szCs w:val="18"/>
                      <w:rtl/>
                    </w:rPr>
                    <w:t xml:space="preserve"> </w:t>
                  </w:r>
                  <w:r>
                    <w:rPr>
                      <w:rFonts w:cs="Miriam"/>
                      <w:sz w:val="18"/>
                      <w:szCs w:val="18"/>
                      <w:rtl/>
                    </w:rPr>
                    <w:t>וע</w:t>
                  </w:r>
                  <w:r>
                    <w:rPr>
                      <w:rFonts w:cs="Miriam" w:hint="cs"/>
                      <w:sz w:val="18"/>
                      <w:szCs w:val="18"/>
                      <w:rtl/>
                    </w:rPr>
                    <w:t>דת אתיקה וראיות נוספות</w:t>
                  </w:r>
                </w:p>
              </w:txbxContent>
            </v:textbox>
            <w10:anchorlock/>
          </v:rect>
        </w:pict>
      </w:r>
      <w:r>
        <w:rPr>
          <w:rStyle w:val="big-number"/>
          <w:rFonts w:cs="Miriam"/>
          <w:rtl/>
        </w:rPr>
        <w:t>26.</w:t>
      </w:r>
      <w:r>
        <w:rPr>
          <w:rStyle w:val="big-number"/>
          <w:rFonts w:cs="Miriam"/>
          <w:rtl/>
        </w:rPr>
        <w:tab/>
      </w:r>
      <w:r>
        <w:rPr>
          <w:rStyle w:val="default"/>
          <w:rFonts w:cs="FrankRuehl"/>
          <w:rtl/>
        </w:rPr>
        <w:t>סי</w:t>
      </w:r>
      <w:r>
        <w:rPr>
          <w:rStyle w:val="default"/>
          <w:rFonts w:cs="FrankRuehl" w:hint="cs"/>
          <w:rtl/>
        </w:rPr>
        <w:t>ימו הקובל והנאשם הבאת ראיותיהם, רשאית ועדת אתיקה להזמין עד מטעמה,</w:t>
      </w:r>
      <w:r>
        <w:rPr>
          <w:rStyle w:val="default"/>
          <w:rFonts w:cs="FrankRuehl"/>
          <w:rtl/>
        </w:rPr>
        <w:t xml:space="preserve"> א</w:t>
      </w:r>
      <w:r>
        <w:rPr>
          <w:rStyle w:val="default"/>
          <w:rFonts w:cs="FrankRuehl" w:hint="cs"/>
          <w:rtl/>
        </w:rPr>
        <w:t>פילו כבר נשמעה עדותו, ולהורות על הגשת כל ראיה אחרת, ורשאית היא להרשות לקובל ולנאשם, על פי בקשתם, להביא ראיות נוספות, והכל אם ראתה צורך בכך.</w:t>
      </w:r>
    </w:p>
    <w:p w:rsidR="006A45AF" w:rsidRDefault="006A45AF">
      <w:pPr>
        <w:pStyle w:val="P00"/>
        <w:spacing w:before="72"/>
        <w:ind w:left="0" w:right="1134"/>
        <w:rPr>
          <w:rStyle w:val="default"/>
          <w:rFonts w:cs="FrankRuehl"/>
          <w:rtl/>
        </w:rPr>
      </w:pPr>
      <w:bookmarkStart w:id="26" w:name="Seif26"/>
      <w:bookmarkEnd w:id="26"/>
      <w:r>
        <w:rPr>
          <w:lang w:val="he-IL"/>
        </w:rPr>
        <w:pict>
          <v:rect id="_x0000_s1052" style="position:absolute;left:0;text-align:left;margin-left:464.5pt;margin-top:8.05pt;width:75.05pt;height:23.3pt;z-index:251663872"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סד</w:t>
                  </w:r>
                  <w:r>
                    <w:rPr>
                      <w:rFonts w:cs="Miriam" w:hint="cs"/>
                      <w:sz w:val="18"/>
                      <w:szCs w:val="18"/>
                      <w:rtl/>
                    </w:rPr>
                    <w:t>ר חקירת עדים והגשת ראיות אחרות</w:t>
                  </w:r>
                </w:p>
              </w:txbxContent>
            </v:textbox>
            <w10:anchorlock/>
          </v:rect>
        </w:pict>
      </w:r>
      <w:r>
        <w:rPr>
          <w:rStyle w:val="big-number"/>
          <w:rFonts w:cs="Miriam"/>
          <w:rtl/>
        </w:rPr>
        <w:t>27.</w:t>
      </w:r>
      <w:r>
        <w:rPr>
          <w:rStyle w:val="big-number"/>
          <w:rFonts w:cs="Miriam"/>
          <w:rtl/>
        </w:rPr>
        <w:tab/>
      </w:r>
      <w:r>
        <w:rPr>
          <w:rStyle w:val="default"/>
          <w:rFonts w:cs="FrankRuehl"/>
          <w:rtl/>
        </w:rPr>
        <w:t>סד</w:t>
      </w:r>
      <w:r>
        <w:rPr>
          <w:rStyle w:val="default"/>
          <w:rFonts w:cs="FrankRuehl" w:hint="cs"/>
          <w:rtl/>
        </w:rPr>
        <w:t>ר חקירת העדים והגשת ראיות אחרות יהיה, ככל האפשר, כסדר הנהוג במשפט פלילי.</w:t>
      </w:r>
    </w:p>
    <w:p w:rsidR="006A45AF" w:rsidRDefault="006A45AF">
      <w:pPr>
        <w:pStyle w:val="P00"/>
        <w:spacing w:before="72"/>
        <w:ind w:left="0" w:right="1134"/>
        <w:rPr>
          <w:rStyle w:val="default"/>
          <w:rFonts w:cs="FrankRuehl"/>
          <w:rtl/>
        </w:rPr>
      </w:pPr>
      <w:bookmarkStart w:id="27" w:name="Seif27"/>
      <w:bookmarkEnd w:id="27"/>
      <w:r>
        <w:rPr>
          <w:lang w:val="he-IL"/>
        </w:rPr>
        <w:pict>
          <v:rect id="_x0000_s1053" style="position:absolute;left:0;text-align:left;margin-left:464.5pt;margin-top:8.05pt;width:75.05pt;height:14.6pt;z-index:251664896"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סי</w:t>
                  </w:r>
                  <w:r>
                    <w:rPr>
                      <w:rFonts w:cs="Miriam" w:hint="cs"/>
                      <w:sz w:val="18"/>
                      <w:szCs w:val="18"/>
                      <w:rtl/>
                    </w:rPr>
                    <w:t>כומים</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תום הבאת הראיות או אם לא</w:t>
      </w:r>
      <w:r>
        <w:rPr>
          <w:rStyle w:val="default"/>
          <w:rFonts w:cs="FrankRuehl"/>
          <w:rtl/>
        </w:rPr>
        <w:t xml:space="preserve"> ה</w:t>
      </w:r>
      <w:r>
        <w:rPr>
          <w:rStyle w:val="default"/>
          <w:rFonts w:cs="FrankRuehl" w:hint="cs"/>
          <w:rtl/>
        </w:rPr>
        <w:t>ובאו ראיות עקב הודאת הנאשם בעובדות א</w:t>
      </w:r>
      <w:r>
        <w:rPr>
          <w:rStyle w:val="default"/>
          <w:rFonts w:cs="FrankRuehl"/>
          <w:rtl/>
        </w:rPr>
        <w:t>ו</w:t>
      </w:r>
      <w:r>
        <w:rPr>
          <w:rStyle w:val="default"/>
          <w:rFonts w:cs="FrankRuehl" w:hint="cs"/>
          <w:rtl/>
        </w:rPr>
        <w:t xml:space="preserve"> מטעם אחר, רשאים הקובל ואחריו הנאשם להשמיע את סיכומיהם לענין האשמה.</w:t>
      </w:r>
    </w:p>
    <w:p w:rsidR="006A45AF" w:rsidRDefault="006A45AF" w:rsidP="002E462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הסכמת הקובל והנאשם רשאית ועדת אתיקה להרשות</w:t>
      </w:r>
      <w:r>
        <w:rPr>
          <w:rStyle w:val="default"/>
          <w:rFonts w:cs="FrankRuehl"/>
          <w:rtl/>
        </w:rPr>
        <w:t xml:space="preserve"> ש</w:t>
      </w:r>
      <w:r>
        <w:rPr>
          <w:rStyle w:val="default"/>
          <w:rFonts w:cs="FrankRuehl" w:hint="cs"/>
          <w:rtl/>
        </w:rPr>
        <w:t>הסיכומים, כולם או מקצתם, יוגשו לה בכתב, במועדים שתקבע.</w:t>
      </w:r>
    </w:p>
    <w:p w:rsidR="006A45AF" w:rsidRDefault="006A45AF" w:rsidP="002E4627">
      <w:pPr>
        <w:pStyle w:val="P00"/>
        <w:spacing w:before="72"/>
        <w:ind w:left="0" w:right="1134"/>
        <w:rPr>
          <w:rStyle w:val="default"/>
          <w:rFonts w:cs="FrankRuehl"/>
          <w:rtl/>
        </w:rPr>
      </w:pPr>
      <w:bookmarkStart w:id="28" w:name="Seif28"/>
      <w:bookmarkEnd w:id="28"/>
      <w:r>
        <w:rPr>
          <w:lang w:val="he-IL"/>
        </w:rPr>
        <w:pict>
          <v:rect id="_x0000_s1054" style="position:absolute;left:0;text-align:left;margin-left:464.5pt;margin-top:8.05pt;width:75.05pt;height:9.2pt;z-index:251665920"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הכ</w:t>
                  </w:r>
                  <w:r>
                    <w:rPr>
                      <w:rFonts w:cs="Miriam" w:hint="cs"/>
                      <w:sz w:val="18"/>
                      <w:szCs w:val="18"/>
                      <w:rtl/>
                    </w:rPr>
                    <w:t>רעת הדין</w:t>
                  </w:r>
                </w:p>
              </w:txbxContent>
            </v:textbox>
            <w10:anchorlock/>
          </v:rect>
        </w:pict>
      </w:r>
      <w:r>
        <w:rPr>
          <w:rStyle w:val="big-number"/>
          <w:rFonts w:cs="Miriam"/>
          <w:rtl/>
        </w:rPr>
        <w:t>29.</w:t>
      </w:r>
      <w:r>
        <w:rPr>
          <w:rStyle w:val="big-number"/>
          <w:rFonts w:cs="Miriam"/>
          <w:rtl/>
        </w:rPr>
        <w:tab/>
      </w:r>
      <w:r>
        <w:rPr>
          <w:rStyle w:val="default"/>
          <w:rFonts w:cs="FrankRuehl"/>
          <w:rtl/>
        </w:rPr>
        <w:t>לא</w:t>
      </w:r>
      <w:r>
        <w:rPr>
          <w:rStyle w:val="default"/>
          <w:rFonts w:cs="FrankRuehl" w:hint="cs"/>
          <w:rtl/>
        </w:rPr>
        <w:t>חר בירור האשמה ולא יאוחר מ-60 ימים מ</w:t>
      </w:r>
      <w:r>
        <w:rPr>
          <w:rStyle w:val="default"/>
          <w:rFonts w:cs="FrankRuehl"/>
          <w:rtl/>
        </w:rPr>
        <w:t>יו</w:t>
      </w:r>
      <w:r>
        <w:rPr>
          <w:rStyle w:val="default"/>
          <w:rFonts w:cs="FrankRuehl" w:hint="cs"/>
          <w:rtl/>
        </w:rPr>
        <w:t>ם סיום הדיון, ואם נסתיי</w:t>
      </w:r>
      <w:r>
        <w:rPr>
          <w:rStyle w:val="default"/>
          <w:rFonts w:cs="FrankRuehl"/>
          <w:rtl/>
        </w:rPr>
        <w:t>ם</w:t>
      </w:r>
      <w:r>
        <w:rPr>
          <w:rStyle w:val="default"/>
          <w:rFonts w:cs="FrankRuehl" w:hint="cs"/>
          <w:rtl/>
        </w:rPr>
        <w:t xml:space="preserve"> הדיון בסיכומים בכתב </w:t>
      </w:r>
      <w:r w:rsidR="002E4627">
        <w:rPr>
          <w:rStyle w:val="default"/>
          <w:rFonts w:cs="FrankRuehl" w:hint="cs"/>
          <w:rtl/>
        </w:rPr>
        <w:t>-</w:t>
      </w:r>
      <w:r>
        <w:rPr>
          <w:rStyle w:val="default"/>
          <w:rFonts w:cs="FrankRuehl"/>
          <w:rtl/>
        </w:rPr>
        <w:t xml:space="preserve"> </w:t>
      </w:r>
      <w:r>
        <w:rPr>
          <w:rStyle w:val="default"/>
          <w:rFonts w:cs="FrankRuehl" w:hint="cs"/>
          <w:rtl/>
        </w:rPr>
        <w:t>מיום קבלת סיכומי הקובל והנאשם, תכריע ועדת אתיקה את דינו של הנאשם לזיכוי או להרשעה; הכרעת הדין תהיה בכתב, תנומק, תיחתם בידי חברי ועדת אתיקה ותיקרא בפני הנאשם והקובל או שיומצא להם העתק ממנה, כפי שתקבע ועדת את</w:t>
      </w:r>
      <w:r>
        <w:rPr>
          <w:rStyle w:val="default"/>
          <w:rFonts w:cs="FrankRuehl"/>
          <w:rtl/>
        </w:rPr>
        <w:t>י</w:t>
      </w:r>
      <w:r>
        <w:rPr>
          <w:rStyle w:val="default"/>
          <w:rFonts w:cs="FrankRuehl" w:hint="cs"/>
          <w:rtl/>
        </w:rPr>
        <w:t>ק</w:t>
      </w:r>
      <w:r>
        <w:rPr>
          <w:rStyle w:val="default"/>
          <w:rFonts w:cs="FrankRuehl"/>
          <w:rtl/>
        </w:rPr>
        <w:t>ה</w:t>
      </w:r>
      <w:r>
        <w:rPr>
          <w:rStyle w:val="default"/>
          <w:rFonts w:cs="FrankRuehl" w:hint="cs"/>
          <w:rtl/>
        </w:rPr>
        <w:t>.</w:t>
      </w:r>
    </w:p>
    <w:p w:rsidR="006A45AF" w:rsidRDefault="006A45AF">
      <w:pPr>
        <w:pStyle w:val="P00"/>
        <w:spacing w:before="72"/>
        <w:ind w:left="0" w:right="1134"/>
        <w:rPr>
          <w:rStyle w:val="default"/>
          <w:rFonts w:cs="FrankRuehl"/>
          <w:rtl/>
        </w:rPr>
      </w:pPr>
      <w:bookmarkStart w:id="29" w:name="Seif29"/>
      <w:bookmarkEnd w:id="29"/>
      <w:r>
        <w:rPr>
          <w:lang w:val="he-IL"/>
        </w:rPr>
        <w:pict>
          <v:rect id="_x0000_s1055" style="position:absolute;left:0;text-align:left;margin-left:464.5pt;margin-top:8.05pt;width:75.05pt;height:17.55pt;z-index:251666944"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הר</w:t>
                  </w:r>
                  <w:r>
                    <w:rPr>
                      <w:rFonts w:cs="Miriam" w:hint="cs"/>
                      <w:sz w:val="18"/>
                      <w:szCs w:val="18"/>
                      <w:rtl/>
                    </w:rPr>
                    <w:t>שעה בעבירות אחדות</w:t>
                  </w:r>
                </w:p>
              </w:txbxContent>
            </v:textbox>
            <w10:anchorlock/>
          </v:rect>
        </w:pict>
      </w:r>
      <w:r>
        <w:rPr>
          <w:rStyle w:val="big-number"/>
          <w:rFonts w:cs="Miriam"/>
          <w:rtl/>
        </w:rPr>
        <w:t>30.</w:t>
      </w:r>
      <w:r>
        <w:rPr>
          <w:rStyle w:val="big-number"/>
          <w:rFonts w:cs="Miriam"/>
          <w:rtl/>
        </w:rPr>
        <w:tab/>
      </w:r>
      <w:r>
        <w:rPr>
          <w:rStyle w:val="default"/>
          <w:rFonts w:cs="FrankRuehl"/>
          <w:rtl/>
        </w:rPr>
        <w:t>וע</w:t>
      </w:r>
      <w:r>
        <w:rPr>
          <w:rStyle w:val="default"/>
          <w:rFonts w:cs="FrankRuehl" w:hint="cs"/>
          <w:rtl/>
        </w:rPr>
        <w:t>דת אתיקה רשאית להרשיע נאשם בשל כל אחת מן העבירות שנתגלו מן העובדות שהוכחו בפניה, אך לא תטיל עליו אלא עונש אחד בשל אותו מעשה.</w:t>
      </w:r>
    </w:p>
    <w:p w:rsidR="006A45AF" w:rsidRDefault="006A45AF">
      <w:pPr>
        <w:pStyle w:val="P00"/>
        <w:spacing w:before="72"/>
        <w:ind w:left="0" w:right="1134"/>
        <w:rPr>
          <w:rStyle w:val="default"/>
          <w:rFonts w:cs="FrankRuehl"/>
          <w:rtl/>
        </w:rPr>
      </w:pPr>
      <w:bookmarkStart w:id="30" w:name="Seif30"/>
      <w:bookmarkEnd w:id="30"/>
      <w:r>
        <w:rPr>
          <w:lang w:val="he-IL"/>
        </w:rPr>
        <w:pict>
          <v:rect id="_x0000_s1056" style="position:absolute;left:0;text-align:left;margin-left:464.5pt;margin-top:8.05pt;width:75.05pt;height:12.6pt;z-index:251667968"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טע</w:t>
                  </w:r>
                  <w:r>
                    <w:rPr>
                      <w:rFonts w:cs="Miriam" w:hint="cs"/>
                      <w:sz w:val="18"/>
                      <w:szCs w:val="18"/>
                      <w:rtl/>
                    </w:rPr>
                    <w:t>נות וראיות לעונש</w:t>
                  </w:r>
                </w:p>
              </w:txbxContent>
            </v:textbox>
            <w10:anchorlock/>
          </v:rect>
        </w:pict>
      </w:r>
      <w:r>
        <w:rPr>
          <w:rStyle w:val="big-number"/>
          <w:rFonts w:cs="Miriam"/>
          <w:rtl/>
        </w:rPr>
        <w:t>31.</w:t>
      </w:r>
      <w:r>
        <w:rPr>
          <w:rStyle w:val="big-number"/>
          <w:rFonts w:cs="Miriam"/>
          <w:rtl/>
        </w:rPr>
        <w:tab/>
      </w:r>
      <w:r>
        <w:rPr>
          <w:rStyle w:val="default"/>
          <w:rFonts w:cs="FrankRuehl"/>
          <w:rtl/>
        </w:rPr>
        <w:t>הר</w:t>
      </w:r>
      <w:r>
        <w:rPr>
          <w:rStyle w:val="default"/>
          <w:rFonts w:cs="FrankRuehl" w:hint="cs"/>
          <w:rtl/>
        </w:rPr>
        <w:t>שיעה ועדת אתיקה את הנאשם, רשאים הקובל ואחריו הנאשם לטעון את טענותיהם ולהביא את ראיותיהם לענין העונש.</w:t>
      </w:r>
    </w:p>
    <w:p w:rsidR="006A45AF" w:rsidRDefault="006A45AF">
      <w:pPr>
        <w:pStyle w:val="P00"/>
        <w:spacing w:before="72"/>
        <w:ind w:left="0" w:right="1134"/>
        <w:rPr>
          <w:rStyle w:val="default"/>
          <w:rFonts w:cs="FrankRuehl"/>
          <w:rtl/>
        </w:rPr>
      </w:pPr>
      <w:bookmarkStart w:id="31" w:name="Seif31"/>
      <w:bookmarkEnd w:id="31"/>
      <w:r>
        <w:rPr>
          <w:lang w:val="he-IL"/>
        </w:rPr>
        <w:pict>
          <v:rect id="_x0000_s1057" style="position:absolute;left:0;text-align:left;margin-left:464.5pt;margin-top:8.05pt;width:75.05pt;height:13.3pt;z-index:251668992"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הט</w:t>
                  </w:r>
                  <w:r>
                    <w:rPr>
                      <w:rFonts w:cs="Miriam" w:hint="cs"/>
                      <w:sz w:val="18"/>
                      <w:szCs w:val="18"/>
                      <w:rtl/>
                    </w:rPr>
                    <w:t>לת העונש</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אחר הטענות והראיות לענין העונש כאמור בתקנה 31, ולא יאוחר מ-21 ימים מיום סיום הדיון, תקבע ועדת אתיקה את החלטתה לענין העונש; ההחלטה תיחתם בידי חברי ועדת אתיקה ותיקרא בפני הקובל והנאשם או תומצא להם, כפי </w:t>
      </w:r>
      <w:r>
        <w:rPr>
          <w:rStyle w:val="default"/>
          <w:rFonts w:cs="FrankRuehl"/>
          <w:rtl/>
        </w:rPr>
        <w:t>ש</w:t>
      </w:r>
      <w:r>
        <w:rPr>
          <w:rStyle w:val="default"/>
          <w:rFonts w:cs="FrankRuehl" w:hint="cs"/>
          <w:rtl/>
        </w:rPr>
        <w:t>תקבע ועדת אתיקה.</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מהכ</w:t>
      </w:r>
      <w:r>
        <w:rPr>
          <w:rStyle w:val="default"/>
          <w:rFonts w:cs="FrankRuehl"/>
          <w:rtl/>
        </w:rPr>
        <w:t>רע</w:t>
      </w:r>
      <w:r>
        <w:rPr>
          <w:rStyle w:val="default"/>
          <w:rFonts w:cs="FrankRuehl" w:hint="cs"/>
          <w:rtl/>
        </w:rPr>
        <w:t>ת דין והחלטה על עונש שהוקראו, יומצא לקובל ולנאשם.</w:t>
      </w:r>
    </w:p>
    <w:p w:rsidR="006A45AF" w:rsidRDefault="006A45AF">
      <w:pPr>
        <w:pStyle w:val="P00"/>
        <w:spacing w:before="72"/>
        <w:ind w:left="0" w:right="1134"/>
        <w:rPr>
          <w:rStyle w:val="default"/>
          <w:rFonts w:cs="FrankRuehl"/>
          <w:rtl/>
        </w:rPr>
      </w:pPr>
      <w:bookmarkStart w:id="32" w:name="Seif32"/>
      <w:bookmarkEnd w:id="32"/>
      <w:r>
        <w:rPr>
          <w:lang w:val="he-IL"/>
        </w:rPr>
        <w:pict>
          <v:rect id="_x0000_s1058" style="position:absolute;left:0;text-align:left;margin-left:464.5pt;margin-top:8.05pt;width:75.05pt;height:18pt;z-index:251670016"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חר</w:t>
                  </w:r>
                  <w:r>
                    <w:rPr>
                      <w:rFonts w:cs="Miriam" w:hint="cs"/>
                      <w:sz w:val="18"/>
                      <w:szCs w:val="18"/>
                      <w:rtl/>
                    </w:rPr>
                    <w:t>יגה מהמועד</w:t>
                  </w:r>
                </w:p>
              </w:txbxContent>
            </v:textbox>
            <w10:anchorlock/>
          </v:rect>
        </w:pict>
      </w:r>
      <w:r>
        <w:rPr>
          <w:rStyle w:val="big-number"/>
          <w:rFonts w:cs="Miriam"/>
          <w:rtl/>
        </w:rPr>
        <w:t>33.</w:t>
      </w:r>
      <w:r>
        <w:rPr>
          <w:rStyle w:val="big-number"/>
          <w:rFonts w:cs="Miriam"/>
          <w:rtl/>
        </w:rPr>
        <w:tab/>
      </w:r>
      <w:r>
        <w:rPr>
          <w:rStyle w:val="default"/>
          <w:rFonts w:cs="FrankRuehl"/>
          <w:rtl/>
        </w:rPr>
        <w:t>הכ</w:t>
      </w:r>
      <w:r>
        <w:rPr>
          <w:rStyle w:val="default"/>
          <w:rFonts w:cs="FrankRuehl" w:hint="cs"/>
          <w:rtl/>
        </w:rPr>
        <w:t>רעת דין והחלטה לענין עונש שניתנו שלא במועדים שנקבעו בתקנות אלה, לא ייפסלו בשל כך בלבד.</w:t>
      </w:r>
    </w:p>
    <w:p w:rsidR="006A45AF" w:rsidRDefault="006A45AF">
      <w:pPr>
        <w:pStyle w:val="P00"/>
        <w:spacing w:before="72"/>
        <w:ind w:left="0" w:right="1134"/>
        <w:rPr>
          <w:rStyle w:val="default"/>
          <w:rFonts w:cs="FrankRuehl"/>
          <w:rtl/>
        </w:rPr>
      </w:pPr>
      <w:bookmarkStart w:id="33" w:name="Seif33"/>
      <w:bookmarkEnd w:id="33"/>
      <w:r>
        <w:rPr>
          <w:lang w:val="he-IL"/>
        </w:rPr>
        <w:pict>
          <v:rect id="_x0000_s1059" style="position:absolute;left:0;text-align:left;margin-left:464.5pt;margin-top:8.05pt;width:75.05pt;height:13.05pt;z-index:251671040"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די</w:t>
                  </w:r>
                  <w:r>
                    <w:rPr>
                      <w:rFonts w:cs="Miriam" w:hint="cs"/>
                      <w:sz w:val="18"/>
                      <w:szCs w:val="18"/>
                      <w:rtl/>
                    </w:rPr>
                    <w:t>ון בהעדר הנאשם</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סתיימו ההליכים לפי תקנות אלה, רשאית</w:t>
      </w:r>
      <w:r>
        <w:rPr>
          <w:rStyle w:val="default"/>
          <w:rFonts w:cs="FrankRuehl"/>
          <w:rtl/>
        </w:rPr>
        <w:t xml:space="preserve"> </w:t>
      </w:r>
      <w:r>
        <w:rPr>
          <w:rStyle w:val="default"/>
          <w:rFonts w:cs="FrankRuehl" w:hint="cs"/>
          <w:rtl/>
        </w:rPr>
        <w:t>ועדת אתיקה, לבקשת נאשם, לבטל את הכרעת הדין וההחלטה על עונש, שנית</w:t>
      </w:r>
      <w:r>
        <w:rPr>
          <w:rStyle w:val="default"/>
          <w:rFonts w:cs="FrankRuehl"/>
          <w:rtl/>
        </w:rPr>
        <w:t>נו</w:t>
      </w:r>
      <w:r>
        <w:rPr>
          <w:rStyle w:val="default"/>
          <w:rFonts w:cs="FrankRuehl" w:hint="cs"/>
          <w:rtl/>
        </w:rPr>
        <w:t xml:space="preserve"> בעקבות דיון שהתקיים בהעדרו, אם ראתה שהיתה סיבה מוצדקת לאי התייצבותו או אם ראתה שהדבר דרוש כדי למנוע עיוות דין; בקשה לפי תקנה זו, תוגש בתוך שלושים ימים מהיום שהומצאה לנאשם ההחלטה על עונש וא</w:t>
      </w:r>
      <w:r>
        <w:rPr>
          <w:rStyle w:val="default"/>
          <w:rFonts w:cs="FrankRuehl"/>
          <w:rtl/>
        </w:rPr>
        <w:t>ו</w:t>
      </w:r>
      <w:r>
        <w:rPr>
          <w:rStyle w:val="default"/>
          <w:rFonts w:cs="FrankRuehl" w:hint="cs"/>
          <w:rtl/>
        </w:rPr>
        <w:t xml:space="preserve">לם רשאית ועדת אתיקה, מטעמים מיוחדים שיירשמו, לדון בבקשה שהוגשה </w:t>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ר מועד זה.</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בהוראות תקנה זו כדי לגרוע מסמכותה של ועדת אתיקה לבטל דיון, שהתקיים בהעדר הנאשם, אף אם לא הסתיימו ההליכים לפי תקנות אלה, אם ראתה שהיתה סיבה מוצדקת לאי-התייצבותו או אם ראתה שהדבר דרוש כדי למנוע עיוות דין.</w:t>
      </w:r>
    </w:p>
    <w:p w:rsidR="006A45AF" w:rsidRDefault="006A45AF">
      <w:pPr>
        <w:pStyle w:val="P00"/>
        <w:spacing w:before="72"/>
        <w:ind w:left="0" w:right="1134"/>
        <w:rPr>
          <w:rStyle w:val="default"/>
          <w:rFonts w:cs="FrankRuehl"/>
          <w:rtl/>
        </w:rPr>
      </w:pPr>
      <w:bookmarkStart w:id="34" w:name="Seif34"/>
      <w:bookmarkEnd w:id="34"/>
      <w:r>
        <w:rPr>
          <w:lang w:val="he-IL"/>
        </w:rPr>
        <w:pict>
          <v:rect id="_x0000_s1060" style="position:absolute;left:0;text-align:left;margin-left:464.5pt;margin-top:8.05pt;width:75.05pt;height:16.15pt;z-index:251672064"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הו</w:t>
                  </w:r>
                  <w:r>
                    <w:rPr>
                      <w:rFonts w:cs="Miriam" w:hint="cs"/>
                      <w:sz w:val="18"/>
                      <w:szCs w:val="18"/>
                      <w:rtl/>
                    </w:rPr>
                    <w:t>דעה למתלונן</w:t>
                  </w:r>
                </w:p>
              </w:txbxContent>
            </v:textbox>
            <w10:anchorlock/>
          </v:rect>
        </w:pict>
      </w:r>
      <w:r>
        <w:rPr>
          <w:rStyle w:val="big-number"/>
          <w:rFonts w:cs="Miriam"/>
          <w:rtl/>
        </w:rPr>
        <w:t>35.</w:t>
      </w:r>
      <w:r>
        <w:rPr>
          <w:rStyle w:val="big-number"/>
          <w:rFonts w:cs="Miriam"/>
          <w:rtl/>
        </w:rPr>
        <w:tab/>
      </w:r>
      <w:r>
        <w:rPr>
          <w:rStyle w:val="default"/>
          <w:rFonts w:cs="FrankRuehl"/>
          <w:rtl/>
        </w:rPr>
        <w:t>הק</w:t>
      </w:r>
      <w:r>
        <w:rPr>
          <w:rStyle w:val="default"/>
          <w:rFonts w:cs="FrankRuehl" w:hint="cs"/>
          <w:rtl/>
        </w:rPr>
        <w:t>ובל יודיע למתלונן על החל</w:t>
      </w:r>
      <w:r>
        <w:rPr>
          <w:rStyle w:val="default"/>
          <w:rFonts w:cs="FrankRuehl"/>
          <w:rtl/>
        </w:rPr>
        <w:t>טו</w:t>
      </w:r>
      <w:r>
        <w:rPr>
          <w:rStyle w:val="default"/>
          <w:rFonts w:cs="FrankRuehl" w:hint="cs"/>
          <w:rtl/>
        </w:rPr>
        <w:t>ת ועדת אתיקה לענין הכרעת הדין והעונש.</w:t>
      </w:r>
    </w:p>
    <w:p w:rsidR="006A45AF" w:rsidRDefault="006A45AF" w:rsidP="002E4627">
      <w:pPr>
        <w:pStyle w:val="P00"/>
        <w:spacing w:before="72"/>
        <w:ind w:left="0" w:right="1134"/>
        <w:rPr>
          <w:rStyle w:val="default"/>
          <w:rFonts w:cs="FrankRuehl"/>
          <w:rtl/>
        </w:rPr>
      </w:pPr>
      <w:bookmarkStart w:id="35" w:name="Seif35"/>
      <w:bookmarkEnd w:id="35"/>
      <w:r>
        <w:rPr>
          <w:lang w:val="he-IL"/>
        </w:rPr>
        <w:pict>
          <v:rect id="_x0000_s1061" style="position:absolute;left:0;text-align:left;margin-left:464.5pt;margin-top:8.05pt;width:75.05pt;height:13pt;z-index:251673088"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המ</w:t>
                  </w:r>
                  <w:r>
                    <w:rPr>
                      <w:rFonts w:cs="Miriam" w:hint="cs"/>
                      <w:sz w:val="18"/>
                      <w:szCs w:val="18"/>
                      <w:rtl/>
                    </w:rPr>
                    <w:t>צאת מ</w:t>
                  </w:r>
                  <w:r>
                    <w:rPr>
                      <w:rFonts w:cs="Miriam"/>
                      <w:sz w:val="18"/>
                      <w:szCs w:val="18"/>
                      <w:rtl/>
                    </w:rPr>
                    <w:t>סמ</w:t>
                  </w:r>
                  <w:r>
                    <w:rPr>
                      <w:rFonts w:cs="Miriam" w:hint="cs"/>
                      <w:sz w:val="18"/>
                      <w:szCs w:val="18"/>
                      <w:rtl/>
                    </w:rPr>
                    <w:t>כים</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סמך שיש להמציאו לאדם לפי תקנות אלה, תהיה המצאתו במסירה לידיו או במשלוח מכתב בדואר רשום לפי מען מגוריו או מען עבודתו עם אישור מסירה, ובאין למצאו במקום מגוריו או במקום עבודתו </w:t>
      </w:r>
      <w:r w:rsidR="002E4627">
        <w:rPr>
          <w:rStyle w:val="default"/>
          <w:rFonts w:cs="FrankRuehl" w:hint="cs"/>
          <w:rtl/>
        </w:rPr>
        <w:t>-</w:t>
      </w:r>
      <w:r>
        <w:rPr>
          <w:rStyle w:val="default"/>
          <w:rFonts w:cs="FrankRuehl"/>
          <w:rtl/>
        </w:rPr>
        <w:t xml:space="preserve"> </w:t>
      </w:r>
      <w:r>
        <w:rPr>
          <w:rStyle w:val="default"/>
          <w:rFonts w:cs="FrankRuehl" w:hint="cs"/>
          <w:rtl/>
        </w:rPr>
        <w:t>לידי בן משפחתו הגר עמו ונראה שמ</w:t>
      </w:r>
      <w:r>
        <w:rPr>
          <w:rStyle w:val="default"/>
          <w:rFonts w:cs="FrankRuehl"/>
          <w:rtl/>
        </w:rPr>
        <w:t>לא</w:t>
      </w:r>
      <w:r>
        <w:rPr>
          <w:rStyle w:val="default"/>
          <w:rFonts w:cs="FrankRuehl" w:hint="cs"/>
          <w:rtl/>
        </w:rPr>
        <w:t>ו לו שמונה עשרה שנים.</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יתה ההמצאה במשלוח מכתב כאמור בתקנת משנה (א), יראו את התאריך שבאישור המסירה כתאריך ההמצאה.</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סירת מסמך לידי בא כוחו של הנאשם, א</w:t>
      </w:r>
      <w:r>
        <w:rPr>
          <w:rStyle w:val="default"/>
          <w:rFonts w:cs="FrankRuehl"/>
          <w:rtl/>
        </w:rPr>
        <w:t>ו</w:t>
      </w:r>
      <w:r>
        <w:rPr>
          <w:rStyle w:val="default"/>
          <w:rFonts w:cs="FrankRuehl" w:hint="cs"/>
          <w:rtl/>
        </w:rPr>
        <w:t xml:space="preserve"> מסירתו לידי פקיד במשרדו, או משלוח מכתב רשום עם אישור מסירה לפי מען משרדו, יראו כהמצאה לנאשם, ז</w:t>
      </w:r>
      <w:r>
        <w:rPr>
          <w:rStyle w:val="default"/>
          <w:rFonts w:cs="FrankRuehl"/>
          <w:rtl/>
        </w:rPr>
        <w:t>ול</w:t>
      </w:r>
      <w:r>
        <w:rPr>
          <w:rStyle w:val="default"/>
          <w:rFonts w:cs="FrankRuehl" w:hint="cs"/>
          <w:rtl/>
        </w:rPr>
        <w:t>ת אם הודיע בא כוחו של הנאשם לועדת אתיקה, בתוך חמישה ימים מקבלת המסמך, כי אין ביכולתו להביא את המסמך לידיעת הנאשם.</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בוצעה המצ</w:t>
      </w:r>
      <w:r>
        <w:rPr>
          <w:rStyle w:val="default"/>
          <w:rFonts w:cs="FrankRuehl"/>
          <w:rtl/>
        </w:rPr>
        <w:t>א</w:t>
      </w:r>
      <w:r>
        <w:rPr>
          <w:rStyle w:val="default"/>
          <w:rFonts w:cs="FrankRuehl" w:hint="cs"/>
          <w:rtl/>
        </w:rPr>
        <w:t xml:space="preserve">ת מסמך לפי תקנה זו, עקב סירוב לקבל את המסמך או לחתום על אישור מסירה, יראו את המסמך כאילו הומצא </w:t>
      </w:r>
      <w:r>
        <w:rPr>
          <w:rStyle w:val="default"/>
          <w:rFonts w:cs="FrankRuehl"/>
          <w:rtl/>
        </w:rPr>
        <w:t>כד</w:t>
      </w:r>
      <w:r>
        <w:rPr>
          <w:rStyle w:val="default"/>
          <w:rFonts w:cs="FrankRuehl" w:hint="cs"/>
          <w:rtl/>
        </w:rPr>
        <w:t>ין.</w:t>
      </w:r>
    </w:p>
    <w:p w:rsidR="006A45AF" w:rsidRDefault="006A45AF">
      <w:pPr>
        <w:pStyle w:val="P00"/>
        <w:spacing w:before="72"/>
        <w:ind w:left="0" w:right="1134"/>
        <w:rPr>
          <w:rStyle w:val="default"/>
          <w:rFonts w:cs="FrankRuehl"/>
          <w:rtl/>
        </w:rPr>
      </w:pPr>
      <w:bookmarkStart w:id="36" w:name="Seif36"/>
      <w:bookmarkEnd w:id="36"/>
      <w:r>
        <w:rPr>
          <w:lang w:val="he-IL"/>
        </w:rPr>
        <w:pict>
          <v:rect id="_x0000_s1062" style="position:absolute;left:0;text-align:left;margin-left:464.5pt;margin-top:8.05pt;width:75.05pt;height:16.55pt;z-index:251674112"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תח</w:t>
                  </w:r>
                  <w:r>
                    <w:rPr>
                      <w:rFonts w:cs="Miriam" w:hint="cs"/>
                      <w:sz w:val="18"/>
                      <w:szCs w:val="18"/>
                      <w:rtl/>
                    </w:rPr>
                    <w:t>ליף המצאה</w:t>
                  </w:r>
                </w:p>
              </w:txbxContent>
            </v:textbox>
            <w10:anchorlock/>
          </v:rect>
        </w:pict>
      </w:r>
      <w:r>
        <w:rPr>
          <w:rStyle w:val="big-number"/>
          <w:rFonts w:cs="Miriam"/>
          <w:rtl/>
        </w:rPr>
        <w:t>37.</w:t>
      </w:r>
      <w:r>
        <w:rPr>
          <w:rStyle w:val="big-number"/>
          <w:rFonts w:cs="Miriam"/>
          <w:rtl/>
        </w:rPr>
        <w:tab/>
      </w:r>
      <w:r>
        <w:rPr>
          <w:rStyle w:val="default"/>
          <w:rFonts w:cs="FrankRuehl"/>
          <w:rtl/>
        </w:rPr>
        <w:t>רא</w:t>
      </w:r>
      <w:r>
        <w:rPr>
          <w:rStyle w:val="default"/>
          <w:rFonts w:cs="FrankRuehl" w:hint="cs"/>
          <w:rtl/>
        </w:rPr>
        <w:t>תה ועדת אתיקה שאי אפשר להמציא את המסמך כאמור בתקנה 36, רשאית היא להורות על המצאתו באחת מדרכים אלה:</w:t>
      </w:r>
    </w:p>
    <w:p w:rsidR="006A45AF" w:rsidRDefault="006A45AF">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הדבקת עותק המסמך על דלת הבית שבו רגיל האדם לגור או לעבוד;</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פרסום מודעה בעיתון יומי;</w:t>
      </w:r>
    </w:p>
    <w:p w:rsidR="006A45AF" w:rsidRDefault="006A45AF">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כל דרך סבירה אחרת שתיראה לה.</w:t>
      </w:r>
    </w:p>
    <w:p w:rsidR="006A45AF" w:rsidRDefault="006A45AF">
      <w:pPr>
        <w:pStyle w:val="P00"/>
        <w:spacing w:before="72"/>
        <w:ind w:left="0" w:right="1134"/>
        <w:rPr>
          <w:rStyle w:val="default"/>
          <w:rFonts w:cs="FrankRuehl"/>
          <w:rtl/>
        </w:rPr>
      </w:pPr>
      <w:bookmarkStart w:id="37" w:name="Seif37"/>
      <w:bookmarkEnd w:id="37"/>
      <w:r>
        <w:rPr>
          <w:lang w:val="he-IL"/>
        </w:rPr>
        <w:pict>
          <v:rect id="_x0000_s1063" style="position:absolute;left:0;text-align:left;margin-left:464.5pt;margin-top:8.05pt;width:75.05pt;height:23.45pt;z-index:251675136"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פג</w:t>
                  </w:r>
                  <w:r>
                    <w:rPr>
                      <w:rFonts w:cs="Miriam" w:hint="cs"/>
                      <w:sz w:val="18"/>
                      <w:szCs w:val="18"/>
                      <w:rtl/>
                    </w:rPr>
                    <w:t>מים שאינם פוגמים בדיון</w:t>
                  </w:r>
                </w:p>
              </w:txbxContent>
            </v:textbox>
            <w10:anchorlock/>
          </v:rect>
        </w:pict>
      </w:r>
      <w:r>
        <w:rPr>
          <w:rStyle w:val="big-number"/>
          <w:rFonts w:cs="Miriam"/>
          <w:rtl/>
        </w:rPr>
        <w:t>38.</w:t>
      </w:r>
      <w:r>
        <w:rPr>
          <w:rStyle w:val="big-number"/>
          <w:rFonts w:cs="Miriam"/>
          <w:rtl/>
        </w:rPr>
        <w:tab/>
      </w:r>
      <w:r>
        <w:rPr>
          <w:rStyle w:val="default"/>
          <w:rFonts w:cs="FrankRuehl"/>
          <w:rtl/>
        </w:rPr>
        <w:t>לי</w:t>
      </w:r>
      <w:r>
        <w:rPr>
          <w:rStyle w:val="default"/>
          <w:rFonts w:cs="FrankRuehl" w:hint="cs"/>
          <w:rtl/>
        </w:rPr>
        <w:t>קוי טכני</w:t>
      </w:r>
      <w:r>
        <w:rPr>
          <w:rStyle w:val="default"/>
          <w:rFonts w:cs="FrankRuehl"/>
          <w:rtl/>
        </w:rPr>
        <w:t xml:space="preserve"> ב</w:t>
      </w:r>
      <w:r>
        <w:rPr>
          <w:rStyle w:val="default"/>
          <w:rFonts w:cs="FrankRuehl" w:hint="cs"/>
          <w:rtl/>
        </w:rPr>
        <w:t>עריכתו של מסמך לפי תקנות אלה, אין בו כדי לפגום בתוקפם של ההליכים על פיו; אולם אם נראה לועדת אתיקה, כי יש בדבר חשש לעי</w:t>
      </w:r>
      <w:r>
        <w:rPr>
          <w:rStyle w:val="default"/>
          <w:rFonts w:cs="FrankRuehl"/>
          <w:rtl/>
        </w:rPr>
        <w:t>ו</w:t>
      </w:r>
      <w:r>
        <w:rPr>
          <w:rStyle w:val="default"/>
          <w:rFonts w:cs="FrankRuehl" w:hint="cs"/>
          <w:rtl/>
        </w:rPr>
        <w:t>ות דינו של הנאשם, תורה כל הוראה הדרושה כדי להסיר את החשש.</w:t>
      </w:r>
    </w:p>
    <w:p w:rsidR="006A45AF" w:rsidRDefault="006A45AF">
      <w:pPr>
        <w:pStyle w:val="P00"/>
        <w:spacing w:before="72"/>
        <w:ind w:left="0" w:right="1134"/>
        <w:rPr>
          <w:rStyle w:val="default"/>
          <w:rFonts w:cs="FrankRuehl"/>
          <w:rtl/>
        </w:rPr>
      </w:pPr>
      <w:bookmarkStart w:id="38" w:name="Seif38"/>
      <w:bookmarkEnd w:id="38"/>
      <w:r>
        <w:rPr>
          <w:lang w:val="he-IL"/>
        </w:rPr>
        <w:pict>
          <v:rect id="_x0000_s1064" style="position:absolute;left:0;text-align:left;margin-left:464.5pt;margin-top:8.05pt;width:75.05pt;height:16pt;z-index:251676160" o:allowincell="f" filled="f" stroked="f" strokecolor="lime" strokeweight=".25pt">
            <v:textbox inset="0,0,0,0">
              <w:txbxContent>
                <w:p w:rsidR="006A45AF" w:rsidRDefault="006A45AF" w:rsidP="002E4627">
                  <w:pPr>
                    <w:spacing w:line="160" w:lineRule="exact"/>
                    <w:jc w:val="left"/>
                    <w:rPr>
                      <w:rFonts w:cs="Miriam"/>
                      <w:noProof/>
                      <w:sz w:val="18"/>
                      <w:szCs w:val="18"/>
                      <w:rtl/>
                    </w:rPr>
                  </w:pPr>
                  <w:r>
                    <w:rPr>
                      <w:rFonts w:cs="Miriam"/>
                      <w:sz w:val="18"/>
                      <w:szCs w:val="18"/>
                      <w:rtl/>
                    </w:rPr>
                    <w:t>סד</w:t>
                  </w:r>
                  <w:r>
                    <w:rPr>
                      <w:rFonts w:cs="Miriam" w:hint="cs"/>
                      <w:sz w:val="18"/>
                      <w:szCs w:val="18"/>
                      <w:rtl/>
                    </w:rPr>
                    <w:t>רי דין</w:t>
                  </w:r>
                  <w:r w:rsidR="002E4627">
                    <w:rPr>
                      <w:rFonts w:cs="Miriam" w:hint="cs"/>
                      <w:sz w:val="18"/>
                      <w:szCs w:val="18"/>
                      <w:rtl/>
                    </w:rPr>
                    <w:t xml:space="preserve"> </w:t>
                  </w:r>
                  <w:r>
                    <w:rPr>
                      <w:rFonts w:cs="Miriam"/>
                      <w:sz w:val="18"/>
                      <w:szCs w:val="18"/>
                      <w:rtl/>
                    </w:rPr>
                    <w:t>בא</w:t>
                  </w:r>
                  <w:r>
                    <w:rPr>
                      <w:rFonts w:cs="Miriam" w:hint="cs"/>
                      <w:sz w:val="18"/>
                      <w:szCs w:val="18"/>
                      <w:rtl/>
                    </w:rPr>
                    <w:t>ין הוראות</w:t>
                  </w:r>
                </w:p>
              </w:txbxContent>
            </v:textbox>
            <w10:anchorlock/>
          </v:rect>
        </w:pict>
      </w:r>
      <w:r>
        <w:rPr>
          <w:rStyle w:val="big-number"/>
          <w:rFonts w:cs="Miriam"/>
          <w:rtl/>
        </w:rPr>
        <w:t>39.</w:t>
      </w:r>
      <w:r>
        <w:rPr>
          <w:rStyle w:val="big-number"/>
          <w:rFonts w:cs="Miriam"/>
          <w:rtl/>
        </w:rPr>
        <w:tab/>
      </w:r>
      <w:r>
        <w:rPr>
          <w:rStyle w:val="default"/>
          <w:rFonts w:cs="FrankRuehl"/>
          <w:rtl/>
        </w:rPr>
        <w:t>בכ</w:t>
      </w:r>
      <w:r>
        <w:rPr>
          <w:rStyle w:val="default"/>
          <w:rFonts w:cs="FrankRuehl" w:hint="cs"/>
          <w:rtl/>
        </w:rPr>
        <w:t>ל ענין של סדרי דין שאין עליו הוראה בחוק, בתקנות אלה או בחיקוק אחר, תנהג</w:t>
      </w:r>
      <w:r>
        <w:rPr>
          <w:rStyle w:val="default"/>
          <w:rFonts w:cs="FrankRuehl"/>
          <w:rtl/>
        </w:rPr>
        <w:t xml:space="preserve"> ו</w:t>
      </w:r>
      <w:r>
        <w:rPr>
          <w:rStyle w:val="default"/>
          <w:rFonts w:cs="FrankRuehl" w:hint="cs"/>
          <w:rtl/>
        </w:rPr>
        <w:t>עדת אתיקה בדרך הנראית לה טובה ביותר לעשיית צדק.</w:t>
      </w:r>
    </w:p>
    <w:p w:rsidR="006A45AF" w:rsidRDefault="006A45AF">
      <w:pPr>
        <w:pStyle w:val="P00"/>
        <w:spacing w:before="72"/>
        <w:ind w:left="0" w:right="1134"/>
        <w:rPr>
          <w:rStyle w:val="default"/>
          <w:rFonts w:cs="FrankRuehl"/>
          <w:rtl/>
        </w:rPr>
      </w:pPr>
      <w:bookmarkStart w:id="39" w:name="Seif39"/>
      <w:bookmarkEnd w:id="39"/>
      <w:r>
        <w:rPr>
          <w:lang w:val="he-IL"/>
        </w:rPr>
        <w:pict>
          <v:rect id="_x0000_s1065" style="position:absolute;left:0;text-align:left;margin-left:464.5pt;margin-top:8.05pt;width:75.05pt;height:11.4pt;z-index:251677184"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40.</w:t>
      </w:r>
      <w:r>
        <w:rPr>
          <w:rStyle w:val="big-number"/>
          <w:rFonts w:cs="Miriam"/>
          <w:rtl/>
        </w:rPr>
        <w:tab/>
      </w:r>
      <w:r>
        <w:rPr>
          <w:rStyle w:val="default"/>
          <w:rFonts w:cs="FrankRuehl"/>
          <w:rtl/>
        </w:rPr>
        <w:t>תח</w:t>
      </w:r>
      <w:r>
        <w:rPr>
          <w:rStyle w:val="default"/>
          <w:rFonts w:cs="FrankRuehl" w:hint="cs"/>
          <w:rtl/>
        </w:rPr>
        <w:t>ילתן של תקנות אלה 45 ימים מיום פרסומן.</w:t>
      </w:r>
    </w:p>
    <w:p w:rsidR="006A45AF" w:rsidRDefault="006A45AF">
      <w:pPr>
        <w:pStyle w:val="P00"/>
        <w:spacing w:before="72"/>
        <w:ind w:left="0" w:right="1134"/>
        <w:rPr>
          <w:rStyle w:val="default"/>
          <w:rFonts w:cs="FrankRuehl"/>
          <w:rtl/>
        </w:rPr>
      </w:pPr>
      <w:bookmarkStart w:id="40" w:name="Seif40"/>
      <w:bookmarkEnd w:id="40"/>
      <w:r>
        <w:rPr>
          <w:lang w:val="he-IL"/>
        </w:rPr>
        <w:pict>
          <v:rect id="_x0000_s1066" style="position:absolute;left:0;text-align:left;margin-left:464.5pt;margin-top:8.05pt;width:75.05pt;height:13.9pt;z-index:251678208" o:allowincell="f" filled="f" stroked="f" strokecolor="lime" strokeweight=".25pt">
            <v:textbox inset="0,0,0,0">
              <w:txbxContent>
                <w:p w:rsidR="006A45AF" w:rsidRDefault="006A45AF">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41.</w:t>
      </w:r>
      <w:r>
        <w:rPr>
          <w:rStyle w:val="big-number"/>
          <w:rFonts w:cs="Miriam"/>
          <w:rtl/>
        </w:rPr>
        <w:tab/>
      </w:r>
      <w:r>
        <w:rPr>
          <w:rStyle w:val="default"/>
          <w:rFonts w:cs="FrankRuehl"/>
          <w:rtl/>
        </w:rPr>
        <w:t>די</w:t>
      </w:r>
      <w:r>
        <w:rPr>
          <w:rStyle w:val="default"/>
          <w:rFonts w:cs="FrankRuehl" w:hint="cs"/>
          <w:rtl/>
        </w:rPr>
        <w:t>ון לפני ועדת אתיקה, שהוחל בו ערב תחילתן של תקנות אלה, ימשיך להתנהל כאילו לא הותקנו.</w:t>
      </w:r>
    </w:p>
    <w:p w:rsidR="006A45AF" w:rsidRDefault="006A45AF">
      <w:pPr>
        <w:pStyle w:val="P00"/>
        <w:spacing w:before="72"/>
        <w:ind w:left="0" w:right="1134"/>
        <w:rPr>
          <w:rStyle w:val="default"/>
          <w:rFonts w:cs="FrankRuehl" w:hint="cs"/>
          <w:rtl/>
        </w:rPr>
      </w:pPr>
    </w:p>
    <w:p w:rsidR="002E4627" w:rsidRDefault="002E4627">
      <w:pPr>
        <w:pStyle w:val="P00"/>
        <w:spacing w:before="72"/>
        <w:ind w:left="0" w:right="1134"/>
        <w:rPr>
          <w:rStyle w:val="default"/>
          <w:rFonts w:cs="FrankRuehl" w:hint="cs"/>
          <w:rtl/>
        </w:rPr>
      </w:pPr>
    </w:p>
    <w:p w:rsidR="006A45AF" w:rsidRDefault="006A45AF">
      <w:pPr>
        <w:pStyle w:val="sig-0"/>
        <w:ind w:left="0" w:right="1134"/>
        <w:rPr>
          <w:rFonts w:cs="FrankRuehl"/>
          <w:sz w:val="26"/>
          <w:rtl/>
        </w:rPr>
      </w:pPr>
      <w:r>
        <w:rPr>
          <w:rFonts w:cs="FrankRuehl"/>
          <w:sz w:val="26"/>
          <w:rtl/>
        </w:rPr>
        <w:t>י"</w:t>
      </w:r>
      <w:r>
        <w:rPr>
          <w:rFonts w:cs="FrankRuehl" w:hint="cs"/>
          <w:sz w:val="26"/>
          <w:rtl/>
        </w:rPr>
        <w:t>ז באלול תשנ"ט (29 באוגוסט 1999)</w:t>
      </w:r>
      <w:r>
        <w:rPr>
          <w:rFonts w:cs="FrankRuehl"/>
          <w:sz w:val="26"/>
          <w:rtl/>
        </w:rPr>
        <w:tab/>
        <w:t>א</w:t>
      </w:r>
      <w:r>
        <w:rPr>
          <w:rFonts w:cs="FrankRuehl" w:hint="cs"/>
          <w:sz w:val="26"/>
          <w:rtl/>
        </w:rPr>
        <w:t>ליהו ישי</w:t>
      </w:r>
    </w:p>
    <w:p w:rsidR="006A45AF" w:rsidRDefault="006A45A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 והרווחה</w:t>
      </w:r>
    </w:p>
    <w:p w:rsidR="006A45AF" w:rsidRPr="002E4627" w:rsidRDefault="006A45AF" w:rsidP="002E4627">
      <w:pPr>
        <w:pStyle w:val="P00"/>
        <w:spacing w:before="72"/>
        <w:ind w:left="0" w:right="1134"/>
        <w:rPr>
          <w:rStyle w:val="default"/>
          <w:rFonts w:cs="FrankRuehl" w:hint="cs"/>
          <w:rtl/>
        </w:rPr>
      </w:pPr>
    </w:p>
    <w:p w:rsidR="002E4627" w:rsidRPr="002E4627" w:rsidRDefault="002E4627" w:rsidP="002E4627">
      <w:pPr>
        <w:pStyle w:val="P00"/>
        <w:spacing w:before="72"/>
        <w:ind w:left="0" w:right="1134"/>
        <w:rPr>
          <w:rStyle w:val="default"/>
          <w:rFonts w:cs="FrankRuehl" w:hint="cs"/>
          <w:rtl/>
        </w:rPr>
      </w:pPr>
    </w:p>
    <w:p w:rsidR="002E4627" w:rsidRPr="002E4627" w:rsidRDefault="002E4627" w:rsidP="002E4627">
      <w:pPr>
        <w:pStyle w:val="P00"/>
        <w:spacing w:before="72"/>
        <w:ind w:left="0" w:right="1134"/>
        <w:rPr>
          <w:rStyle w:val="default"/>
          <w:rFonts w:cs="FrankRuehl"/>
          <w:rtl/>
        </w:rPr>
      </w:pPr>
    </w:p>
    <w:sectPr w:rsidR="002E4627" w:rsidRPr="002E462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21B2" w:rsidRDefault="00FA21B2">
      <w:r>
        <w:separator/>
      </w:r>
    </w:p>
  </w:endnote>
  <w:endnote w:type="continuationSeparator" w:id="0">
    <w:p w:rsidR="00FA21B2" w:rsidRDefault="00FA2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45AF" w:rsidRDefault="006A45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A45AF" w:rsidRDefault="006A45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A45AF" w:rsidRDefault="006A45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4627">
      <w:rPr>
        <w:rFonts w:cs="TopType Jerushalmi"/>
        <w:noProof/>
        <w:color w:val="000000"/>
        <w:sz w:val="14"/>
        <w:szCs w:val="14"/>
      </w:rPr>
      <w:t>D:\Yael\hakika\Revadim\199_012.doc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45AF" w:rsidRDefault="006A45A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17FA5">
      <w:rPr>
        <w:rFonts w:hAnsi="FrankRuehl" w:cs="FrankRuehl"/>
        <w:noProof/>
        <w:sz w:val="24"/>
        <w:szCs w:val="24"/>
        <w:rtl/>
      </w:rPr>
      <w:t>3</w:t>
    </w:r>
    <w:r>
      <w:rPr>
        <w:rFonts w:hAnsi="FrankRuehl" w:cs="FrankRuehl"/>
        <w:sz w:val="24"/>
        <w:szCs w:val="24"/>
        <w:rtl/>
      </w:rPr>
      <w:fldChar w:fldCharType="end"/>
    </w:r>
  </w:p>
  <w:p w:rsidR="006A45AF" w:rsidRDefault="006A45A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A45AF" w:rsidRDefault="006A45A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E4627">
      <w:rPr>
        <w:rFonts w:cs="TopType Jerushalmi"/>
        <w:noProof/>
        <w:color w:val="000000"/>
        <w:sz w:val="14"/>
        <w:szCs w:val="14"/>
      </w:rPr>
      <w:t>D:\Yael\hakika\Revadim\199_012.doc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21B2" w:rsidRDefault="00FA21B2" w:rsidP="002E4627">
      <w:pPr>
        <w:spacing w:before="60" w:line="240" w:lineRule="auto"/>
        <w:ind w:right="1134"/>
      </w:pPr>
      <w:r>
        <w:separator/>
      </w:r>
    </w:p>
  </w:footnote>
  <w:footnote w:type="continuationSeparator" w:id="0">
    <w:p w:rsidR="00FA21B2" w:rsidRDefault="00FA21B2">
      <w:r>
        <w:continuationSeparator/>
      </w:r>
    </w:p>
  </w:footnote>
  <w:footnote w:id="1">
    <w:p w:rsidR="002E4627" w:rsidRPr="002E4627" w:rsidRDefault="002E4627" w:rsidP="002E46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2E4627">
        <w:rPr>
          <w:rFonts w:cs="FrankRuehl"/>
          <w:rtl/>
        </w:rPr>
        <w:t xml:space="preserve">* </w:t>
      </w:r>
      <w:r>
        <w:rPr>
          <w:rFonts w:cs="FrankRuehl"/>
          <w:rtl/>
        </w:rPr>
        <w:t>פו</w:t>
      </w:r>
      <w:r>
        <w:rPr>
          <w:rFonts w:cs="FrankRuehl" w:hint="cs"/>
          <w:rtl/>
        </w:rPr>
        <w:t xml:space="preserve">רסמו </w:t>
      </w:r>
      <w:hyperlink r:id="rId1" w:history="1">
        <w:r w:rsidRPr="00CF180B">
          <w:rPr>
            <w:rStyle w:val="Hyperlink"/>
            <w:rFonts w:cs="FrankRuehl" w:hint="cs"/>
            <w:rtl/>
          </w:rPr>
          <w:t>ק"ת תש"ס מס' 59</w:t>
        </w:r>
        <w:r w:rsidRPr="00CF180B">
          <w:rPr>
            <w:rStyle w:val="Hyperlink"/>
            <w:rFonts w:cs="FrankRuehl"/>
            <w:rtl/>
          </w:rPr>
          <w:t>99</w:t>
        </w:r>
      </w:hyperlink>
      <w:r>
        <w:rPr>
          <w:rFonts w:cs="FrankRuehl"/>
          <w:rtl/>
        </w:rPr>
        <w:t xml:space="preserve"> </w:t>
      </w:r>
      <w:r>
        <w:rPr>
          <w:rFonts w:cs="FrankRuehl" w:hint="cs"/>
          <w:rtl/>
        </w:rPr>
        <w:t>מיום 21.9.1999 עמ'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45AF" w:rsidRDefault="006A45A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המהנדסים והאדריכלים (סדרי דין בדיון לפני ועדת אתיקה), תש"ס–1999</w:t>
    </w:r>
  </w:p>
  <w:p w:rsidR="006A45AF" w:rsidRDefault="006A45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45AF" w:rsidRDefault="006A45A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45AF" w:rsidRDefault="006A45AF" w:rsidP="002E462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המהנדסים והאדריכלים (סדרי דין בדיון לפני ועדת אתיקה), תש"ס</w:t>
    </w:r>
    <w:r w:rsidR="002E4627">
      <w:rPr>
        <w:rFonts w:hAnsi="FrankRuehl" w:cs="FrankRuehl" w:hint="cs"/>
        <w:color w:val="000000"/>
        <w:sz w:val="28"/>
        <w:szCs w:val="28"/>
        <w:rtl/>
      </w:rPr>
      <w:t>-</w:t>
    </w:r>
    <w:r>
      <w:rPr>
        <w:rFonts w:hAnsi="FrankRuehl" w:cs="FrankRuehl"/>
        <w:color w:val="000000"/>
        <w:sz w:val="28"/>
        <w:szCs w:val="28"/>
        <w:rtl/>
      </w:rPr>
      <w:t>1999</w:t>
    </w:r>
  </w:p>
  <w:p w:rsidR="006A45AF" w:rsidRDefault="006A45A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A45AF" w:rsidRDefault="006A45A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180B"/>
    <w:rsid w:val="002E4627"/>
    <w:rsid w:val="004D5FAD"/>
    <w:rsid w:val="006A45AF"/>
    <w:rsid w:val="007E7603"/>
    <w:rsid w:val="00854EED"/>
    <w:rsid w:val="00B54FBD"/>
    <w:rsid w:val="00CF180B"/>
    <w:rsid w:val="00DE69C1"/>
    <w:rsid w:val="00E17FA5"/>
    <w:rsid w:val="00FA21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302A165-000B-4916-9BBC-47286695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2E4627"/>
    <w:rPr>
      <w:sz w:val="20"/>
      <w:szCs w:val="20"/>
    </w:rPr>
  </w:style>
  <w:style w:type="character" w:styleId="a6">
    <w:name w:val="footnote reference"/>
    <w:basedOn w:val="a0"/>
    <w:semiHidden/>
    <w:rsid w:val="002E46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9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14202</CharactersWithSpaces>
  <SharedDoc>false</SharedDoc>
  <HLinks>
    <vt:vector size="252" baseType="variant">
      <vt:variant>
        <vt:i4>3342382</vt:i4>
      </vt:variant>
      <vt:variant>
        <vt:i4>243</vt:i4>
      </vt:variant>
      <vt:variant>
        <vt:i4>0</vt:i4>
      </vt:variant>
      <vt:variant>
        <vt:i4>5</vt:i4>
      </vt:variant>
      <vt:variant>
        <vt:lpwstr/>
      </vt:variant>
      <vt:variant>
        <vt:lpwstr>Seif40</vt:lpwstr>
      </vt:variant>
      <vt:variant>
        <vt:i4>3801129</vt:i4>
      </vt:variant>
      <vt:variant>
        <vt:i4>237</vt:i4>
      </vt:variant>
      <vt:variant>
        <vt:i4>0</vt:i4>
      </vt:variant>
      <vt:variant>
        <vt:i4>5</vt:i4>
      </vt:variant>
      <vt:variant>
        <vt:lpwstr/>
      </vt:variant>
      <vt:variant>
        <vt:lpwstr>Seif39</vt:lpwstr>
      </vt:variant>
      <vt:variant>
        <vt:i4>3866665</vt:i4>
      </vt:variant>
      <vt:variant>
        <vt:i4>231</vt:i4>
      </vt:variant>
      <vt:variant>
        <vt:i4>0</vt:i4>
      </vt:variant>
      <vt:variant>
        <vt:i4>5</vt:i4>
      </vt:variant>
      <vt:variant>
        <vt:lpwstr/>
      </vt:variant>
      <vt:variant>
        <vt:lpwstr>Seif38</vt:lpwstr>
      </vt:variant>
      <vt:variant>
        <vt:i4>3407913</vt:i4>
      </vt:variant>
      <vt:variant>
        <vt:i4>225</vt:i4>
      </vt:variant>
      <vt:variant>
        <vt:i4>0</vt:i4>
      </vt:variant>
      <vt:variant>
        <vt:i4>5</vt:i4>
      </vt:variant>
      <vt:variant>
        <vt:lpwstr/>
      </vt:variant>
      <vt:variant>
        <vt:lpwstr>Seif37</vt:lpwstr>
      </vt:variant>
      <vt:variant>
        <vt:i4>3473449</vt:i4>
      </vt:variant>
      <vt:variant>
        <vt:i4>219</vt:i4>
      </vt:variant>
      <vt:variant>
        <vt:i4>0</vt:i4>
      </vt:variant>
      <vt:variant>
        <vt:i4>5</vt:i4>
      </vt:variant>
      <vt:variant>
        <vt:lpwstr/>
      </vt:variant>
      <vt:variant>
        <vt:lpwstr>Seif36</vt:lpwstr>
      </vt:variant>
      <vt:variant>
        <vt:i4>3538985</vt:i4>
      </vt:variant>
      <vt:variant>
        <vt:i4>213</vt:i4>
      </vt:variant>
      <vt:variant>
        <vt:i4>0</vt:i4>
      </vt:variant>
      <vt:variant>
        <vt:i4>5</vt:i4>
      </vt:variant>
      <vt:variant>
        <vt:lpwstr/>
      </vt:variant>
      <vt:variant>
        <vt:lpwstr>Seif35</vt:lpwstr>
      </vt:variant>
      <vt:variant>
        <vt:i4>3604521</vt:i4>
      </vt:variant>
      <vt:variant>
        <vt:i4>207</vt:i4>
      </vt:variant>
      <vt:variant>
        <vt:i4>0</vt:i4>
      </vt:variant>
      <vt:variant>
        <vt:i4>5</vt:i4>
      </vt:variant>
      <vt:variant>
        <vt:lpwstr/>
      </vt:variant>
      <vt:variant>
        <vt:lpwstr>Seif34</vt:lpwstr>
      </vt:variant>
      <vt:variant>
        <vt:i4>3145769</vt:i4>
      </vt:variant>
      <vt:variant>
        <vt:i4>201</vt:i4>
      </vt:variant>
      <vt:variant>
        <vt:i4>0</vt:i4>
      </vt:variant>
      <vt:variant>
        <vt:i4>5</vt:i4>
      </vt:variant>
      <vt:variant>
        <vt:lpwstr/>
      </vt:variant>
      <vt:variant>
        <vt:lpwstr>Seif33</vt:lpwstr>
      </vt:variant>
      <vt:variant>
        <vt:i4>3211305</vt:i4>
      </vt:variant>
      <vt:variant>
        <vt:i4>195</vt:i4>
      </vt:variant>
      <vt:variant>
        <vt:i4>0</vt:i4>
      </vt:variant>
      <vt:variant>
        <vt:i4>5</vt:i4>
      </vt:variant>
      <vt:variant>
        <vt:lpwstr/>
      </vt:variant>
      <vt:variant>
        <vt:lpwstr>Seif32</vt:lpwstr>
      </vt:variant>
      <vt:variant>
        <vt:i4>3276841</vt:i4>
      </vt:variant>
      <vt:variant>
        <vt:i4>189</vt:i4>
      </vt:variant>
      <vt:variant>
        <vt:i4>0</vt:i4>
      </vt:variant>
      <vt:variant>
        <vt:i4>5</vt:i4>
      </vt:variant>
      <vt:variant>
        <vt:lpwstr/>
      </vt:variant>
      <vt:variant>
        <vt:lpwstr>Seif31</vt:lpwstr>
      </vt:variant>
      <vt:variant>
        <vt:i4>3342377</vt:i4>
      </vt:variant>
      <vt:variant>
        <vt:i4>183</vt:i4>
      </vt:variant>
      <vt:variant>
        <vt:i4>0</vt:i4>
      </vt:variant>
      <vt:variant>
        <vt:i4>5</vt:i4>
      </vt:variant>
      <vt:variant>
        <vt:lpwstr/>
      </vt:variant>
      <vt:variant>
        <vt:lpwstr>Seif30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7667720</vt:i4>
      </vt:variant>
      <vt:variant>
        <vt:i4>0</vt:i4>
      </vt:variant>
      <vt:variant>
        <vt:i4>0</vt:i4>
      </vt:variant>
      <vt:variant>
        <vt:i4>5</vt:i4>
      </vt:variant>
      <vt:variant>
        <vt:lpwstr>http://www.nevo.co.il/Law_word/law06/TAK-5999.pdf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0199</vt:lpwstr>
  </property>
  <property fmtid="{D5CDD505-2E9C-101B-9397-08002B2CF9AE}" pid="3" name="CHNAME">
    <vt:lpwstr>מהנדסים ואדריכלים</vt:lpwstr>
  </property>
  <property fmtid="{D5CDD505-2E9C-101B-9397-08002B2CF9AE}" pid="4" name="LAWNAME">
    <vt:lpwstr>תקנות המהנדסים והאדריכלים (סדרי דין בדיון לפני ועדת אתיקה), תש"ס-1999</vt:lpwstr>
  </property>
  <property fmtid="{D5CDD505-2E9C-101B-9397-08002B2CF9AE}" pid="5" name="LAWNUMBER">
    <vt:lpwstr>0012</vt:lpwstr>
  </property>
  <property fmtid="{D5CDD505-2E9C-101B-9397-08002B2CF9AE}" pid="6" name="TYPE">
    <vt:lpwstr>01</vt:lpwstr>
  </property>
  <property fmtid="{D5CDD505-2E9C-101B-9397-08002B2CF9AE}" pid="7" name="MEKOR_NAME1">
    <vt:lpwstr>חוק המהנדסים והאדריכלים</vt:lpwstr>
  </property>
  <property fmtid="{D5CDD505-2E9C-101B-9397-08002B2CF9AE}" pid="8" name="MEKOR_SAIF1">
    <vt:lpwstr>16X;23X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מהנדסים ואדריכלים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מהנדסים ואדריכלים</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