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65A" w:rsidRDefault="0031565A" w:rsidP="00C75B9A">
      <w:pPr>
        <w:pStyle w:val="big-header"/>
        <w:ind w:left="0" w:right="1134"/>
        <w:rPr>
          <w:rFonts w:hint="cs"/>
          <w:rtl/>
        </w:rPr>
      </w:pPr>
      <w:r>
        <w:rPr>
          <w:rtl/>
        </w:rPr>
        <w:t>תקנות המים (סדרי הדין לפני בית הדין לעניני מים ובערעורים על החלטותיו), תשכ"ו</w:t>
      </w:r>
      <w:r w:rsidR="00C75B9A">
        <w:rPr>
          <w:rFonts w:hint="cs"/>
          <w:rtl/>
        </w:rPr>
        <w:t>-</w:t>
      </w:r>
      <w:r>
        <w:rPr>
          <w:rtl/>
        </w:rPr>
        <w:t>1966</w:t>
      </w:r>
    </w:p>
    <w:p w:rsidR="000449C2" w:rsidRDefault="000449C2" w:rsidP="000449C2">
      <w:pPr>
        <w:spacing w:line="320" w:lineRule="auto"/>
        <w:jc w:val="left"/>
        <w:rPr>
          <w:rFonts w:cs="FrankRuehl" w:hint="cs"/>
          <w:szCs w:val="26"/>
          <w:rtl/>
        </w:rPr>
      </w:pPr>
    </w:p>
    <w:p w:rsidR="006D7262" w:rsidRPr="000449C2" w:rsidRDefault="006D7262" w:rsidP="000449C2">
      <w:pPr>
        <w:spacing w:line="320" w:lineRule="auto"/>
        <w:jc w:val="left"/>
        <w:rPr>
          <w:rFonts w:cs="FrankRuehl" w:hint="cs"/>
          <w:szCs w:val="26"/>
          <w:rtl/>
        </w:rPr>
      </w:pPr>
    </w:p>
    <w:p w:rsidR="000449C2" w:rsidRDefault="000449C2" w:rsidP="000449C2">
      <w:pPr>
        <w:spacing w:line="320" w:lineRule="auto"/>
        <w:jc w:val="left"/>
        <w:rPr>
          <w:rFonts w:cs="Miriam"/>
          <w:szCs w:val="22"/>
          <w:rtl/>
        </w:rPr>
      </w:pPr>
      <w:r w:rsidRPr="000449C2">
        <w:rPr>
          <w:rFonts w:cs="Miriam"/>
          <w:szCs w:val="22"/>
          <w:rtl/>
        </w:rPr>
        <w:t>רשויות ומשפט מנהלי</w:t>
      </w:r>
      <w:r w:rsidRPr="000449C2">
        <w:rPr>
          <w:rFonts w:cs="FrankRuehl"/>
          <w:szCs w:val="26"/>
          <w:rtl/>
        </w:rPr>
        <w:t xml:space="preserve"> – תשתיות – מים</w:t>
      </w:r>
    </w:p>
    <w:p w:rsidR="000449C2" w:rsidRDefault="000449C2" w:rsidP="000449C2">
      <w:pPr>
        <w:spacing w:line="320" w:lineRule="auto"/>
        <w:jc w:val="left"/>
        <w:rPr>
          <w:rFonts w:cs="Miriam"/>
          <w:szCs w:val="22"/>
          <w:rtl/>
        </w:rPr>
      </w:pPr>
      <w:r w:rsidRPr="000449C2">
        <w:rPr>
          <w:rFonts w:cs="Miriam"/>
          <w:szCs w:val="22"/>
          <w:rtl/>
        </w:rPr>
        <w:t>בתי משפט וסדרי דין</w:t>
      </w:r>
      <w:r w:rsidRPr="000449C2">
        <w:rPr>
          <w:rFonts w:cs="FrankRuehl"/>
          <w:szCs w:val="26"/>
          <w:rtl/>
        </w:rPr>
        <w:t xml:space="preserve"> – בתי משפט ובתי דין</w:t>
      </w:r>
    </w:p>
    <w:p w:rsidR="000449C2" w:rsidRDefault="000449C2" w:rsidP="000449C2">
      <w:pPr>
        <w:spacing w:line="320" w:lineRule="auto"/>
        <w:jc w:val="left"/>
        <w:rPr>
          <w:rFonts w:cs="Miriam"/>
          <w:szCs w:val="22"/>
          <w:rtl/>
        </w:rPr>
      </w:pPr>
      <w:r w:rsidRPr="000449C2">
        <w:rPr>
          <w:rFonts w:cs="Miriam"/>
          <w:szCs w:val="22"/>
          <w:rtl/>
        </w:rPr>
        <w:t>בתי משפט וסדרי דין</w:t>
      </w:r>
      <w:r w:rsidRPr="000449C2">
        <w:rPr>
          <w:rFonts w:cs="FrankRuehl"/>
          <w:szCs w:val="26"/>
          <w:rtl/>
        </w:rPr>
        <w:t xml:space="preserve"> – סדר דין אזרחי – סדר דין בבי"ד שונים</w:t>
      </w:r>
    </w:p>
    <w:p w:rsidR="000449C2" w:rsidRPr="000449C2" w:rsidRDefault="000449C2" w:rsidP="000449C2">
      <w:pPr>
        <w:spacing w:line="320" w:lineRule="auto"/>
        <w:jc w:val="left"/>
        <w:rPr>
          <w:rFonts w:cs="Miriam" w:hint="cs"/>
          <w:szCs w:val="22"/>
          <w:rtl/>
        </w:rPr>
      </w:pPr>
      <w:r w:rsidRPr="000449C2">
        <w:rPr>
          <w:rFonts w:cs="Miriam"/>
          <w:szCs w:val="22"/>
          <w:rtl/>
        </w:rPr>
        <w:t>בתי משפט וסדרי דין</w:t>
      </w:r>
      <w:r w:rsidRPr="000449C2">
        <w:rPr>
          <w:rFonts w:cs="FrankRuehl"/>
          <w:szCs w:val="26"/>
          <w:rtl/>
        </w:rPr>
        <w:t xml:space="preserve"> – סדר דין אזרחי – ערעור על החלטות</w:t>
      </w:r>
    </w:p>
    <w:p w:rsidR="0031565A" w:rsidRDefault="0031565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75B9A">
              <w:rPr>
                <w:noProof/>
                <w:sz w:val="24"/>
                <w:rtl/>
              </w:rPr>
              <w:t>3</w:t>
            </w:r>
            <w:r>
              <w:rPr>
                <w:sz w:val="24"/>
                <w:rtl/>
              </w:rPr>
              <w:fldChar w:fldCharType="end"/>
            </w:r>
          </w:p>
        </w:tc>
        <w:tc>
          <w:tcPr>
            <w:tcW w:w="567" w:type="dxa"/>
          </w:tcPr>
          <w:p w:rsidR="0031565A" w:rsidRDefault="0031565A">
            <w:pPr>
              <w:spacing w:line="240" w:lineRule="auto"/>
              <w:rPr>
                <w:sz w:val="24"/>
              </w:rPr>
            </w:pPr>
            <w:hyperlink w:anchor="Seif0" w:tooltip="הגדרות" w:history="1">
              <w:r>
                <w:rPr>
                  <w:rStyle w:val="Hyperlink"/>
                </w:rPr>
                <w:t>Go</w:t>
              </w:r>
            </w:hyperlink>
          </w:p>
        </w:tc>
        <w:tc>
          <w:tcPr>
            <w:tcW w:w="5669" w:type="dxa"/>
          </w:tcPr>
          <w:p w:rsidR="0031565A" w:rsidRDefault="0031565A">
            <w:pPr>
              <w:spacing w:line="240" w:lineRule="auto"/>
              <w:rPr>
                <w:sz w:val="24"/>
                <w:rtl/>
              </w:rPr>
            </w:pPr>
            <w:r>
              <w:rPr>
                <w:sz w:val="24"/>
                <w:rtl/>
              </w:rPr>
              <w:t>הגדרות</w:t>
            </w:r>
          </w:p>
        </w:tc>
        <w:tc>
          <w:tcPr>
            <w:tcW w:w="1247" w:type="dxa"/>
          </w:tcPr>
          <w:p w:rsidR="0031565A" w:rsidRDefault="0031565A">
            <w:pPr>
              <w:spacing w:line="240" w:lineRule="auto"/>
              <w:rPr>
                <w:sz w:val="24"/>
              </w:rPr>
            </w:pPr>
            <w:r>
              <w:rPr>
                <w:sz w:val="24"/>
                <w:rtl/>
              </w:rPr>
              <w:t xml:space="preserve">סעיף 1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1" w:tooltip="הגשת תובענה" w:history="1">
              <w:r>
                <w:rPr>
                  <w:rStyle w:val="Hyperlink"/>
                </w:rPr>
                <w:t>Go</w:t>
              </w:r>
            </w:hyperlink>
          </w:p>
        </w:tc>
        <w:tc>
          <w:tcPr>
            <w:tcW w:w="5669" w:type="dxa"/>
          </w:tcPr>
          <w:p w:rsidR="0031565A" w:rsidRDefault="0031565A">
            <w:pPr>
              <w:spacing w:line="240" w:lineRule="auto"/>
              <w:rPr>
                <w:sz w:val="24"/>
                <w:rtl/>
              </w:rPr>
            </w:pPr>
            <w:r>
              <w:rPr>
                <w:sz w:val="24"/>
                <w:rtl/>
              </w:rPr>
              <w:t>הגשת תובענה</w:t>
            </w:r>
          </w:p>
        </w:tc>
        <w:tc>
          <w:tcPr>
            <w:tcW w:w="1247" w:type="dxa"/>
          </w:tcPr>
          <w:p w:rsidR="0031565A" w:rsidRDefault="0031565A">
            <w:pPr>
              <w:spacing w:line="240" w:lineRule="auto"/>
              <w:rPr>
                <w:sz w:val="24"/>
              </w:rPr>
            </w:pPr>
            <w:r>
              <w:rPr>
                <w:sz w:val="24"/>
                <w:rtl/>
              </w:rPr>
              <w:t xml:space="preserve">סעיף 2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2" w:tooltip="מקום מסירת תובענה" w:history="1">
              <w:r>
                <w:rPr>
                  <w:rStyle w:val="Hyperlink"/>
                </w:rPr>
                <w:t>Go</w:t>
              </w:r>
            </w:hyperlink>
          </w:p>
        </w:tc>
        <w:tc>
          <w:tcPr>
            <w:tcW w:w="5669" w:type="dxa"/>
          </w:tcPr>
          <w:p w:rsidR="0031565A" w:rsidRDefault="0031565A">
            <w:pPr>
              <w:spacing w:line="240" w:lineRule="auto"/>
              <w:rPr>
                <w:sz w:val="24"/>
                <w:rtl/>
              </w:rPr>
            </w:pPr>
            <w:r>
              <w:rPr>
                <w:sz w:val="24"/>
                <w:rtl/>
              </w:rPr>
              <w:t>מקום מסירת תובענה</w:t>
            </w:r>
          </w:p>
        </w:tc>
        <w:tc>
          <w:tcPr>
            <w:tcW w:w="1247" w:type="dxa"/>
          </w:tcPr>
          <w:p w:rsidR="0031565A" w:rsidRDefault="0031565A">
            <w:pPr>
              <w:spacing w:line="240" w:lineRule="auto"/>
              <w:rPr>
                <w:sz w:val="24"/>
              </w:rPr>
            </w:pPr>
            <w:r>
              <w:rPr>
                <w:sz w:val="24"/>
                <w:rtl/>
              </w:rPr>
              <w:t xml:space="preserve">סעיף 3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3" w:tooltip="חתימת תובענה" w:history="1">
              <w:r>
                <w:rPr>
                  <w:rStyle w:val="Hyperlink"/>
                </w:rPr>
                <w:t>Go</w:t>
              </w:r>
            </w:hyperlink>
          </w:p>
        </w:tc>
        <w:tc>
          <w:tcPr>
            <w:tcW w:w="5669" w:type="dxa"/>
          </w:tcPr>
          <w:p w:rsidR="0031565A" w:rsidRDefault="0031565A">
            <w:pPr>
              <w:spacing w:line="240" w:lineRule="auto"/>
              <w:rPr>
                <w:sz w:val="24"/>
                <w:rtl/>
              </w:rPr>
            </w:pPr>
            <w:r>
              <w:rPr>
                <w:sz w:val="24"/>
                <w:rtl/>
              </w:rPr>
              <w:t>חתימת תובענה</w:t>
            </w:r>
          </w:p>
        </w:tc>
        <w:tc>
          <w:tcPr>
            <w:tcW w:w="1247" w:type="dxa"/>
          </w:tcPr>
          <w:p w:rsidR="0031565A" w:rsidRDefault="0031565A">
            <w:pPr>
              <w:spacing w:line="240" w:lineRule="auto"/>
              <w:rPr>
                <w:sz w:val="24"/>
              </w:rPr>
            </w:pPr>
            <w:r>
              <w:rPr>
                <w:sz w:val="24"/>
                <w:rtl/>
              </w:rPr>
              <w:t xml:space="preserve">סעיף 4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4" w:tooltip="מועד להגשת ערר מים וערר ניקוז" w:history="1">
              <w:r>
                <w:rPr>
                  <w:rStyle w:val="Hyperlink"/>
                </w:rPr>
                <w:t>Go</w:t>
              </w:r>
            </w:hyperlink>
          </w:p>
        </w:tc>
        <w:tc>
          <w:tcPr>
            <w:tcW w:w="5669" w:type="dxa"/>
          </w:tcPr>
          <w:p w:rsidR="0031565A" w:rsidRDefault="0031565A">
            <w:pPr>
              <w:spacing w:line="240" w:lineRule="auto"/>
              <w:rPr>
                <w:sz w:val="24"/>
                <w:rtl/>
              </w:rPr>
            </w:pPr>
            <w:r>
              <w:rPr>
                <w:sz w:val="24"/>
                <w:rtl/>
              </w:rPr>
              <w:t>מועד להגשת ערר מים וערר ניקוז</w:t>
            </w:r>
          </w:p>
        </w:tc>
        <w:tc>
          <w:tcPr>
            <w:tcW w:w="1247" w:type="dxa"/>
          </w:tcPr>
          <w:p w:rsidR="0031565A" w:rsidRDefault="0031565A">
            <w:pPr>
              <w:spacing w:line="240" w:lineRule="auto"/>
              <w:rPr>
                <w:sz w:val="24"/>
              </w:rPr>
            </w:pPr>
            <w:r>
              <w:rPr>
                <w:sz w:val="24"/>
                <w:rtl/>
              </w:rPr>
              <w:t xml:space="preserve">סעיף 5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5" w:tooltip="מועד להגשת בקשה" w:history="1">
              <w:r>
                <w:rPr>
                  <w:rStyle w:val="Hyperlink"/>
                </w:rPr>
                <w:t>Go</w:t>
              </w:r>
            </w:hyperlink>
          </w:p>
        </w:tc>
        <w:tc>
          <w:tcPr>
            <w:tcW w:w="5669" w:type="dxa"/>
          </w:tcPr>
          <w:p w:rsidR="0031565A" w:rsidRDefault="0031565A">
            <w:pPr>
              <w:spacing w:line="240" w:lineRule="auto"/>
              <w:rPr>
                <w:sz w:val="24"/>
                <w:rtl/>
              </w:rPr>
            </w:pPr>
            <w:r>
              <w:rPr>
                <w:sz w:val="24"/>
                <w:rtl/>
              </w:rPr>
              <w:t>מועד להגשת בקשה</w:t>
            </w:r>
          </w:p>
        </w:tc>
        <w:tc>
          <w:tcPr>
            <w:tcW w:w="1247" w:type="dxa"/>
          </w:tcPr>
          <w:p w:rsidR="0031565A" w:rsidRDefault="0031565A">
            <w:pPr>
              <w:spacing w:line="240" w:lineRule="auto"/>
              <w:rPr>
                <w:sz w:val="24"/>
              </w:rPr>
            </w:pPr>
            <w:r>
              <w:rPr>
                <w:sz w:val="24"/>
                <w:rtl/>
              </w:rPr>
              <w:t xml:space="preserve">סעיף 6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6" w:tooltip="פרטי כתב התובענה" w:history="1">
              <w:r>
                <w:rPr>
                  <w:rStyle w:val="Hyperlink"/>
                </w:rPr>
                <w:t>Go</w:t>
              </w:r>
            </w:hyperlink>
          </w:p>
        </w:tc>
        <w:tc>
          <w:tcPr>
            <w:tcW w:w="5669" w:type="dxa"/>
          </w:tcPr>
          <w:p w:rsidR="0031565A" w:rsidRDefault="0031565A">
            <w:pPr>
              <w:spacing w:line="240" w:lineRule="auto"/>
              <w:rPr>
                <w:sz w:val="24"/>
                <w:rtl/>
              </w:rPr>
            </w:pPr>
            <w:r>
              <w:rPr>
                <w:sz w:val="24"/>
                <w:rtl/>
              </w:rPr>
              <w:t>פרטי כתב התובענה</w:t>
            </w:r>
          </w:p>
        </w:tc>
        <w:tc>
          <w:tcPr>
            <w:tcW w:w="1247" w:type="dxa"/>
          </w:tcPr>
          <w:p w:rsidR="0031565A" w:rsidRDefault="0031565A">
            <w:pPr>
              <w:spacing w:line="240" w:lineRule="auto"/>
              <w:rPr>
                <w:sz w:val="24"/>
              </w:rPr>
            </w:pPr>
            <w:r>
              <w:rPr>
                <w:sz w:val="24"/>
                <w:rtl/>
              </w:rPr>
              <w:t xml:space="preserve">סעיף 7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7" w:tooltip="צירוף מסמכים" w:history="1">
              <w:r>
                <w:rPr>
                  <w:rStyle w:val="Hyperlink"/>
                </w:rPr>
                <w:t>Go</w:t>
              </w:r>
            </w:hyperlink>
          </w:p>
        </w:tc>
        <w:tc>
          <w:tcPr>
            <w:tcW w:w="5669" w:type="dxa"/>
          </w:tcPr>
          <w:p w:rsidR="0031565A" w:rsidRDefault="0031565A">
            <w:pPr>
              <w:spacing w:line="240" w:lineRule="auto"/>
              <w:rPr>
                <w:sz w:val="24"/>
                <w:rtl/>
              </w:rPr>
            </w:pPr>
            <w:r>
              <w:rPr>
                <w:sz w:val="24"/>
                <w:rtl/>
              </w:rPr>
              <w:t>צירוף מסמכים</w:t>
            </w:r>
          </w:p>
        </w:tc>
        <w:tc>
          <w:tcPr>
            <w:tcW w:w="1247" w:type="dxa"/>
          </w:tcPr>
          <w:p w:rsidR="0031565A" w:rsidRDefault="0031565A">
            <w:pPr>
              <w:spacing w:line="240" w:lineRule="auto"/>
              <w:rPr>
                <w:sz w:val="24"/>
              </w:rPr>
            </w:pPr>
            <w:r>
              <w:rPr>
                <w:sz w:val="24"/>
                <w:rtl/>
              </w:rPr>
              <w:t xml:space="preserve">סעיף 8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8" w:tooltip="העברת כתב תובענה למשיב" w:history="1">
              <w:r>
                <w:rPr>
                  <w:rStyle w:val="Hyperlink"/>
                </w:rPr>
                <w:t>Go</w:t>
              </w:r>
            </w:hyperlink>
          </w:p>
        </w:tc>
        <w:tc>
          <w:tcPr>
            <w:tcW w:w="5669" w:type="dxa"/>
          </w:tcPr>
          <w:p w:rsidR="0031565A" w:rsidRDefault="0031565A">
            <w:pPr>
              <w:spacing w:line="240" w:lineRule="auto"/>
              <w:rPr>
                <w:sz w:val="24"/>
                <w:rtl/>
              </w:rPr>
            </w:pPr>
            <w:r>
              <w:rPr>
                <w:sz w:val="24"/>
                <w:rtl/>
              </w:rPr>
              <w:t>העברת כתב תובענה למשיב</w:t>
            </w:r>
          </w:p>
        </w:tc>
        <w:tc>
          <w:tcPr>
            <w:tcW w:w="1247" w:type="dxa"/>
          </w:tcPr>
          <w:p w:rsidR="0031565A" w:rsidRDefault="0031565A">
            <w:pPr>
              <w:spacing w:line="240" w:lineRule="auto"/>
              <w:rPr>
                <w:sz w:val="24"/>
              </w:rPr>
            </w:pPr>
            <w:r>
              <w:rPr>
                <w:sz w:val="24"/>
                <w:rtl/>
              </w:rPr>
              <w:t xml:space="preserve">סעיף 9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9" w:tooltip="תשובת המשיב" w:history="1">
              <w:r>
                <w:rPr>
                  <w:rStyle w:val="Hyperlink"/>
                </w:rPr>
                <w:t>Go</w:t>
              </w:r>
            </w:hyperlink>
          </w:p>
        </w:tc>
        <w:tc>
          <w:tcPr>
            <w:tcW w:w="5669" w:type="dxa"/>
          </w:tcPr>
          <w:p w:rsidR="0031565A" w:rsidRDefault="0031565A">
            <w:pPr>
              <w:spacing w:line="240" w:lineRule="auto"/>
              <w:rPr>
                <w:sz w:val="24"/>
                <w:rtl/>
              </w:rPr>
            </w:pPr>
            <w:r>
              <w:rPr>
                <w:sz w:val="24"/>
                <w:rtl/>
              </w:rPr>
              <w:t>תשובת המשיב</w:t>
            </w:r>
          </w:p>
        </w:tc>
        <w:tc>
          <w:tcPr>
            <w:tcW w:w="1247" w:type="dxa"/>
          </w:tcPr>
          <w:p w:rsidR="0031565A" w:rsidRDefault="0031565A">
            <w:pPr>
              <w:spacing w:line="240" w:lineRule="auto"/>
              <w:rPr>
                <w:sz w:val="24"/>
              </w:rPr>
            </w:pPr>
            <w:r>
              <w:rPr>
                <w:sz w:val="24"/>
                <w:rtl/>
              </w:rPr>
              <w:t xml:space="preserve">סעיף 10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10" w:tooltip="חתימת התשובה" w:history="1">
              <w:r>
                <w:rPr>
                  <w:rStyle w:val="Hyperlink"/>
                </w:rPr>
                <w:t>Go</w:t>
              </w:r>
            </w:hyperlink>
          </w:p>
        </w:tc>
        <w:tc>
          <w:tcPr>
            <w:tcW w:w="5669" w:type="dxa"/>
          </w:tcPr>
          <w:p w:rsidR="0031565A" w:rsidRDefault="0031565A">
            <w:pPr>
              <w:spacing w:line="240" w:lineRule="auto"/>
              <w:rPr>
                <w:sz w:val="24"/>
                <w:rtl/>
              </w:rPr>
            </w:pPr>
            <w:r>
              <w:rPr>
                <w:sz w:val="24"/>
                <w:rtl/>
              </w:rPr>
              <w:t>חתימת התשובה</w:t>
            </w:r>
          </w:p>
        </w:tc>
        <w:tc>
          <w:tcPr>
            <w:tcW w:w="1247" w:type="dxa"/>
          </w:tcPr>
          <w:p w:rsidR="0031565A" w:rsidRDefault="0031565A">
            <w:pPr>
              <w:spacing w:line="240" w:lineRule="auto"/>
              <w:rPr>
                <w:sz w:val="24"/>
              </w:rPr>
            </w:pPr>
            <w:r>
              <w:rPr>
                <w:sz w:val="24"/>
                <w:rtl/>
              </w:rPr>
              <w:t xml:space="preserve">סעיף 11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11" w:tooltip="צירוף תצהיר לתשובה" w:history="1">
              <w:r>
                <w:rPr>
                  <w:rStyle w:val="Hyperlink"/>
                </w:rPr>
                <w:t>Go</w:t>
              </w:r>
            </w:hyperlink>
          </w:p>
        </w:tc>
        <w:tc>
          <w:tcPr>
            <w:tcW w:w="5669" w:type="dxa"/>
          </w:tcPr>
          <w:p w:rsidR="0031565A" w:rsidRDefault="0031565A">
            <w:pPr>
              <w:spacing w:line="240" w:lineRule="auto"/>
              <w:rPr>
                <w:sz w:val="24"/>
                <w:rtl/>
              </w:rPr>
            </w:pPr>
            <w:r>
              <w:rPr>
                <w:sz w:val="24"/>
                <w:rtl/>
              </w:rPr>
              <w:t>צירוף תצהיר לתשובה</w:t>
            </w:r>
          </w:p>
        </w:tc>
        <w:tc>
          <w:tcPr>
            <w:tcW w:w="1247" w:type="dxa"/>
          </w:tcPr>
          <w:p w:rsidR="0031565A" w:rsidRDefault="0031565A">
            <w:pPr>
              <w:spacing w:line="240" w:lineRule="auto"/>
              <w:rPr>
                <w:sz w:val="24"/>
              </w:rPr>
            </w:pPr>
            <w:r>
              <w:rPr>
                <w:sz w:val="24"/>
                <w:rtl/>
              </w:rPr>
              <w:t xml:space="preserve">סעיף 12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12" w:tooltip="מסירת תשובה לעורר או למבקש" w:history="1">
              <w:r>
                <w:rPr>
                  <w:rStyle w:val="Hyperlink"/>
                </w:rPr>
                <w:t>Go</w:t>
              </w:r>
            </w:hyperlink>
          </w:p>
        </w:tc>
        <w:tc>
          <w:tcPr>
            <w:tcW w:w="5669" w:type="dxa"/>
          </w:tcPr>
          <w:p w:rsidR="0031565A" w:rsidRDefault="0031565A">
            <w:pPr>
              <w:spacing w:line="240" w:lineRule="auto"/>
              <w:rPr>
                <w:sz w:val="24"/>
                <w:rtl/>
              </w:rPr>
            </w:pPr>
            <w:r>
              <w:rPr>
                <w:sz w:val="24"/>
                <w:rtl/>
              </w:rPr>
              <w:t>מסירת תשובה לעורר או למבקש</w:t>
            </w:r>
          </w:p>
        </w:tc>
        <w:tc>
          <w:tcPr>
            <w:tcW w:w="1247" w:type="dxa"/>
          </w:tcPr>
          <w:p w:rsidR="0031565A" w:rsidRDefault="0031565A">
            <w:pPr>
              <w:spacing w:line="240" w:lineRule="auto"/>
              <w:rPr>
                <w:sz w:val="24"/>
              </w:rPr>
            </w:pPr>
            <w:r>
              <w:rPr>
                <w:sz w:val="24"/>
                <w:rtl/>
              </w:rPr>
              <w:t xml:space="preserve">סעיף 13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C75B9A">
              <w:rPr>
                <w:noProof/>
                <w:sz w:val="24"/>
                <w:rtl/>
              </w:rPr>
              <w:t>4</w:t>
            </w:r>
            <w:r>
              <w:rPr>
                <w:sz w:val="24"/>
                <w:rtl/>
              </w:rPr>
              <w:fldChar w:fldCharType="end"/>
            </w:r>
          </w:p>
        </w:tc>
        <w:tc>
          <w:tcPr>
            <w:tcW w:w="567" w:type="dxa"/>
          </w:tcPr>
          <w:p w:rsidR="0031565A" w:rsidRDefault="0031565A">
            <w:pPr>
              <w:spacing w:line="240" w:lineRule="auto"/>
              <w:rPr>
                <w:sz w:val="24"/>
              </w:rPr>
            </w:pPr>
            <w:hyperlink w:anchor="Seif13" w:tooltip="החלטה על יסוד חומר בכתב" w:history="1">
              <w:r>
                <w:rPr>
                  <w:rStyle w:val="Hyperlink"/>
                </w:rPr>
                <w:t>Go</w:t>
              </w:r>
            </w:hyperlink>
          </w:p>
        </w:tc>
        <w:tc>
          <w:tcPr>
            <w:tcW w:w="5669" w:type="dxa"/>
          </w:tcPr>
          <w:p w:rsidR="0031565A" w:rsidRDefault="0031565A">
            <w:pPr>
              <w:spacing w:line="240" w:lineRule="auto"/>
              <w:rPr>
                <w:sz w:val="24"/>
                <w:rtl/>
              </w:rPr>
            </w:pPr>
            <w:r>
              <w:rPr>
                <w:sz w:val="24"/>
                <w:rtl/>
              </w:rPr>
              <w:t>החלטה על יסוד חומר בכתב</w:t>
            </w:r>
          </w:p>
        </w:tc>
        <w:tc>
          <w:tcPr>
            <w:tcW w:w="1247" w:type="dxa"/>
          </w:tcPr>
          <w:p w:rsidR="0031565A" w:rsidRDefault="0031565A">
            <w:pPr>
              <w:spacing w:line="240" w:lineRule="auto"/>
              <w:rPr>
                <w:sz w:val="24"/>
              </w:rPr>
            </w:pPr>
            <w:r>
              <w:rPr>
                <w:sz w:val="24"/>
                <w:rtl/>
              </w:rPr>
              <w:t xml:space="preserve">סעיף 14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14" w:tooltip="קביעת מועד לשמיעת התובענה" w:history="1">
              <w:r>
                <w:rPr>
                  <w:rStyle w:val="Hyperlink"/>
                </w:rPr>
                <w:t>Go</w:t>
              </w:r>
            </w:hyperlink>
          </w:p>
        </w:tc>
        <w:tc>
          <w:tcPr>
            <w:tcW w:w="5669" w:type="dxa"/>
          </w:tcPr>
          <w:p w:rsidR="0031565A" w:rsidRDefault="0031565A">
            <w:pPr>
              <w:spacing w:line="240" w:lineRule="auto"/>
              <w:rPr>
                <w:sz w:val="24"/>
                <w:rtl/>
              </w:rPr>
            </w:pPr>
            <w:r>
              <w:rPr>
                <w:sz w:val="24"/>
                <w:rtl/>
              </w:rPr>
              <w:t>קביעת מועד לשמיעת התובענה</w:t>
            </w:r>
          </w:p>
        </w:tc>
        <w:tc>
          <w:tcPr>
            <w:tcW w:w="1247" w:type="dxa"/>
          </w:tcPr>
          <w:p w:rsidR="0031565A" w:rsidRDefault="0031565A">
            <w:pPr>
              <w:spacing w:line="240" w:lineRule="auto"/>
              <w:rPr>
                <w:sz w:val="24"/>
              </w:rPr>
            </w:pPr>
            <w:r>
              <w:rPr>
                <w:sz w:val="24"/>
                <w:rtl/>
              </w:rPr>
              <w:t xml:space="preserve">סעיף 15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15" w:tooltip="התייצבות לחקירה שכנגד" w:history="1">
              <w:r>
                <w:rPr>
                  <w:rStyle w:val="Hyperlink"/>
                </w:rPr>
                <w:t>Go</w:t>
              </w:r>
            </w:hyperlink>
          </w:p>
        </w:tc>
        <w:tc>
          <w:tcPr>
            <w:tcW w:w="5669" w:type="dxa"/>
          </w:tcPr>
          <w:p w:rsidR="0031565A" w:rsidRDefault="0031565A">
            <w:pPr>
              <w:spacing w:line="240" w:lineRule="auto"/>
              <w:rPr>
                <w:sz w:val="24"/>
                <w:rtl/>
              </w:rPr>
            </w:pPr>
            <w:r>
              <w:rPr>
                <w:sz w:val="24"/>
                <w:rtl/>
              </w:rPr>
              <w:t>התייצבות לחקירה שכנגד</w:t>
            </w:r>
          </w:p>
        </w:tc>
        <w:tc>
          <w:tcPr>
            <w:tcW w:w="1247" w:type="dxa"/>
          </w:tcPr>
          <w:p w:rsidR="0031565A" w:rsidRDefault="0031565A">
            <w:pPr>
              <w:spacing w:line="240" w:lineRule="auto"/>
              <w:rPr>
                <w:sz w:val="24"/>
              </w:rPr>
            </w:pPr>
            <w:r>
              <w:rPr>
                <w:sz w:val="24"/>
                <w:rtl/>
              </w:rPr>
              <w:t xml:space="preserve">סעיף 16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16" w:tooltip="תצהיר כראיה" w:history="1">
              <w:r>
                <w:rPr>
                  <w:rStyle w:val="Hyperlink"/>
                </w:rPr>
                <w:t>Go</w:t>
              </w:r>
            </w:hyperlink>
          </w:p>
        </w:tc>
        <w:tc>
          <w:tcPr>
            <w:tcW w:w="5669" w:type="dxa"/>
          </w:tcPr>
          <w:p w:rsidR="0031565A" w:rsidRDefault="0031565A">
            <w:pPr>
              <w:spacing w:line="240" w:lineRule="auto"/>
              <w:rPr>
                <w:sz w:val="24"/>
                <w:rtl/>
              </w:rPr>
            </w:pPr>
            <w:r>
              <w:rPr>
                <w:sz w:val="24"/>
                <w:rtl/>
              </w:rPr>
              <w:t>תצהיר כראיה</w:t>
            </w:r>
          </w:p>
        </w:tc>
        <w:tc>
          <w:tcPr>
            <w:tcW w:w="1247" w:type="dxa"/>
          </w:tcPr>
          <w:p w:rsidR="0031565A" w:rsidRDefault="0031565A">
            <w:pPr>
              <w:spacing w:line="240" w:lineRule="auto"/>
              <w:rPr>
                <w:sz w:val="24"/>
              </w:rPr>
            </w:pPr>
            <w:r>
              <w:rPr>
                <w:sz w:val="24"/>
                <w:rtl/>
              </w:rPr>
              <w:t xml:space="preserve">סעיף 17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17" w:tooltip="שמיעת הטענות" w:history="1">
              <w:r>
                <w:rPr>
                  <w:rStyle w:val="Hyperlink"/>
                </w:rPr>
                <w:t>Go</w:t>
              </w:r>
            </w:hyperlink>
          </w:p>
        </w:tc>
        <w:tc>
          <w:tcPr>
            <w:tcW w:w="5669" w:type="dxa"/>
          </w:tcPr>
          <w:p w:rsidR="0031565A" w:rsidRDefault="0031565A">
            <w:pPr>
              <w:spacing w:line="240" w:lineRule="auto"/>
              <w:rPr>
                <w:sz w:val="24"/>
                <w:rtl/>
              </w:rPr>
            </w:pPr>
            <w:r>
              <w:rPr>
                <w:sz w:val="24"/>
                <w:rtl/>
              </w:rPr>
              <w:t>שמיעת הטענות</w:t>
            </w:r>
          </w:p>
        </w:tc>
        <w:tc>
          <w:tcPr>
            <w:tcW w:w="1247" w:type="dxa"/>
          </w:tcPr>
          <w:p w:rsidR="0031565A" w:rsidRDefault="0031565A">
            <w:pPr>
              <w:spacing w:line="240" w:lineRule="auto"/>
              <w:rPr>
                <w:sz w:val="24"/>
              </w:rPr>
            </w:pPr>
            <w:r>
              <w:rPr>
                <w:sz w:val="24"/>
                <w:rtl/>
              </w:rPr>
              <w:t xml:space="preserve">סעיף 18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18" w:tooltip="תשובת העורר או המבקש" w:history="1">
              <w:r>
                <w:rPr>
                  <w:rStyle w:val="Hyperlink"/>
                </w:rPr>
                <w:t>Go</w:t>
              </w:r>
            </w:hyperlink>
          </w:p>
        </w:tc>
        <w:tc>
          <w:tcPr>
            <w:tcW w:w="5669" w:type="dxa"/>
          </w:tcPr>
          <w:p w:rsidR="0031565A" w:rsidRDefault="0031565A">
            <w:pPr>
              <w:spacing w:line="240" w:lineRule="auto"/>
              <w:rPr>
                <w:sz w:val="24"/>
                <w:rtl/>
              </w:rPr>
            </w:pPr>
            <w:r>
              <w:rPr>
                <w:sz w:val="24"/>
                <w:rtl/>
              </w:rPr>
              <w:t>תשובת העורר או המבקש</w:t>
            </w:r>
          </w:p>
        </w:tc>
        <w:tc>
          <w:tcPr>
            <w:tcW w:w="1247" w:type="dxa"/>
          </w:tcPr>
          <w:p w:rsidR="0031565A" w:rsidRDefault="0031565A">
            <w:pPr>
              <w:spacing w:line="240" w:lineRule="auto"/>
              <w:rPr>
                <w:sz w:val="24"/>
              </w:rPr>
            </w:pPr>
            <w:r>
              <w:rPr>
                <w:sz w:val="24"/>
                <w:rtl/>
              </w:rPr>
              <w:t xml:space="preserve">סעיף 19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19" w:tooltip="דיון שלא בפני בעלי הדין" w:history="1">
              <w:r>
                <w:rPr>
                  <w:rStyle w:val="Hyperlink"/>
                </w:rPr>
                <w:t>Go</w:t>
              </w:r>
            </w:hyperlink>
          </w:p>
        </w:tc>
        <w:tc>
          <w:tcPr>
            <w:tcW w:w="5669" w:type="dxa"/>
          </w:tcPr>
          <w:p w:rsidR="0031565A" w:rsidRDefault="0031565A">
            <w:pPr>
              <w:spacing w:line="240" w:lineRule="auto"/>
              <w:rPr>
                <w:sz w:val="24"/>
                <w:rtl/>
              </w:rPr>
            </w:pPr>
            <w:r>
              <w:rPr>
                <w:sz w:val="24"/>
                <w:rtl/>
              </w:rPr>
              <w:t>דיון שלא בפני בעלי הדין</w:t>
            </w:r>
          </w:p>
        </w:tc>
        <w:tc>
          <w:tcPr>
            <w:tcW w:w="1247" w:type="dxa"/>
          </w:tcPr>
          <w:p w:rsidR="0031565A" w:rsidRDefault="0031565A">
            <w:pPr>
              <w:spacing w:line="240" w:lineRule="auto"/>
              <w:rPr>
                <w:sz w:val="24"/>
              </w:rPr>
            </w:pPr>
            <w:r>
              <w:rPr>
                <w:sz w:val="24"/>
                <w:rtl/>
              </w:rPr>
              <w:t xml:space="preserve">סעיף 20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20" w:tooltip="טענות פגם" w:history="1">
              <w:r>
                <w:rPr>
                  <w:rStyle w:val="Hyperlink"/>
                </w:rPr>
                <w:t>Go</w:t>
              </w:r>
            </w:hyperlink>
          </w:p>
        </w:tc>
        <w:tc>
          <w:tcPr>
            <w:tcW w:w="5669" w:type="dxa"/>
          </w:tcPr>
          <w:p w:rsidR="0031565A" w:rsidRDefault="0031565A">
            <w:pPr>
              <w:spacing w:line="240" w:lineRule="auto"/>
              <w:rPr>
                <w:sz w:val="24"/>
                <w:rtl/>
              </w:rPr>
            </w:pPr>
            <w:r>
              <w:rPr>
                <w:sz w:val="24"/>
                <w:rtl/>
              </w:rPr>
              <w:t>טענות פגם</w:t>
            </w:r>
          </w:p>
        </w:tc>
        <w:tc>
          <w:tcPr>
            <w:tcW w:w="1247" w:type="dxa"/>
          </w:tcPr>
          <w:p w:rsidR="0031565A" w:rsidRDefault="0031565A">
            <w:pPr>
              <w:spacing w:line="240" w:lineRule="auto"/>
              <w:rPr>
                <w:sz w:val="24"/>
              </w:rPr>
            </w:pPr>
            <w:r>
              <w:rPr>
                <w:sz w:val="24"/>
                <w:rtl/>
              </w:rPr>
              <w:t xml:space="preserve">סעיף 21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21" w:tooltip="תיקון פגמים" w:history="1">
              <w:r>
                <w:rPr>
                  <w:rStyle w:val="Hyperlink"/>
                </w:rPr>
                <w:t>Go</w:t>
              </w:r>
            </w:hyperlink>
          </w:p>
        </w:tc>
        <w:tc>
          <w:tcPr>
            <w:tcW w:w="5669" w:type="dxa"/>
          </w:tcPr>
          <w:p w:rsidR="0031565A" w:rsidRDefault="0031565A">
            <w:pPr>
              <w:spacing w:line="240" w:lineRule="auto"/>
              <w:rPr>
                <w:sz w:val="24"/>
                <w:rtl/>
              </w:rPr>
            </w:pPr>
            <w:r>
              <w:rPr>
                <w:sz w:val="24"/>
                <w:rtl/>
              </w:rPr>
              <w:t>תיקון פגמים</w:t>
            </w:r>
          </w:p>
        </w:tc>
        <w:tc>
          <w:tcPr>
            <w:tcW w:w="1247" w:type="dxa"/>
          </w:tcPr>
          <w:p w:rsidR="0031565A" w:rsidRDefault="0031565A">
            <w:pPr>
              <w:spacing w:line="240" w:lineRule="auto"/>
              <w:rPr>
                <w:sz w:val="24"/>
              </w:rPr>
            </w:pPr>
            <w:r>
              <w:rPr>
                <w:sz w:val="24"/>
                <w:rtl/>
              </w:rPr>
              <w:t xml:space="preserve">סעיף 22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22" w:tooltip="דחיית השמיעה" w:history="1">
              <w:r>
                <w:rPr>
                  <w:rStyle w:val="Hyperlink"/>
                </w:rPr>
                <w:t>Go</w:t>
              </w:r>
            </w:hyperlink>
          </w:p>
        </w:tc>
        <w:tc>
          <w:tcPr>
            <w:tcW w:w="5669" w:type="dxa"/>
          </w:tcPr>
          <w:p w:rsidR="0031565A" w:rsidRDefault="0031565A">
            <w:pPr>
              <w:spacing w:line="240" w:lineRule="auto"/>
              <w:rPr>
                <w:sz w:val="24"/>
                <w:rtl/>
              </w:rPr>
            </w:pPr>
            <w:r>
              <w:rPr>
                <w:sz w:val="24"/>
                <w:rtl/>
              </w:rPr>
              <w:t>דחיית השמיעה</w:t>
            </w:r>
          </w:p>
        </w:tc>
        <w:tc>
          <w:tcPr>
            <w:tcW w:w="1247" w:type="dxa"/>
          </w:tcPr>
          <w:p w:rsidR="0031565A" w:rsidRDefault="0031565A">
            <w:pPr>
              <w:spacing w:line="240" w:lineRule="auto"/>
              <w:rPr>
                <w:sz w:val="24"/>
              </w:rPr>
            </w:pPr>
            <w:r>
              <w:rPr>
                <w:sz w:val="24"/>
                <w:rtl/>
              </w:rPr>
              <w:t xml:space="preserve">סעיף 23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23" w:tooltip="הדיון מוגבל לנימוקים" w:history="1">
              <w:r>
                <w:rPr>
                  <w:rStyle w:val="Hyperlink"/>
                </w:rPr>
                <w:t>Go</w:t>
              </w:r>
            </w:hyperlink>
          </w:p>
        </w:tc>
        <w:tc>
          <w:tcPr>
            <w:tcW w:w="5669" w:type="dxa"/>
          </w:tcPr>
          <w:p w:rsidR="0031565A" w:rsidRDefault="0031565A">
            <w:pPr>
              <w:spacing w:line="240" w:lineRule="auto"/>
              <w:rPr>
                <w:sz w:val="24"/>
                <w:rtl/>
              </w:rPr>
            </w:pPr>
            <w:r>
              <w:rPr>
                <w:sz w:val="24"/>
                <w:rtl/>
              </w:rPr>
              <w:t>הדיון מוגבל לנימוקים</w:t>
            </w:r>
          </w:p>
        </w:tc>
        <w:tc>
          <w:tcPr>
            <w:tcW w:w="1247" w:type="dxa"/>
          </w:tcPr>
          <w:p w:rsidR="0031565A" w:rsidRDefault="0031565A">
            <w:pPr>
              <w:spacing w:line="240" w:lineRule="auto"/>
              <w:rPr>
                <w:sz w:val="24"/>
              </w:rPr>
            </w:pPr>
            <w:r>
              <w:rPr>
                <w:sz w:val="24"/>
                <w:rtl/>
              </w:rPr>
              <w:t xml:space="preserve">סעיף 24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24" w:tooltip="פרטים נוספים וראיות נוספות" w:history="1">
              <w:r>
                <w:rPr>
                  <w:rStyle w:val="Hyperlink"/>
                </w:rPr>
                <w:t>Go</w:t>
              </w:r>
            </w:hyperlink>
          </w:p>
        </w:tc>
        <w:tc>
          <w:tcPr>
            <w:tcW w:w="5669" w:type="dxa"/>
          </w:tcPr>
          <w:p w:rsidR="0031565A" w:rsidRDefault="0031565A">
            <w:pPr>
              <w:spacing w:line="240" w:lineRule="auto"/>
              <w:rPr>
                <w:sz w:val="24"/>
                <w:rtl/>
              </w:rPr>
            </w:pPr>
            <w:r>
              <w:rPr>
                <w:sz w:val="24"/>
                <w:rtl/>
              </w:rPr>
              <w:t>פרטים נוספים וראיות נוספות</w:t>
            </w:r>
          </w:p>
        </w:tc>
        <w:tc>
          <w:tcPr>
            <w:tcW w:w="1247" w:type="dxa"/>
          </w:tcPr>
          <w:p w:rsidR="0031565A" w:rsidRDefault="0031565A">
            <w:pPr>
              <w:spacing w:line="240" w:lineRule="auto"/>
              <w:rPr>
                <w:sz w:val="24"/>
              </w:rPr>
            </w:pPr>
            <w:r>
              <w:rPr>
                <w:sz w:val="24"/>
                <w:rtl/>
              </w:rPr>
              <w:t xml:space="preserve">סעיף 25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25" w:tooltip="איחוד התובענות" w:history="1">
              <w:r>
                <w:rPr>
                  <w:rStyle w:val="Hyperlink"/>
                </w:rPr>
                <w:t>Go</w:t>
              </w:r>
            </w:hyperlink>
          </w:p>
        </w:tc>
        <w:tc>
          <w:tcPr>
            <w:tcW w:w="5669" w:type="dxa"/>
          </w:tcPr>
          <w:p w:rsidR="0031565A" w:rsidRDefault="0031565A">
            <w:pPr>
              <w:spacing w:line="240" w:lineRule="auto"/>
              <w:rPr>
                <w:sz w:val="24"/>
                <w:rtl/>
              </w:rPr>
            </w:pPr>
            <w:r>
              <w:rPr>
                <w:sz w:val="24"/>
                <w:rtl/>
              </w:rPr>
              <w:t>איחוד התובענות</w:t>
            </w:r>
          </w:p>
        </w:tc>
        <w:tc>
          <w:tcPr>
            <w:tcW w:w="1247" w:type="dxa"/>
          </w:tcPr>
          <w:p w:rsidR="0031565A" w:rsidRDefault="0031565A">
            <w:pPr>
              <w:spacing w:line="240" w:lineRule="auto"/>
              <w:rPr>
                <w:sz w:val="24"/>
              </w:rPr>
            </w:pPr>
            <w:r>
              <w:rPr>
                <w:sz w:val="24"/>
                <w:rtl/>
              </w:rPr>
              <w:t xml:space="preserve">סעיף 26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26" w:tooltip="צירוף בעלי הדין" w:history="1">
              <w:r>
                <w:rPr>
                  <w:rStyle w:val="Hyperlink"/>
                </w:rPr>
                <w:t>Go</w:t>
              </w:r>
            </w:hyperlink>
          </w:p>
        </w:tc>
        <w:tc>
          <w:tcPr>
            <w:tcW w:w="5669" w:type="dxa"/>
          </w:tcPr>
          <w:p w:rsidR="0031565A" w:rsidRDefault="0031565A">
            <w:pPr>
              <w:spacing w:line="240" w:lineRule="auto"/>
              <w:rPr>
                <w:sz w:val="24"/>
                <w:rtl/>
              </w:rPr>
            </w:pPr>
            <w:r>
              <w:rPr>
                <w:sz w:val="24"/>
                <w:rtl/>
              </w:rPr>
              <w:t>צירוף בעלי הדין</w:t>
            </w:r>
          </w:p>
        </w:tc>
        <w:tc>
          <w:tcPr>
            <w:tcW w:w="1247" w:type="dxa"/>
          </w:tcPr>
          <w:p w:rsidR="0031565A" w:rsidRDefault="0031565A">
            <w:pPr>
              <w:spacing w:line="240" w:lineRule="auto"/>
              <w:rPr>
                <w:sz w:val="24"/>
              </w:rPr>
            </w:pPr>
            <w:r>
              <w:rPr>
                <w:sz w:val="24"/>
                <w:rtl/>
              </w:rPr>
              <w:t xml:space="preserve">סעיף 27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27" w:tooltip="שינוי הרכב בית הדין" w:history="1">
              <w:r>
                <w:rPr>
                  <w:rStyle w:val="Hyperlink"/>
                </w:rPr>
                <w:t>Go</w:t>
              </w:r>
            </w:hyperlink>
          </w:p>
        </w:tc>
        <w:tc>
          <w:tcPr>
            <w:tcW w:w="5669" w:type="dxa"/>
          </w:tcPr>
          <w:p w:rsidR="0031565A" w:rsidRDefault="0031565A">
            <w:pPr>
              <w:spacing w:line="240" w:lineRule="auto"/>
              <w:rPr>
                <w:sz w:val="24"/>
                <w:rtl/>
              </w:rPr>
            </w:pPr>
            <w:r>
              <w:rPr>
                <w:sz w:val="24"/>
                <w:rtl/>
              </w:rPr>
              <w:t>שינוי הרכב בית הדין</w:t>
            </w:r>
          </w:p>
        </w:tc>
        <w:tc>
          <w:tcPr>
            <w:tcW w:w="1247" w:type="dxa"/>
          </w:tcPr>
          <w:p w:rsidR="0031565A" w:rsidRDefault="0031565A">
            <w:pPr>
              <w:spacing w:line="240" w:lineRule="auto"/>
              <w:rPr>
                <w:sz w:val="24"/>
              </w:rPr>
            </w:pPr>
            <w:r>
              <w:rPr>
                <w:sz w:val="24"/>
                <w:rtl/>
              </w:rPr>
              <w:t xml:space="preserve">סעיף 28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28" w:tooltip="החלטת בית הדין" w:history="1">
              <w:r>
                <w:rPr>
                  <w:rStyle w:val="Hyperlink"/>
                </w:rPr>
                <w:t>Go</w:t>
              </w:r>
            </w:hyperlink>
          </w:p>
        </w:tc>
        <w:tc>
          <w:tcPr>
            <w:tcW w:w="5669" w:type="dxa"/>
          </w:tcPr>
          <w:p w:rsidR="0031565A" w:rsidRDefault="0031565A">
            <w:pPr>
              <w:spacing w:line="240" w:lineRule="auto"/>
              <w:rPr>
                <w:sz w:val="24"/>
                <w:rtl/>
              </w:rPr>
            </w:pPr>
            <w:r>
              <w:rPr>
                <w:sz w:val="24"/>
                <w:rtl/>
              </w:rPr>
              <w:t>החלטת בית הדין</w:t>
            </w:r>
          </w:p>
        </w:tc>
        <w:tc>
          <w:tcPr>
            <w:tcW w:w="1247" w:type="dxa"/>
          </w:tcPr>
          <w:p w:rsidR="0031565A" w:rsidRDefault="0031565A">
            <w:pPr>
              <w:spacing w:line="240" w:lineRule="auto"/>
              <w:rPr>
                <w:sz w:val="24"/>
              </w:rPr>
            </w:pPr>
            <w:r>
              <w:rPr>
                <w:sz w:val="24"/>
                <w:rtl/>
              </w:rPr>
              <w:t xml:space="preserve">סעיף 29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29" w:tooltip="מסירת העתק ההחלטה" w:history="1">
              <w:r>
                <w:rPr>
                  <w:rStyle w:val="Hyperlink"/>
                </w:rPr>
                <w:t>Go</w:t>
              </w:r>
            </w:hyperlink>
          </w:p>
        </w:tc>
        <w:tc>
          <w:tcPr>
            <w:tcW w:w="5669" w:type="dxa"/>
          </w:tcPr>
          <w:p w:rsidR="0031565A" w:rsidRDefault="0031565A">
            <w:pPr>
              <w:spacing w:line="240" w:lineRule="auto"/>
              <w:rPr>
                <w:sz w:val="24"/>
                <w:rtl/>
              </w:rPr>
            </w:pPr>
            <w:r>
              <w:rPr>
                <w:sz w:val="24"/>
                <w:rtl/>
              </w:rPr>
              <w:t>מסירת העתק ההחלטה</w:t>
            </w:r>
          </w:p>
        </w:tc>
        <w:tc>
          <w:tcPr>
            <w:tcW w:w="1247" w:type="dxa"/>
          </w:tcPr>
          <w:p w:rsidR="0031565A" w:rsidRDefault="0031565A">
            <w:pPr>
              <w:spacing w:line="240" w:lineRule="auto"/>
              <w:rPr>
                <w:sz w:val="24"/>
              </w:rPr>
            </w:pPr>
            <w:r>
              <w:rPr>
                <w:sz w:val="24"/>
                <w:rtl/>
              </w:rPr>
              <w:t xml:space="preserve">סעיף 30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30" w:tooltip="מסירת הזמנות או מסמכים" w:history="1">
              <w:r>
                <w:rPr>
                  <w:rStyle w:val="Hyperlink"/>
                </w:rPr>
                <w:t>Go</w:t>
              </w:r>
            </w:hyperlink>
          </w:p>
        </w:tc>
        <w:tc>
          <w:tcPr>
            <w:tcW w:w="5669" w:type="dxa"/>
          </w:tcPr>
          <w:p w:rsidR="0031565A" w:rsidRDefault="0031565A">
            <w:pPr>
              <w:spacing w:line="240" w:lineRule="auto"/>
              <w:rPr>
                <w:sz w:val="24"/>
                <w:rtl/>
              </w:rPr>
            </w:pPr>
            <w:r>
              <w:rPr>
                <w:sz w:val="24"/>
                <w:rtl/>
              </w:rPr>
              <w:t>מסירת הזמנות או מסמכים</w:t>
            </w:r>
          </w:p>
        </w:tc>
        <w:tc>
          <w:tcPr>
            <w:tcW w:w="1247" w:type="dxa"/>
          </w:tcPr>
          <w:p w:rsidR="0031565A" w:rsidRDefault="0031565A">
            <w:pPr>
              <w:spacing w:line="240" w:lineRule="auto"/>
              <w:rPr>
                <w:sz w:val="24"/>
              </w:rPr>
            </w:pPr>
            <w:r>
              <w:rPr>
                <w:sz w:val="24"/>
                <w:rtl/>
              </w:rPr>
              <w:t xml:space="preserve">סעיף 31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C75B9A">
              <w:rPr>
                <w:noProof/>
                <w:sz w:val="24"/>
                <w:rtl/>
              </w:rPr>
              <w:t>5</w:t>
            </w:r>
            <w:r>
              <w:rPr>
                <w:sz w:val="24"/>
                <w:rtl/>
              </w:rPr>
              <w:fldChar w:fldCharType="end"/>
            </w:r>
          </w:p>
        </w:tc>
        <w:tc>
          <w:tcPr>
            <w:tcW w:w="567" w:type="dxa"/>
          </w:tcPr>
          <w:p w:rsidR="0031565A" w:rsidRDefault="0031565A">
            <w:pPr>
              <w:spacing w:line="240" w:lineRule="auto"/>
              <w:rPr>
                <w:sz w:val="24"/>
              </w:rPr>
            </w:pPr>
            <w:hyperlink w:anchor="Seif31" w:tooltip="מסירת הזמנה או מסמכים עם אישור המסירה" w:history="1">
              <w:r>
                <w:rPr>
                  <w:rStyle w:val="Hyperlink"/>
                </w:rPr>
                <w:t>Go</w:t>
              </w:r>
            </w:hyperlink>
          </w:p>
        </w:tc>
        <w:tc>
          <w:tcPr>
            <w:tcW w:w="5669" w:type="dxa"/>
          </w:tcPr>
          <w:p w:rsidR="0031565A" w:rsidRDefault="0031565A">
            <w:pPr>
              <w:spacing w:line="240" w:lineRule="auto"/>
              <w:rPr>
                <w:sz w:val="24"/>
                <w:rtl/>
              </w:rPr>
            </w:pPr>
            <w:r>
              <w:rPr>
                <w:sz w:val="24"/>
                <w:rtl/>
              </w:rPr>
              <w:t>מסירת הזמנה או מסמכים עם אישור המסירה</w:t>
            </w:r>
          </w:p>
        </w:tc>
        <w:tc>
          <w:tcPr>
            <w:tcW w:w="1247" w:type="dxa"/>
          </w:tcPr>
          <w:p w:rsidR="0031565A" w:rsidRDefault="0031565A">
            <w:pPr>
              <w:spacing w:line="240" w:lineRule="auto"/>
              <w:rPr>
                <w:sz w:val="24"/>
              </w:rPr>
            </w:pPr>
            <w:r>
              <w:rPr>
                <w:sz w:val="24"/>
                <w:rtl/>
              </w:rPr>
              <w:t xml:space="preserve">סעיף 32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C75B9A">
              <w:rPr>
                <w:noProof/>
                <w:sz w:val="24"/>
                <w:rtl/>
              </w:rPr>
              <w:t>6</w:t>
            </w:r>
            <w:r>
              <w:rPr>
                <w:sz w:val="24"/>
                <w:rtl/>
              </w:rPr>
              <w:fldChar w:fldCharType="end"/>
            </w:r>
          </w:p>
        </w:tc>
        <w:tc>
          <w:tcPr>
            <w:tcW w:w="567" w:type="dxa"/>
          </w:tcPr>
          <w:p w:rsidR="0031565A" w:rsidRDefault="0031565A">
            <w:pPr>
              <w:spacing w:line="240" w:lineRule="auto"/>
              <w:rPr>
                <w:sz w:val="24"/>
              </w:rPr>
            </w:pPr>
            <w:hyperlink w:anchor="Seif32" w:tooltip="ערעורים על החלטת בית הדין" w:history="1">
              <w:r>
                <w:rPr>
                  <w:rStyle w:val="Hyperlink"/>
                </w:rPr>
                <w:t>Go</w:t>
              </w:r>
            </w:hyperlink>
          </w:p>
        </w:tc>
        <w:tc>
          <w:tcPr>
            <w:tcW w:w="5669" w:type="dxa"/>
          </w:tcPr>
          <w:p w:rsidR="0031565A" w:rsidRDefault="0031565A">
            <w:pPr>
              <w:spacing w:line="240" w:lineRule="auto"/>
              <w:rPr>
                <w:sz w:val="24"/>
                <w:rtl/>
              </w:rPr>
            </w:pPr>
            <w:r>
              <w:rPr>
                <w:sz w:val="24"/>
                <w:rtl/>
              </w:rPr>
              <w:t>ערעורים על החלטת בית הדין</w:t>
            </w:r>
          </w:p>
        </w:tc>
        <w:tc>
          <w:tcPr>
            <w:tcW w:w="1247" w:type="dxa"/>
          </w:tcPr>
          <w:p w:rsidR="0031565A" w:rsidRDefault="0031565A">
            <w:pPr>
              <w:spacing w:line="240" w:lineRule="auto"/>
              <w:rPr>
                <w:sz w:val="24"/>
              </w:rPr>
            </w:pPr>
            <w:r>
              <w:rPr>
                <w:sz w:val="24"/>
                <w:rtl/>
              </w:rPr>
              <w:t xml:space="preserve">סעיף 33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C75B9A">
              <w:rPr>
                <w:noProof/>
                <w:sz w:val="24"/>
                <w:rtl/>
              </w:rPr>
              <w:t>6</w:t>
            </w:r>
            <w:r>
              <w:rPr>
                <w:sz w:val="24"/>
                <w:rtl/>
              </w:rPr>
              <w:fldChar w:fldCharType="end"/>
            </w:r>
          </w:p>
        </w:tc>
        <w:tc>
          <w:tcPr>
            <w:tcW w:w="567" w:type="dxa"/>
          </w:tcPr>
          <w:p w:rsidR="0031565A" w:rsidRDefault="0031565A">
            <w:pPr>
              <w:spacing w:line="240" w:lineRule="auto"/>
              <w:rPr>
                <w:sz w:val="24"/>
              </w:rPr>
            </w:pPr>
            <w:hyperlink w:anchor="Seif33" w:tooltip="שכר לנציגי ציבור" w:history="1">
              <w:r>
                <w:rPr>
                  <w:rStyle w:val="Hyperlink"/>
                </w:rPr>
                <w:t>Go</w:t>
              </w:r>
            </w:hyperlink>
          </w:p>
        </w:tc>
        <w:tc>
          <w:tcPr>
            <w:tcW w:w="5669" w:type="dxa"/>
          </w:tcPr>
          <w:p w:rsidR="0031565A" w:rsidRDefault="0031565A">
            <w:pPr>
              <w:spacing w:line="240" w:lineRule="auto"/>
              <w:rPr>
                <w:sz w:val="24"/>
                <w:rtl/>
              </w:rPr>
            </w:pPr>
            <w:r>
              <w:rPr>
                <w:sz w:val="24"/>
                <w:rtl/>
              </w:rPr>
              <w:t>שכר לנציגי ציבור</w:t>
            </w:r>
          </w:p>
        </w:tc>
        <w:tc>
          <w:tcPr>
            <w:tcW w:w="1247" w:type="dxa"/>
          </w:tcPr>
          <w:p w:rsidR="0031565A" w:rsidRDefault="0031565A">
            <w:pPr>
              <w:spacing w:line="240" w:lineRule="auto"/>
              <w:rPr>
                <w:sz w:val="24"/>
              </w:rPr>
            </w:pPr>
            <w:r>
              <w:rPr>
                <w:sz w:val="24"/>
                <w:rtl/>
              </w:rPr>
              <w:t xml:space="preserve">סעיף 34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sidR="00C75B9A">
              <w:rPr>
                <w:noProof/>
                <w:sz w:val="24"/>
                <w:rtl/>
              </w:rPr>
              <w:t>6</w:t>
            </w:r>
            <w:r>
              <w:rPr>
                <w:sz w:val="24"/>
                <w:rtl/>
              </w:rPr>
              <w:fldChar w:fldCharType="end"/>
            </w:r>
          </w:p>
        </w:tc>
        <w:tc>
          <w:tcPr>
            <w:tcW w:w="567" w:type="dxa"/>
          </w:tcPr>
          <w:p w:rsidR="0031565A" w:rsidRDefault="0031565A">
            <w:pPr>
              <w:spacing w:line="240" w:lineRule="auto"/>
              <w:rPr>
                <w:sz w:val="24"/>
              </w:rPr>
            </w:pPr>
            <w:hyperlink w:anchor="Seif34" w:tooltip="אגרות שלא לפי התוספת" w:history="1">
              <w:r>
                <w:rPr>
                  <w:rStyle w:val="Hyperlink"/>
                </w:rPr>
                <w:t>Go</w:t>
              </w:r>
            </w:hyperlink>
          </w:p>
        </w:tc>
        <w:tc>
          <w:tcPr>
            <w:tcW w:w="5669" w:type="dxa"/>
          </w:tcPr>
          <w:p w:rsidR="0031565A" w:rsidRDefault="0031565A">
            <w:pPr>
              <w:spacing w:line="240" w:lineRule="auto"/>
              <w:rPr>
                <w:sz w:val="24"/>
                <w:rtl/>
              </w:rPr>
            </w:pPr>
            <w:r>
              <w:rPr>
                <w:sz w:val="24"/>
                <w:rtl/>
              </w:rPr>
              <w:t>אגרות שלא לפי התוספת</w:t>
            </w:r>
          </w:p>
        </w:tc>
        <w:tc>
          <w:tcPr>
            <w:tcW w:w="1247" w:type="dxa"/>
          </w:tcPr>
          <w:p w:rsidR="0031565A" w:rsidRDefault="0031565A">
            <w:pPr>
              <w:spacing w:line="240" w:lineRule="auto"/>
              <w:rPr>
                <w:sz w:val="24"/>
              </w:rPr>
            </w:pPr>
            <w:r>
              <w:rPr>
                <w:sz w:val="24"/>
                <w:rtl/>
              </w:rPr>
              <w:t xml:space="preserve">סעיף 35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lastRenderedPageBreak/>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sidR="00C75B9A">
              <w:rPr>
                <w:noProof/>
                <w:sz w:val="24"/>
                <w:rtl/>
              </w:rPr>
              <w:t>6</w:t>
            </w:r>
            <w:r>
              <w:rPr>
                <w:sz w:val="24"/>
                <w:rtl/>
              </w:rPr>
              <w:fldChar w:fldCharType="end"/>
            </w:r>
          </w:p>
        </w:tc>
        <w:tc>
          <w:tcPr>
            <w:tcW w:w="567" w:type="dxa"/>
          </w:tcPr>
          <w:p w:rsidR="0031565A" w:rsidRDefault="0031565A">
            <w:pPr>
              <w:spacing w:line="240" w:lineRule="auto"/>
              <w:rPr>
                <w:sz w:val="24"/>
              </w:rPr>
            </w:pPr>
            <w:hyperlink w:anchor="Seif35" w:tooltip="אגרות לפי התוספת" w:history="1">
              <w:r>
                <w:rPr>
                  <w:rStyle w:val="Hyperlink"/>
                </w:rPr>
                <w:t>Go</w:t>
              </w:r>
            </w:hyperlink>
          </w:p>
        </w:tc>
        <w:tc>
          <w:tcPr>
            <w:tcW w:w="5669" w:type="dxa"/>
          </w:tcPr>
          <w:p w:rsidR="0031565A" w:rsidRDefault="0031565A">
            <w:pPr>
              <w:spacing w:line="240" w:lineRule="auto"/>
              <w:rPr>
                <w:sz w:val="24"/>
                <w:rtl/>
              </w:rPr>
            </w:pPr>
            <w:r>
              <w:rPr>
                <w:sz w:val="24"/>
                <w:rtl/>
              </w:rPr>
              <w:t>אגרות לפי התוספת</w:t>
            </w:r>
          </w:p>
        </w:tc>
        <w:tc>
          <w:tcPr>
            <w:tcW w:w="1247" w:type="dxa"/>
          </w:tcPr>
          <w:p w:rsidR="0031565A" w:rsidRDefault="0031565A">
            <w:pPr>
              <w:spacing w:line="240" w:lineRule="auto"/>
              <w:rPr>
                <w:sz w:val="24"/>
              </w:rPr>
            </w:pPr>
            <w:r>
              <w:rPr>
                <w:sz w:val="24"/>
                <w:rtl/>
              </w:rPr>
              <w:t xml:space="preserve">סעיף 36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sidR="00C75B9A">
              <w:rPr>
                <w:noProof/>
                <w:sz w:val="24"/>
                <w:rtl/>
              </w:rPr>
              <w:t>6</w:t>
            </w:r>
            <w:r>
              <w:rPr>
                <w:sz w:val="24"/>
                <w:rtl/>
              </w:rPr>
              <w:fldChar w:fldCharType="end"/>
            </w:r>
          </w:p>
        </w:tc>
        <w:tc>
          <w:tcPr>
            <w:tcW w:w="567" w:type="dxa"/>
          </w:tcPr>
          <w:p w:rsidR="0031565A" w:rsidRDefault="0031565A">
            <w:pPr>
              <w:spacing w:line="240" w:lineRule="auto"/>
              <w:rPr>
                <w:sz w:val="24"/>
              </w:rPr>
            </w:pPr>
            <w:hyperlink w:anchor="Seif36" w:tooltip="ביטול" w:history="1">
              <w:r>
                <w:rPr>
                  <w:rStyle w:val="Hyperlink"/>
                </w:rPr>
                <w:t>Go</w:t>
              </w:r>
            </w:hyperlink>
          </w:p>
        </w:tc>
        <w:tc>
          <w:tcPr>
            <w:tcW w:w="5669" w:type="dxa"/>
          </w:tcPr>
          <w:p w:rsidR="0031565A" w:rsidRDefault="0031565A">
            <w:pPr>
              <w:spacing w:line="240" w:lineRule="auto"/>
              <w:rPr>
                <w:sz w:val="24"/>
                <w:rtl/>
              </w:rPr>
            </w:pPr>
            <w:r>
              <w:rPr>
                <w:sz w:val="24"/>
                <w:rtl/>
              </w:rPr>
              <w:t>ביטול</w:t>
            </w:r>
          </w:p>
        </w:tc>
        <w:tc>
          <w:tcPr>
            <w:tcW w:w="1247" w:type="dxa"/>
          </w:tcPr>
          <w:p w:rsidR="0031565A" w:rsidRDefault="0031565A">
            <w:pPr>
              <w:spacing w:line="240" w:lineRule="auto"/>
              <w:rPr>
                <w:sz w:val="24"/>
              </w:rPr>
            </w:pPr>
            <w:r>
              <w:rPr>
                <w:sz w:val="24"/>
                <w:rtl/>
              </w:rPr>
              <w:t xml:space="preserve">סעיף 37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sidR="00C75B9A">
              <w:rPr>
                <w:noProof/>
                <w:sz w:val="24"/>
                <w:rtl/>
              </w:rPr>
              <w:t>6</w:t>
            </w:r>
            <w:r>
              <w:rPr>
                <w:sz w:val="24"/>
                <w:rtl/>
              </w:rPr>
              <w:fldChar w:fldCharType="end"/>
            </w:r>
          </w:p>
        </w:tc>
        <w:tc>
          <w:tcPr>
            <w:tcW w:w="567" w:type="dxa"/>
          </w:tcPr>
          <w:p w:rsidR="0031565A" w:rsidRDefault="0031565A">
            <w:pPr>
              <w:spacing w:line="240" w:lineRule="auto"/>
              <w:rPr>
                <w:sz w:val="24"/>
              </w:rPr>
            </w:pPr>
            <w:hyperlink w:anchor="Seif37" w:tooltip="השם" w:history="1">
              <w:r>
                <w:rPr>
                  <w:rStyle w:val="Hyperlink"/>
                </w:rPr>
                <w:t>Go</w:t>
              </w:r>
            </w:hyperlink>
          </w:p>
        </w:tc>
        <w:tc>
          <w:tcPr>
            <w:tcW w:w="5669" w:type="dxa"/>
          </w:tcPr>
          <w:p w:rsidR="0031565A" w:rsidRDefault="0031565A">
            <w:pPr>
              <w:spacing w:line="240" w:lineRule="auto"/>
              <w:rPr>
                <w:sz w:val="24"/>
                <w:rtl/>
              </w:rPr>
            </w:pPr>
            <w:r>
              <w:rPr>
                <w:sz w:val="24"/>
                <w:rtl/>
              </w:rPr>
              <w:t>השם</w:t>
            </w:r>
          </w:p>
        </w:tc>
        <w:tc>
          <w:tcPr>
            <w:tcW w:w="1247" w:type="dxa"/>
          </w:tcPr>
          <w:p w:rsidR="0031565A" w:rsidRDefault="0031565A">
            <w:pPr>
              <w:spacing w:line="240" w:lineRule="auto"/>
              <w:rPr>
                <w:sz w:val="24"/>
              </w:rPr>
            </w:pPr>
            <w:r>
              <w:rPr>
                <w:sz w:val="24"/>
                <w:rtl/>
              </w:rPr>
              <w:t xml:space="preserve">סעיף 38 </w:t>
            </w:r>
          </w:p>
        </w:tc>
      </w:tr>
      <w:tr w:rsidR="0031565A">
        <w:tblPrEx>
          <w:tblCellMar>
            <w:top w:w="0" w:type="dxa"/>
            <w:bottom w:w="0" w:type="dxa"/>
          </w:tblCellMar>
        </w:tblPrEx>
        <w:tc>
          <w:tcPr>
            <w:tcW w:w="850" w:type="dxa"/>
          </w:tcPr>
          <w:p w:rsidR="0031565A" w:rsidRDefault="0031565A">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C75B9A">
              <w:rPr>
                <w:noProof/>
                <w:sz w:val="24"/>
                <w:rtl/>
              </w:rPr>
              <w:t>6</w:t>
            </w:r>
            <w:r>
              <w:rPr>
                <w:sz w:val="24"/>
                <w:rtl/>
              </w:rPr>
              <w:fldChar w:fldCharType="end"/>
            </w:r>
          </w:p>
        </w:tc>
        <w:tc>
          <w:tcPr>
            <w:tcW w:w="567" w:type="dxa"/>
          </w:tcPr>
          <w:p w:rsidR="0031565A" w:rsidRDefault="0031565A">
            <w:pPr>
              <w:spacing w:line="240" w:lineRule="auto"/>
              <w:rPr>
                <w:sz w:val="24"/>
              </w:rPr>
            </w:pPr>
            <w:hyperlink w:anchor="med0" w:tooltip="תוספת" w:history="1">
              <w:r>
                <w:rPr>
                  <w:rStyle w:val="Hyperlink"/>
                </w:rPr>
                <w:t>Go</w:t>
              </w:r>
            </w:hyperlink>
          </w:p>
        </w:tc>
        <w:tc>
          <w:tcPr>
            <w:tcW w:w="5669" w:type="dxa"/>
          </w:tcPr>
          <w:p w:rsidR="0031565A" w:rsidRDefault="0031565A">
            <w:pPr>
              <w:spacing w:line="240" w:lineRule="auto"/>
              <w:rPr>
                <w:sz w:val="24"/>
              </w:rPr>
            </w:pPr>
            <w:r>
              <w:rPr>
                <w:sz w:val="24"/>
                <w:rtl/>
              </w:rPr>
              <w:t>תוספת</w:t>
            </w:r>
          </w:p>
        </w:tc>
        <w:tc>
          <w:tcPr>
            <w:tcW w:w="1247" w:type="dxa"/>
          </w:tcPr>
          <w:p w:rsidR="0031565A" w:rsidRDefault="0031565A">
            <w:pPr>
              <w:spacing w:line="240" w:lineRule="auto"/>
              <w:rPr>
                <w:sz w:val="24"/>
              </w:rPr>
            </w:pPr>
          </w:p>
        </w:tc>
      </w:tr>
    </w:tbl>
    <w:p w:rsidR="0031565A" w:rsidRDefault="0031565A">
      <w:pPr>
        <w:pStyle w:val="big-header"/>
        <w:ind w:left="0" w:right="1134"/>
        <w:rPr>
          <w:rtl/>
        </w:rPr>
      </w:pPr>
    </w:p>
    <w:p w:rsidR="0031565A" w:rsidRPr="000449C2" w:rsidRDefault="0031565A" w:rsidP="000449C2">
      <w:pPr>
        <w:pStyle w:val="big-header"/>
        <w:ind w:left="0" w:right="1134"/>
        <w:rPr>
          <w:rStyle w:val="default"/>
          <w:rFonts w:cs="FrankRuehl" w:hint="cs"/>
          <w:szCs w:val="32"/>
          <w:rtl/>
        </w:rPr>
      </w:pPr>
      <w:r>
        <w:rPr>
          <w:rtl/>
        </w:rPr>
        <w:br w:type="page"/>
      </w:r>
      <w:r>
        <w:rPr>
          <w:rtl/>
        </w:rPr>
        <w:lastRenderedPageBreak/>
        <w:t>ת</w:t>
      </w:r>
      <w:r>
        <w:rPr>
          <w:rFonts w:hint="cs"/>
          <w:rtl/>
        </w:rPr>
        <w:t>קנות המים (סדרי הדין לפני בית הדין לעניני מים ובערעו</w:t>
      </w:r>
      <w:r>
        <w:rPr>
          <w:rtl/>
        </w:rPr>
        <w:t>ר</w:t>
      </w:r>
      <w:r>
        <w:rPr>
          <w:rFonts w:hint="cs"/>
          <w:rtl/>
        </w:rPr>
        <w:t>ים על החלטותיו), תשכ"ו</w:t>
      </w:r>
      <w:r w:rsidR="00C75B9A">
        <w:rPr>
          <w:rFonts w:hint="cs"/>
          <w:rtl/>
        </w:rPr>
        <w:t>-</w:t>
      </w:r>
      <w:r>
        <w:rPr>
          <w:rFonts w:hint="cs"/>
          <w:rtl/>
        </w:rPr>
        <w:t>1966</w:t>
      </w:r>
      <w:r w:rsidR="00C75B9A">
        <w:rPr>
          <w:rStyle w:val="a6"/>
          <w:rtl/>
        </w:rPr>
        <w:footnoteReference w:customMarkFollows="1" w:id="1"/>
        <w:t>*</w:t>
      </w:r>
    </w:p>
    <w:p w:rsidR="0031565A" w:rsidRDefault="0031565A" w:rsidP="00CF1AE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147 לחוק המים, תשי"ט</w:t>
      </w:r>
      <w:r w:rsidR="00CF1AE1">
        <w:rPr>
          <w:rStyle w:val="default"/>
          <w:rFonts w:cs="FrankRuehl" w:hint="cs"/>
          <w:rtl/>
        </w:rPr>
        <w:t>-</w:t>
      </w:r>
      <w:r>
        <w:rPr>
          <w:rStyle w:val="default"/>
          <w:rFonts w:cs="FrankRuehl" w:hint="cs"/>
          <w:rtl/>
        </w:rPr>
        <w:t>1959, ובתוקף שאר הסמכויות הנתונות לי לפי כל דין, אני מתקין תקנות אלה:</w:t>
      </w:r>
    </w:p>
    <w:p w:rsidR="0031565A" w:rsidRDefault="0031565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6.4pt;z-index:251638272"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ה</w:t>
                  </w:r>
                  <w:r>
                    <w:rPr>
                      <w:rFonts w:cs="Miriam" w:hint="cs"/>
                      <w:szCs w:val="18"/>
                      <w:rtl/>
                    </w:rPr>
                    <w:t>גדר</w:t>
                  </w:r>
                  <w:r>
                    <w:rPr>
                      <w:rFonts w:cs="Miriam"/>
                      <w:szCs w:val="18"/>
                      <w:rtl/>
                    </w:rPr>
                    <w:t>ו</w:t>
                  </w:r>
                  <w:r>
                    <w:rPr>
                      <w:rFonts w:cs="Miriam" w:hint="cs"/>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9B7530">
        <w:rPr>
          <w:rStyle w:val="default"/>
          <w:rFonts w:cs="FrankRuehl"/>
          <w:rtl/>
        </w:rPr>
        <w:t>–</w:t>
      </w:r>
    </w:p>
    <w:p w:rsidR="0031565A" w:rsidRDefault="0031565A" w:rsidP="009B75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המים" </w:t>
      </w:r>
      <w:r w:rsidR="006D7262">
        <w:rPr>
          <w:rStyle w:val="default"/>
          <w:rFonts w:cs="FrankRuehl"/>
          <w:rtl/>
        </w:rPr>
        <w:t>–</w:t>
      </w:r>
      <w:r>
        <w:rPr>
          <w:rStyle w:val="default"/>
          <w:rFonts w:cs="FrankRuehl" w:hint="cs"/>
          <w:rtl/>
        </w:rPr>
        <w:t xml:space="preserve"> חוק המים, תשי"ט</w:t>
      </w:r>
      <w:r w:rsidR="009B7530">
        <w:rPr>
          <w:rStyle w:val="default"/>
          <w:rFonts w:cs="FrankRuehl" w:hint="cs"/>
          <w:rtl/>
        </w:rPr>
        <w:t>-</w:t>
      </w:r>
      <w:r>
        <w:rPr>
          <w:rStyle w:val="default"/>
          <w:rFonts w:cs="FrankRuehl" w:hint="cs"/>
          <w:rtl/>
        </w:rPr>
        <w:t>1959;</w:t>
      </w:r>
    </w:p>
    <w:p w:rsidR="0031565A" w:rsidRDefault="0031565A" w:rsidP="009B75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הניקוז" </w:t>
      </w:r>
      <w:r w:rsidR="006D7262">
        <w:rPr>
          <w:rStyle w:val="default"/>
          <w:rFonts w:cs="FrankRuehl"/>
          <w:rtl/>
        </w:rPr>
        <w:t>–</w:t>
      </w:r>
      <w:r>
        <w:rPr>
          <w:rStyle w:val="default"/>
          <w:rFonts w:cs="FrankRuehl" w:hint="cs"/>
          <w:rtl/>
        </w:rPr>
        <w:t xml:space="preserve"> חוק הניקוז וההגנה מפני שטפונות,</w:t>
      </w:r>
      <w:r>
        <w:rPr>
          <w:rStyle w:val="default"/>
          <w:rFonts w:cs="FrankRuehl"/>
          <w:rtl/>
        </w:rPr>
        <w:t xml:space="preserve"> </w:t>
      </w:r>
      <w:r>
        <w:rPr>
          <w:rStyle w:val="default"/>
          <w:rFonts w:cs="FrankRuehl" w:hint="cs"/>
          <w:rtl/>
        </w:rPr>
        <w:t>תשי"ט</w:t>
      </w:r>
      <w:r w:rsidR="009B7530">
        <w:rPr>
          <w:rStyle w:val="default"/>
          <w:rFonts w:cs="FrankRuehl" w:hint="cs"/>
          <w:rtl/>
        </w:rPr>
        <w:t>-</w:t>
      </w:r>
      <w:r>
        <w:rPr>
          <w:rStyle w:val="default"/>
          <w:rFonts w:cs="FrankRuehl" w:hint="cs"/>
          <w:rtl/>
        </w:rPr>
        <w:t>1959;</w:t>
      </w:r>
    </w:p>
    <w:p w:rsidR="0031565A" w:rsidRDefault="0031565A" w:rsidP="009B75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הקידוח" </w:t>
      </w:r>
      <w:r w:rsidR="006D7262">
        <w:rPr>
          <w:rStyle w:val="default"/>
          <w:rFonts w:cs="FrankRuehl"/>
          <w:rtl/>
        </w:rPr>
        <w:t>–</w:t>
      </w:r>
      <w:r>
        <w:rPr>
          <w:rStyle w:val="default"/>
          <w:rFonts w:cs="FrankRuehl" w:hint="cs"/>
          <w:rtl/>
        </w:rPr>
        <w:t xml:space="preserve"> חוק הפיקוח על קידוחי מים, תשט"ו</w:t>
      </w:r>
      <w:r w:rsidR="009B7530">
        <w:rPr>
          <w:rStyle w:val="default"/>
          <w:rFonts w:cs="FrankRuehl" w:hint="cs"/>
          <w:rtl/>
        </w:rPr>
        <w:t>-</w:t>
      </w:r>
      <w:r>
        <w:rPr>
          <w:rStyle w:val="default"/>
          <w:rFonts w:cs="FrankRuehl" w:hint="cs"/>
          <w:rtl/>
        </w:rPr>
        <w:t>1955;</w:t>
      </w:r>
    </w:p>
    <w:p w:rsidR="0031565A" w:rsidRDefault="0031565A" w:rsidP="009B75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המדידה" </w:t>
      </w:r>
      <w:r w:rsidR="006D7262">
        <w:rPr>
          <w:rStyle w:val="default"/>
          <w:rFonts w:cs="FrankRuehl"/>
          <w:rtl/>
        </w:rPr>
        <w:t>–</w:t>
      </w:r>
      <w:r>
        <w:rPr>
          <w:rStyle w:val="default"/>
          <w:rFonts w:cs="FrankRuehl" w:hint="cs"/>
          <w:rtl/>
        </w:rPr>
        <w:t xml:space="preserve"> חוק מדידת מים, תשט"ו</w:t>
      </w:r>
      <w:r w:rsidR="009B7530">
        <w:rPr>
          <w:rStyle w:val="default"/>
          <w:rFonts w:cs="FrankRuehl" w:hint="cs"/>
          <w:rtl/>
        </w:rPr>
        <w:t>-</w:t>
      </w:r>
      <w:r>
        <w:rPr>
          <w:rStyle w:val="default"/>
          <w:rFonts w:cs="FrankRuehl" w:hint="cs"/>
          <w:rtl/>
        </w:rPr>
        <w:t>1955;</w:t>
      </w:r>
    </w:p>
    <w:p w:rsidR="0031565A" w:rsidRDefault="0031565A" w:rsidP="009B75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דין" </w:t>
      </w:r>
      <w:r w:rsidR="006D7262">
        <w:rPr>
          <w:rStyle w:val="default"/>
          <w:rFonts w:cs="FrankRuehl"/>
          <w:rtl/>
        </w:rPr>
        <w:t>–</w:t>
      </w:r>
      <w:r>
        <w:rPr>
          <w:rStyle w:val="default"/>
          <w:rFonts w:cs="FrankRuehl" w:hint="cs"/>
          <w:rtl/>
        </w:rPr>
        <w:t xml:space="preserve"> בית דין לעניני מים שהוקם לפי סעיף 140 לחוק המים;</w:t>
      </w:r>
    </w:p>
    <w:p w:rsidR="0031565A" w:rsidRDefault="0031565A" w:rsidP="009B753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תובענה" </w:t>
      </w:r>
      <w:r w:rsidR="006D7262">
        <w:rPr>
          <w:rStyle w:val="default"/>
          <w:rFonts w:cs="FrankRuehl"/>
          <w:rtl/>
        </w:rPr>
        <w:t>–</w:t>
      </w:r>
      <w:r>
        <w:rPr>
          <w:rStyle w:val="default"/>
          <w:rFonts w:cs="FrankRuehl" w:hint="cs"/>
          <w:rtl/>
        </w:rPr>
        <w:t xml:space="preserve"> לרבות </w:t>
      </w:r>
      <w:r w:rsidR="009B7530">
        <w:rPr>
          <w:rStyle w:val="default"/>
          <w:rFonts w:cs="FrankRuehl"/>
          <w:rtl/>
        </w:rPr>
        <w:t>–</w:t>
      </w:r>
    </w:p>
    <w:p w:rsidR="0031565A" w:rsidRDefault="0031565A" w:rsidP="009B753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ערר לפי סעיפים 13, 16, 22א(ג), 31, 34, 35(ד), 43, 44ט, 44יא(</w:t>
      </w:r>
      <w:r>
        <w:rPr>
          <w:rStyle w:val="default"/>
          <w:rFonts w:cs="FrankRuehl"/>
          <w:rtl/>
        </w:rPr>
        <w:t>א</w:t>
      </w:r>
      <w:r>
        <w:rPr>
          <w:rStyle w:val="default"/>
          <w:rFonts w:cs="FrankRuehl" w:hint="cs"/>
          <w:rtl/>
        </w:rPr>
        <w:t xml:space="preserve">), 44יד(ד), 44טז(א), 44יט(ב), 61, 75, 89, 98 או 124ה לחוק המים (להלן </w:t>
      </w:r>
      <w:r w:rsidR="006D7262">
        <w:rPr>
          <w:rStyle w:val="default"/>
          <w:rFonts w:cs="FrankRuehl"/>
          <w:rtl/>
        </w:rPr>
        <w:t>–</w:t>
      </w:r>
      <w:r>
        <w:rPr>
          <w:rStyle w:val="default"/>
          <w:rFonts w:cs="FrankRuehl" w:hint="cs"/>
          <w:rtl/>
        </w:rPr>
        <w:t xml:space="preserve"> ערר מים) וערר לפי סעיף 119 לחוק המים (להלן </w:t>
      </w:r>
      <w:r w:rsidR="006D7262">
        <w:rPr>
          <w:rStyle w:val="default"/>
          <w:rFonts w:cs="FrankRuehl"/>
          <w:rtl/>
        </w:rPr>
        <w:t>–</w:t>
      </w:r>
      <w:r>
        <w:rPr>
          <w:rStyle w:val="default"/>
          <w:rFonts w:cs="FrankRuehl" w:hint="cs"/>
          <w:rtl/>
        </w:rPr>
        <w:t xml:space="preserve"> ערר על היטל);</w:t>
      </w:r>
    </w:p>
    <w:p w:rsidR="0031565A" w:rsidRDefault="0031565A" w:rsidP="009B753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ערר לפי סעיף 8 לחוק הניקוז (להלן </w:t>
      </w:r>
      <w:r w:rsidR="006D7262">
        <w:rPr>
          <w:rStyle w:val="default"/>
          <w:rFonts w:cs="FrankRuehl"/>
          <w:rtl/>
        </w:rPr>
        <w:t>–</w:t>
      </w:r>
      <w:r>
        <w:rPr>
          <w:rStyle w:val="default"/>
          <w:rFonts w:cs="FrankRuehl" w:hint="cs"/>
          <w:rtl/>
        </w:rPr>
        <w:t xml:space="preserve"> ערר ניקוז) וערר לפי סעיף 42 לחוק הניקוז (להלן </w:t>
      </w:r>
      <w:r w:rsidR="006D7262">
        <w:rPr>
          <w:rStyle w:val="default"/>
          <w:rFonts w:cs="FrankRuehl"/>
          <w:rtl/>
        </w:rPr>
        <w:t>–</w:t>
      </w:r>
      <w:r>
        <w:rPr>
          <w:rStyle w:val="default"/>
          <w:rFonts w:cs="FrankRuehl" w:hint="cs"/>
          <w:rtl/>
        </w:rPr>
        <w:t xml:space="preserve"> ערר על שומה);</w:t>
      </w:r>
    </w:p>
    <w:p w:rsidR="0031565A" w:rsidRDefault="0031565A" w:rsidP="009B753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ערר לפי סעיף 9 לחוק </w:t>
      </w:r>
      <w:r>
        <w:rPr>
          <w:rStyle w:val="default"/>
          <w:rFonts w:cs="FrankRuehl"/>
          <w:rtl/>
        </w:rPr>
        <w:t>ה</w:t>
      </w:r>
      <w:r>
        <w:rPr>
          <w:rStyle w:val="default"/>
          <w:rFonts w:cs="FrankRuehl" w:hint="cs"/>
          <w:rtl/>
        </w:rPr>
        <w:t xml:space="preserve">קידוח (להלן </w:t>
      </w:r>
      <w:r w:rsidR="006D7262">
        <w:rPr>
          <w:rStyle w:val="default"/>
          <w:rFonts w:cs="FrankRuehl"/>
          <w:rtl/>
        </w:rPr>
        <w:t>–</w:t>
      </w:r>
      <w:r>
        <w:rPr>
          <w:rStyle w:val="default"/>
          <w:rFonts w:cs="FrankRuehl" w:hint="cs"/>
          <w:rtl/>
        </w:rPr>
        <w:t xml:space="preserve"> ערר קידוח);</w:t>
      </w:r>
    </w:p>
    <w:p w:rsidR="0031565A" w:rsidRDefault="0031565A" w:rsidP="009B753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ערר לפי סעיף 8(ו) לחוק המדידה (להלן </w:t>
      </w:r>
      <w:r w:rsidR="006D7262">
        <w:rPr>
          <w:rStyle w:val="default"/>
          <w:rFonts w:cs="FrankRuehl"/>
          <w:rtl/>
        </w:rPr>
        <w:t>–</w:t>
      </w:r>
      <w:r>
        <w:rPr>
          <w:rStyle w:val="default"/>
          <w:rFonts w:cs="FrankRuehl" w:hint="cs"/>
          <w:rtl/>
        </w:rPr>
        <w:t xml:space="preserve"> ערר מדידה);</w:t>
      </w:r>
    </w:p>
    <w:p w:rsidR="0031565A" w:rsidRDefault="0031565A" w:rsidP="009B753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בקשה להכרעת בית הדין בעניני פיצויים לפי סעיפים 18, 44(ב), 44כב(ג), 79(ב)(2) או 94 לחוק המים, ולפי סעיפים 6(ג), 35(א) או 53(ג) לחוק הניקוז (להלן </w:t>
      </w:r>
      <w:r w:rsidR="006D7262">
        <w:rPr>
          <w:rStyle w:val="default"/>
          <w:rFonts w:cs="FrankRuehl"/>
          <w:rtl/>
        </w:rPr>
        <w:t>–</w:t>
      </w:r>
      <w:r>
        <w:rPr>
          <w:rStyle w:val="default"/>
          <w:rFonts w:cs="FrankRuehl" w:hint="cs"/>
          <w:rtl/>
        </w:rPr>
        <w:t xml:space="preserve"> בקשה).</w:t>
      </w:r>
    </w:p>
    <w:p w:rsidR="0031565A" w:rsidRDefault="0031565A">
      <w:pPr>
        <w:pStyle w:val="P00"/>
        <w:spacing w:before="72"/>
        <w:ind w:left="0" w:right="1134"/>
        <w:rPr>
          <w:rStyle w:val="default"/>
          <w:rFonts w:cs="FrankRuehl" w:hint="cs"/>
          <w:rtl/>
        </w:rPr>
      </w:pPr>
      <w:r w:rsidRPr="000D70CB">
        <w:rPr>
          <w:rtl/>
        </w:rPr>
        <w:tab/>
      </w:r>
      <w:r w:rsidRPr="000D70CB">
        <w:rPr>
          <w:rStyle w:val="default"/>
          <w:rFonts w:cs="FrankRuehl"/>
          <w:rtl/>
        </w:rPr>
        <w:t>"</w:t>
      </w:r>
      <w:r w:rsidRPr="000D70CB">
        <w:rPr>
          <w:rStyle w:val="default"/>
          <w:rFonts w:cs="FrankRuehl" w:hint="cs"/>
          <w:rtl/>
        </w:rPr>
        <w:t xml:space="preserve">משיב" </w:t>
      </w:r>
      <w:r w:rsidR="009B7530">
        <w:rPr>
          <w:rStyle w:val="default"/>
          <w:rFonts w:cs="FrankRuehl"/>
          <w:rtl/>
        </w:rPr>
        <w:t>–</w:t>
      </w:r>
    </w:p>
    <w:p w:rsidR="0031565A" w:rsidRDefault="0031565A" w:rsidP="009B753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בערר מים לפי סעיפים 13, 16, 22א(ג), 31, 34, 35(ד), 43, 44ט, 44יא(א), 44יד(ד), 44טז(א), 44יט(ב), 44כב(ג), 98, או 124ה, בערר על היתר או צו לפי סעיף 98 ובבקשה לפי סעיפים 18 ו-44(ב) לחוק המים </w:t>
      </w:r>
      <w:r w:rsidR="006D7262">
        <w:rPr>
          <w:rStyle w:val="default"/>
          <w:rFonts w:cs="FrankRuehl"/>
          <w:rtl/>
        </w:rPr>
        <w:t>–</w:t>
      </w:r>
      <w:r>
        <w:rPr>
          <w:rStyle w:val="default"/>
          <w:rFonts w:cs="FrankRuehl" w:hint="cs"/>
          <w:rtl/>
        </w:rPr>
        <w:t xml:space="preserve"> נציב המים;</w:t>
      </w:r>
    </w:p>
    <w:p w:rsidR="0031565A" w:rsidRDefault="0031565A" w:rsidP="009B753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בערר מים ל</w:t>
      </w:r>
      <w:r>
        <w:rPr>
          <w:rStyle w:val="default"/>
          <w:rFonts w:cs="FrankRuehl"/>
          <w:rtl/>
        </w:rPr>
        <w:t>פ</w:t>
      </w:r>
      <w:r>
        <w:rPr>
          <w:rStyle w:val="default"/>
          <w:rFonts w:cs="FrankRuehl" w:hint="cs"/>
          <w:rtl/>
        </w:rPr>
        <w:t xml:space="preserve">י סעיפים 61 או 75, בערר על אישור לפי סעיף 98 לחוק המים ובערר על היטל </w:t>
      </w:r>
      <w:r w:rsidR="006D7262">
        <w:rPr>
          <w:rStyle w:val="default"/>
          <w:rFonts w:cs="FrankRuehl"/>
          <w:rtl/>
        </w:rPr>
        <w:t>–</w:t>
      </w:r>
      <w:r>
        <w:rPr>
          <w:rStyle w:val="default"/>
          <w:rFonts w:cs="FrankRuehl" w:hint="cs"/>
          <w:rtl/>
        </w:rPr>
        <w:t xml:space="preserve"> שר החקלאות;</w:t>
      </w:r>
    </w:p>
    <w:p w:rsidR="0031565A" w:rsidRDefault="0031565A" w:rsidP="009B753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בערר ניקוז ובבקשה לפי סעיפים 6(ג) או 53(ג) לחוק הניקוז </w:t>
      </w:r>
      <w:r w:rsidR="006D7262">
        <w:rPr>
          <w:rStyle w:val="default"/>
          <w:rFonts w:cs="FrankRuehl"/>
          <w:rtl/>
        </w:rPr>
        <w:t>–</w:t>
      </w:r>
      <w:r>
        <w:rPr>
          <w:rStyle w:val="default"/>
          <w:rFonts w:cs="FrankRuehl" w:hint="cs"/>
          <w:rtl/>
        </w:rPr>
        <w:t xml:space="preserve"> נציב המים;</w:t>
      </w:r>
    </w:p>
    <w:p w:rsidR="0031565A" w:rsidRDefault="0031565A" w:rsidP="009B753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בערר קידוח </w:t>
      </w:r>
      <w:r w:rsidR="006D7262">
        <w:rPr>
          <w:rStyle w:val="default"/>
          <w:rFonts w:cs="FrankRuehl"/>
          <w:rtl/>
        </w:rPr>
        <w:t>–</w:t>
      </w:r>
      <w:r>
        <w:rPr>
          <w:rStyle w:val="default"/>
          <w:rFonts w:cs="FrankRuehl" w:hint="cs"/>
          <w:rtl/>
        </w:rPr>
        <w:t xml:space="preserve"> נציב המים;</w:t>
      </w:r>
    </w:p>
    <w:p w:rsidR="0031565A" w:rsidRDefault="0031565A" w:rsidP="009B753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בערר מדידה </w:t>
      </w:r>
      <w:r w:rsidR="006D7262">
        <w:rPr>
          <w:rStyle w:val="default"/>
          <w:rFonts w:cs="FrankRuehl"/>
          <w:rtl/>
        </w:rPr>
        <w:t>–</w:t>
      </w:r>
      <w:r>
        <w:rPr>
          <w:rStyle w:val="default"/>
          <w:rFonts w:cs="FrankRuehl" w:hint="cs"/>
          <w:rtl/>
        </w:rPr>
        <w:t xml:space="preserve"> נציב המים;</w:t>
      </w:r>
    </w:p>
    <w:p w:rsidR="0031565A" w:rsidRDefault="0031565A" w:rsidP="009B753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בערר על שומה </w:t>
      </w:r>
      <w:r w:rsidR="006D7262">
        <w:rPr>
          <w:rStyle w:val="default"/>
          <w:rFonts w:cs="FrankRuehl"/>
          <w:rtl/>
        </w:rPr>
        <w:t>–</w:t>
      </w:r>
      <w:r>
        <w:rPr>
          <w:rStyle w:val="default"/>
          <w:rFonts w:cs="FrankRuehl" w:hint="cs"/>
          <w:rtl/>
        </w:rPr>
        <w:t xml:space="preserve"> רשות הניקוז;</w:t>
      </w:r>
    </w:p>
    <w:p w:rsidR="0031565A" w:rsidRDefault="0031565A" w:rsidP="009B753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בבקשה לפ</w:t>
      </w:r>
      <w:r>
        <w:rPr>
          <w:rStyle w:val="default"/>
          <w:rFonts w:cs="FrankRuehl"/>
          <w:rtl/>
        </w:rPr>
        <w:t>י</w:t>
      </w:r>
      <w:r>
        <w:rPr>
          <w:rStyle w:val="default"/>
          <w:rFonts w:cs="FrankRuehl" w:hint="cs"/>
          <w:rtl/>
        </w:rPr>
        <w:t xml:space="preserve"> סעיפים 79(ב)(2) או 94 לחוק המים </w:t>
      </w:r>
      <w:r w:rsidR="006D7262">
        <w:rPr>
          <w:rStyle w:val="default"/>
          <w:rFonts w:cs="FrankRuehl"/>
          <w:rtl/>
        </w:rPr>
        <w:t>–</w:t>
      </w:r>
      <w:r>
        <w:rPr>
          <w:rStyle w:val="default"/>
          <w:rFonts w:cs="FrankRuehl" w:hint="cs"/>
          <w:rtl/>
        </w:rPr>
        <w:t xml:space="preserve"> רשות המים;</w:t>
      </w:r>
    </w:p>
    <w:p w:rsidR="0031565A" w:rsidRDefault="0031565A" w:rsidP="009B7530">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בבקשה לפי סעיף 35(א) לחוק הניקוז </w:t>
      </w:r>
      <w:r w:rsidR="006D7262">
        <w:rPr>
          <w:rStyle w:val="default"/>
          <w:rFonts w:cs="FrankRuehl"/>
          <w:rtl/>
        </w:rPr>
        <w:t>–</w:t>
      </w:r>
      <w:r>
        <w:rPr>
          <w:rStyle w:val="default"/>
          <w:rFonts w:cs="FrankRuehl" w:hint="cs"/>
          <w:rtl/>
        </w:rPr>
        <w:t xml:space="preserve"> רשות הניקוז, ואם פעל נציב המים לפי סעיף 50 לחוק הניקוז </w:t>
      </w:r>
      <w:r w:rsidR="006D7262">
        <w:rPr>
          <w:rStyle w:val="default"/>
          <w:rFonts w:cs="FrankRuehl"/>
          <w:rtl/>
        </w:rPr>
        <w:t>–</w:t>
      </w:r>
      <w:r>
        <w:rPr>
          <w:rStyle w:val="default"/>
          <w:rFonts w:cs="FrankRuehl" w:hint="cs"/>
          <w:rtl/>
        </w:rPr>
        <w:t xml:space="preserve"> נציב המים.</w:t>
      </w:r>
    </w:p>
    <w:p w:rsidR="0031565A" w:rsidRDefault="0031565A">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5.3pt;z-index:251639296"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ה</w:t>
                  </w:r>
                  <w:r>
                    <w:rPr>
                      <w:rFonts w:cs="Miriam" w:hint="cs"/>
                      <w:szCs w:val="18"/>
                      <w:rtl/>
                    </w:rPr>
                    <w:t>גשת תובענה</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ובענה תוגש בחמישה עותקים לבית הדין שבאזור שיפוטו נמצא הנכס אליו מתייחסים הצו, ההודע</w:t>
      </w:r>
      <w:r>
        <w:rPr>
          <w:rStyle w:val="default"/>
          <w:rFonts w:cs="FrankRuehl"/>
          <w:rtl/>
        </w:rPr>
        <w:t>ה</w:t>
      </w:r>
      <w:r>
        <w:rPr>
          <w:rStyle w:val="default"/>
          <w:rFonts w:cs="FrankRuehl" w:hint="cs"/>
          <w:rtl/>
        </w:rPr>
        <w:t xml:space="preserve"> או ההחלטה, נשוא הערר או הבקשה.</w:t>
      </w:r>
    </w:p>
    <w:p w:rsidR="0031565A" w:rsidRDefault="0031565A">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40320"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מ</w:t>
                  </w:r>
                  <w:r>
                    <w:rPr>
                      <w:rFonts w:cs="Miriam" w:hint="cs"/>
                      <w:szCs w:val="18"/>
                      <w:rtl/>
                    </w:rPr>
                    <w:t>קום מסירת תובענה</w:t>
                  </w:r>
                </w:p>
              </w:txbxContent>
            </v:textbox>
            <w10:anchorlock/>
          </v:rect>
        </w:pict>
      </w:r>
      <w:r>
        <w:rPr>
          <w:rStyle w:val="big-number"/>
          <w:rtl/>
        </w:rPr>
        <w:t>3.</w:t>
      </w:r>
      <w:r>
        <w:rPr>
          <w:rStyle w:val="big-number"/>
          <w:rtl/>
        </w:rPr>
        <w:tab/>
      </w:r>
      <w:r>
        <w:rPr>
          <w:rStyle w:val="default"/>
          <w:rFonts w:cs="FrankRuehl"/>
          <w:rtl/>
        </w:rPr>
        <w:t>כ</w:t>
      </w:r>
      <w:r>
        <w:rPr>
          <w:rStyle w:val="default"/>
          <w:rFonts w:cs="FrankRuehl" w:hint="cs"/>
          <w:rtl/>
        </w:rPr>
        <w:t>תב התובענה יימסר לבית הדין במקום מושבו.</w:t>
      </w:r>
    </w:p>
    <w:p w:rsidR="0031565A" w:rsidRDefault="0031565A">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2.85pt;z-index:251641344"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חת</w:t>
                  </w:r>
                  <w:r>
                    <w:rPr>
                      <w:rFonts w:cs="Miriam" w:hint="cs"/>
                      <w:szCs w:val="18"/>
                      <w:rtl/>
                    </w:rPr>
                    <w:t>ימת תובענה</w:t>
                  </w:r>
                </w:p>
              </w:txbxContent>
            </v:textbox>
            <w10:anchorlock/>
          </v:rect>
        </w:pict>
      </w:r>
      <w:r>
        <w:rPr>
          <w:rStyle w:val="big-number"/>
          <w:rtl/>
        </w:rPr>
        <w:t>4.</w:t>
      </w:r>
      <w:r>
        <w:rPr>
          <w:rStyle w:val="big-number"/>
          <w:rtl/>
        </w:rPr>
        <w:tab/>
      </w:r>
      <w:r>
        <w:rPr>
          <w:rStyle w:val="default"/>
          <w:rFonts w:cs="FrankRuehl"/>
          <w:rtl/>
        </w:rPr>
        <w:t>כ</w:t>
      </w:r>
      <w:r>
        <w:rPr>
          <w:rStyle w:val="default"/>
          <w:rFonts w:cs="FrankRuehl" w:hint="cs"/>
          <w:rtl/>
        </w:rPr>
        <w:t>תב התובענה ייחתם ביד העורר או המבקש או בא כוחם.</w:t>
      </w:r>
    </w:p>
    <w:p w:rsidR="0031565A" w:rsidRDefault="0031565A">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4pt;z-index:251642368" o:allowincell="f" filled="f" stroked="f" strokecolor="lime" strokeweight=".25pt">
            <v:textbox inset="0,0,0,0">
              <w:txbxContent>
                <w:p w:rsidR="0031565A" w:rsidRDefault="0031565A" w:rsidP="00CF1AE1">
                  <w:pPr>
                    <w:spacing w:line="160" w:lineRule="exact"/>
                    <w:jc w:val="left"/>
                    <w:rPr>
                      <w:rFonts w:cs="Miriam"/>
                      <w:noProof/>
                      <w:szCs w:val="18"/>
                      <w:rtl/>
                    </w:rPr>
                  </w:pPr>
                  <w:r>
                    <w:rPr>
                      <w:rFonts w:cs="Miriam"/>
                      <w:szCs w:val="18"/>
                      <w:rtl/>
                    </w:rPr>
                    <w:t>מ</w:t>
                  </w:r>
                  <w:r>
                    <w:rPr>
                      <w:rFonts w:cs="Miriam" w:hint="cs"/>
                      <w:szCs w:val="18"/>
                      <w:rtl/>
                    </w:rPr>
                    <w:t>ועד להגשת</w:t>
                  </w:r>
                  <w:r w:rsidR="00CF1AE1">
                    <w:rPr>
                      <w:rFonts w:cs="Miriam" w:hint="cs"/>
                      <w:szCs w:val="18"/>
                      <w:rtl/>
                    </w:rPr>
                    <w:t xml:space="preserve"> </w:t>
                  </w:r>
                  <w:r>
                    <w:rPr>
                      <w:rFonts w:cs="Miriam"/>
                      <w:szCs w:val="18"/>
                      <w:rtl/>
                    </w:rPr>
                    <w:t>ע</w:t>
                  </w:r>
                  <w:r>
                    <w:rPr>
                      <w:rFonts w:cs="Miriam" w:hint="cs"/>
                      <w:szCs w:val="18"/>
                      <w:rtl/>
                    </w:rPr>
                    <w:t>רר מים</w:t>
                  </w:r>
                  <w:r w:rsidR="00CF1AE1">
                    <w:rPr>
                      <w:rFonts w:cs="Miriam" w:hint="cs"/>
                      <w:noProof/>
                      <w:szCs w:val="18"/>
                      <w:rtl/>
                    </w:rPr>
                    <w:t xml:space="preserve"> </w:t>
                  </w:r>
                  <w:r>
                    <w:rPr>
                      <w:rFonts w:cs="Miriam"/>
                      <w:szCs w:val="18"/>
                      <w:rtl/>
                    </w:rPr>
                    <w:t>ו</w:t>
                  </w:r>
                  <w:r>
                    <w:rPr>
                      <w:rFonts w:cs="Miriam" w:hint="cs"/>
                      <w:szCs w:val="18"/>
                      <w:rtl/>
                    </w:rPr>
                    <w:t>ערר ניקוז</w:t>
                  </w:r>
                </w:p>
              </w:txbxContent>
            </v:textbox>
            <w10:anchorlock/>
          </v:rect>
        </w:pict>
      </w:r>
      <w:r>
        <w:rPr>
          <w:rStyle w:val="big-number"/>
          <w:rtl/>
        </w:rPr>
        <w:t>5.</w:t>
      </w:r>
      <w:r>
        <w:rPr>
          <w:rStyle w:val="big-number"/>
          <w:rtl/>
        </w:rPr>
        <w:tab/>
      </w:r>
      <w:r>
        <w:rPr>
          <w:rStyle w:val="default"/>
          <w:rFonts w:cs="FrankRuehl"/>
          <w:rtl/>
        </w:rPr>
        <w:t>ע</w:t>
      </w:r>
      <w:r>
        <w:rPr>
          <w:rStyle w:val="default"/>
          <w:rFonts w:cs="FrankRuehl" w:hint="cs"/>
          <w:rtl/>
        </w:rPr>
        <w:t xml:space="preserve">רר מים, למעט ערר לפי סעיפים 22א(ג), 31, 44ט, 44יד(ד) </w:t>
      </w:r>
      <w:r>
        <w:rPr>
          <w:rStyle w:val="default"/>
          <w:rFonts w:cs="FrankRuehl"/>
          <w:rtl/>
        </w:rPr>
        <w:t>א</w:t>
      </w:r>
      <w:r>
        <w:rPr>
          <w:rStyle w:val="default"/>
          <w:rFonts w:cs="FrankRuehl" w:hint="cs"/>
          <w:rtl/>
        </w:rPr>
        <w:t>ו 124ה לחוק המים, וערר ניקוז יוגשו תוך 60 יום לאחר פרסום הצו או ההודעה או לאחר מסירת ההודעה על הצו, ההחלטה, ההוראה או הפעולה נשוא הערר.</w:t>
      </w:r>
    </w:p>
    <w:p w:rsidR="0031565A" w:rsidRDefault="0031565A">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4.25pt;z-index:251643392"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מ</w:t>
                  </w:r>
                  <w:r>
                    <w:rPr>
                      <w:rFonts w:cs="Miriam" w:hint="cs"/>
                      <w:szCs w:val="18"/>
                      <w:rtl/>
                    </w:rPr>
                    <w:t>ועד להגשת ב</w:t>
                  </w:r>
                  <w:r>
                    <w:rPr>
                      <w:rFonts w:cs="Miriam"/>
                      <w:szCs w:val="18"/>
                      <w:rtl/>
                    </w:rPr>
                    <w:t>ק</w:t>
                  </w:r>
                  <w:r>
                    <w:rPr>
                      <w:rFonts w:cs="Miriam" w:hint="cs"/>
                      <w:szCs w:val="18"/>
                      <w:rtl/>
                    </w:rPr>
                    <w:t>שה</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קשה תוגש תוך 60 יום לאחר מסירת ההחלטה על קביעת הפיצויים.</w:t>
      </w:r>
    </w:p>
    <w:p w:rsidR="0031565A" w:rsidRDefault="0031565A">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6.7pt;z-index:251644416"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פר</w:t>
                  </w:r>
                  <w:r>
                    <w:rPr>
                      <w:rFonts w:cs="Miriam" w:hint="cs"/>
                      <w:szCs w:val="18"/>
                      <w:rtl/>
                    </w:rPr>
                    <w:t>טי כתב התובענה</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תובענה יפורטו:</w:t>
      </w:r>
    </w:p>
    <w:p w:rsidR="0031565A" w:rsidRDefault="0031565A" w:rsidP="006D726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של העורר או המבקש, משלח ידו, מענו והמען למסירת מסמכים;</w:t>
      </w:r>
    </w:p>
    <w:p w:rsidR="0031565A" w:rsidRDefault="0031565A" w:rsidP="006D726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המשיב ומענו;</w:t>
      </w:r>
    </w:p>
    <w:p w:rsidR="0031565A" w:rsidRDefault="0031565A" w:rsidP="006D726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העובדות שעליהן מסתמך העורר או המבקש;</w:t>
      </w:r>
    </w:p>
    <w:p w:rsidR="0031565A" w:rsidRDefault="0031565A" w:rsidP="006D7262">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הנימוקים שעליהם מבסס העורר את עררו או המבקש את בקשתו, לרבות נימוקים משפטיים, כל נימוק בפסקה מיוחדת;</w:t>
      </w:r>
    </w:p>
    <w:p w:rsidR="0031565A" w:rsidRDefault="0031565A" w:rsidP="006D7262">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5)</w:t>
      </w:r>
      <w:r>
        <w:rPr>
          <w:rStyle w:val="default"/>
          <w:rFonts w:cs="FrankRuehl"/>
          <w:rtl/>
        </w:rPr>
        <w:tab/>
        <w:t>ה</w:t>
      </w:r>
      <w:r>
        <w:rPr>
          <w:rStyle w:val="default"/>
          <w:rFonts w:cs="FrankRuehl" w:hint="cs"/>
          <w:rtl/>
        </w:rPr>
        <w:t>סעד המבוקש.</w:t>
      </w:r>
    </w:p>
    <w:p w:rsidR="0031565A" w:rsidRDefault="0031565A">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8.4pt;z-index:251645440"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צי</w:t>
                  </w:r>
                  <w:r>
                    <w:rPr>
                      <w:rFonts w:cs="Miriam" w:hint="cs"/>
                      <w:szCs w:val="18"/>
                      <w:rtl/>
                    </w:rPr>
                    <w:t>רוף מסמכים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תובענה יצורפו מסמכים אלה בחמישה עותקים.</w:t>
      </w:r>
    </w:p>
    <w:p w:rsidR="0031565A" w:rsidRDefault="0031565A" w:rsidP="006D726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תצהיר לאימות העובדות שעליהן מסתמך העורר או המבקש;</w:t>
      </w:r>
    </w:p>
    <w:p w:rsidR="0031565A" w:rsidRDefault="0031565A" w:rsidP="006D726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 בערר </w:t>
      </w:r>
      <w:r w:rsidR="006D7262">
        <w:rPr>
          <w:rStyle w:val="default"/>
          <w:rFonts w:cs="FrankRuehl"/>
          <w:rtl/>
        </w:rPr>
        <w:t>–</w:t>
      </w:r>
      <w:r>
        <w:rPr>
          <w:rStyle w:val="default"/>
          <w:rFonts w:cs="FrankRuehl" w:hint="cs"/>
          <w:rtl/>
        </w:rPr>
        <w:t xml:space="preserve"> העתק ההודעה על הצו, ההחלטה, ההוראה או הפעולה שעליהם עוררים;</w:t>
      </w:r>
    </w:p>
    <w:p w:rsidR="0031565A" w:rsidRDefault="0031565A" w:rsidP="006D7262">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בבקשה </w:t>
      </w:r>
      <w:r w:rsidR="006D7262">
        <w:rPr>
          <w:rStyle w:val="default"/>
          <w:rFonts w:cs="FrankRuehl"/>
          <w:rtl/>
        </w:rPr>
        <w:t>–</w:t>
      </w:r>
      <w:r>
        <w:rPr>
          <w:rStyle w:val="default"/>
          <w:rFonts w:cs="FrankRuehl" w:hint="cs"/>
          <w:rtl/>
        </w:rPr>
        <w:t xml:space="preserve"> העתק ההחלטה על קביעת הפיצויים;</w:t>
      </w:r>
    </w:p>
    <w:p w:rsidR="0031565A" w:rsidRDefault="0031565A" w:rsidP="006D726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מסמכים </w:t>
      </w:r>
      <w:r>
        <w:rPr>
          <w:rStyle w:val="default"/>
          <w:rFonts w:cs="FrankRuehl"/>
          <w:rtl/>
        </w:rPr>
        <w:t>ה</w:t>
      </w:r>
      <w:r>
        <w:rPr>
          <w:rStyle w:val="default"/>
          <w:rFonts w:cs="FrankRuehl" w:hint="cs"/>
          <w:rtl/>
        </w:rPr>
        <w:t>מוכיחים את בעלותו או החזקתו של העורר או המבקש בנכס אליו מתייחסים הצו, ההודעה, ההחלטה, ההוראה או הפעולה, נשוא התובענה;</w:t>
      </w:r>
    </w:p>
    <w:p w:rsidR="0031565A" w:rsidRDefault="0031565A" w:rsidP="006D7262">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תשריטים המתארים את הנכס האמור בפסקה (3).</w:t>
      </w:r>
    </w:p>
    <w:p w:rsidR="0031565A" w:rsidRDefault="0031565A">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0pt;z-index:251646464"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ה</w:t>
                  </w:r>
                  <w:r>
                    <w:rPr>
                      <w:rFonts w:cs="Miriam" w:hint="cs"/>
                      <w:szCs w:val="18"/>
                      <w:rtl/>
                    </w:rPr>
                    <w:t>עברת כתב תובענה למשיב</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וגשה לבית הדין תובענה, ישלח אב-בית-הדין למשיב שני עותקים של כת</w:t>
      </w:r>
      <w:r>
        <w:rPr>
          <w:rStyle w:val="default"/>
          <w:rFonts w:cs="FrankRuehl"/>
          <w:rtl/>
        </w:rPr>
        <w:t>ב</w:t>
      </w:r>
      <w:r>
        <w:rPr>
          <w:rStyle w:val="default"/>
          <w:rFonts w:cs="FrankRuehl" w:hint="cs"/>
          <w:rtl/>
        </w:rPr>
        <w:t xml:space="preserve"> התובענה ושל כל מסמך שצורף לו.</w:t>
      </w:r>
    </w:p>
    <w:p w:rsidR="0031565A" w:rsidRDefault="0031565A">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5.05pt;z-index:251647488"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ת</w:t>
                  </w:r>
                  <w:r>
                    <w:rPr>
                      <w:rFonts w:cs="Miriam" w:hint="cs"/>
                      <w:szCs w:val="18"/>
                      <w:rtl/>
                    </w:rPr>
                    <w:t>שובת המשיב</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משיב רשאי להגיש לבית הדין, לא יאוחר מחמישה עשר יום לאחר שנמסר לו עותק התובענה, תשובה מנומקת בשלושה עותקים, והוא חייב להגיש תשובה כאמור אם נדרש לעשות כך על ידי אב-בית-הדין.</w:t>
      </w:r>
    </w:p>
    <w:p w:rsidR="0031565A" w:rsidRDefault="0031565A">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3.95pt;z-index:251648512"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ח</w:t>
                  </w:r>
                  <w:r>
                    <w:rPr>
                      <w:rFonts w:cs="Miriam" w:hint="cs"/>
                      <w:szCs w:val="18"/>
                      <w:rtl/>
                    </w:rPr>
                    <w:t>תימת התשובה</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תשובה תיחתם</w:t>
      </w:r>
      <w:r>
        <w:rPr>
          <w:rStyle w:val="default"/>
          <w:rFonts w:cs="FrankRuehl"/>
          <w:rtl/>
        </w:rPr>
        <w:t xml:space="preserve"> </w:t>
      </w:r>
      <w:r>
        <w:rPr>
          <w:rStyle w:val="default"/>
          <w:rFonts w:cs="FrankRuehl" w:hint="cs"/>
          <w:rtl/>
        </w:rPr>
        <w:t>ביד המשיב או בא כוחו.</w:t>
      </w:r>
    </w:p>
    <w:p w:rsidR="0031565A" w:rsidRDefault="0031565A">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22.05pt;z-index:251649536"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צי</w:t>
                  </w:r>
                  <w:r>
                    <w:rPr>
                      <w:rFonts w:cs="Miriam" w:hint="cs"/>
                      <w:szCs w:val="18"/>
                      <w:rtl/>
                    </w:rPr>
                    <w:t>רוף תצהיר לתשובה</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משיב רשאי לצרף לתשובתו תצהיר בשלושה עותקים לאימות העובדות שעליהן הוא מסתמך.</w:t>
      </w:r>
    </w:p>
    <w:p w:rsidR="0031565A" w:rsidRDefault="0031565A">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22.7pt;z-index:251650560"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מ</w:t>
                  </w:r>
                  <w:r>
                    <w:rPr>
                      <w:rFonts w:cs="Miriam" w:hint="cs"/>
                      <w:szCs w:val="18"/>
                      <w:rtl/>
                    </w:rPr>
                    <w:t>סירת תשובה לעורר או ל</w:t>
                  </w:r>
                  <w:r>
                    <w:rPr>
                      <w:rFonts w:cs="Miriam"/>
                      <w:szCs w:val="18"/>
                      <w:rtl/>
                    </w:rPr>
                    <w:t>מ</w:t>
                  </w:r>
                  <w:r>
                    <w:rPr>
                      <w:rFonts w:cs="Miriam" w:hint="cs"/>
                      <w:szCs w:val="18"/>
                      <w:rtl/>
                    </w:rPr>
                    <w:t>בקש</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וגשה תשובת המשיב, ישלח אב-בית-הדין לעורר או למבקש עותק אחד מהתשובה על כל מסמך שצורף אליה.</w:t>
      </w:r>
    </w:p>
    <w:p w:rsidR="0031565A" w:rsidRDefault="0031565A">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23.4pt;z-index:251651584"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ה</w:t>
                  </w:r>
                  <w:r>
                    <w:rPr>
                      <w:rFonts w:cs="Miriam" w:hint="cs"/>
                      <w:szCs w:val="18"/>
                      <w:rtl/>
                    </w:rPr>
                    <w:t>חלטה</w:t>
                  </w:r>
                  <w:r>
                    <w:rPr>
                      <w:rFonts w:cs="Miriam"/>
                      <w:szCs w:val="18"/>
                      <w:rtl/>
                    </w:rPr>
                    <w:t xml:space="preserve"> </w:t>
                  </w:r>
                  <w:r>
                    <w:rPr>
                      <w:rFonts w:cs="Miriam" w:hint="cs"/>
                      <w:szCs w:val="18"/>
                      <w:rtl/>
                    </w:rPr>
                    <w:t>ע</w:t>
                  </w:r>
                  <w:r>
                    <w:rPr>
                      <w:rFonts w:cs="Miriam"/>
                      <w:szCs w:val="18"/>
                      <w:rtl/>
                    </w:rPr>
                    <w:t>ל</w:t>
                  </w:r>
                  <w:r>
                    <w:rPr>
                      <w:rFonts w:cs="Miriam" w:hint="cs"/>
                      <w:szCs w:val="18"/>
                      <w:rtl/>
                    </w:rPr>
                    <w:t xml:space="preserve"> יסוד חומר בכתב</w:t>
                  </w:r>
                </w:p>
              </w:txbxContent>
            </v:textbox>
            <w10:anchorlock/>
          </v:rect>
        </w:pict>
      </w:r>
      <w:r>
        <w:rPr>
          <w:rStyle w:val="big-number"/>
          <w:rtl/>
        </w:rPr>
        <w:t>14.</w:t>
      </w:r>
      <w:r>
        <w:rPr>
          <w:rStyle w:val="big-number"/>
          <w:rtl/>
        </w:rPr>
        <w:tab/>
      </w:r>
      <w:r>
        <w:rPr>
          <w:rStyle w:val="default"/>
          <w:rFonts w:cs="FrankRuehl"/>
          <w:rtl/>
        </w:rPr>
        <w:t>ו</w:t>
      </w:r>
      <w:r>
        <w:rPr>
          <w:rStyle w:val="default"/>
          <w:rFonts w:cs="FrankRuehl" w:hint="cs"/>
          <w:rtl/>
        </w:rPr>
        <w:t>יתרו בעלי הדין על השמעת טענותיהם לפני בית הדין, רשאי בית הדין לתת החלטתו על יסוד החומר שבכתב שהובא לפניו.</w:t>
      </w:r>
    </w:p>
    <w:p w:rsidR="0031565A" w:rsidRDefault="0031565A">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22.4pt;z-index:251652608"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ק</w:t>
                  </w:r>
                  <w:r>
                    <w:rPr>
                      <w:rFonts w:cs="Miriam" w:hint="cs"/>
                      <w:szCs w:val="18"/>
                      <w:rtl/>
                    </w:rPr>
                    <w:t>ביעת מועד לשמיעת התובענה</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 xml:space="preserve">א ויתרו בעלי הדין כאמור בתקנה 14, או החליט אב-בית-הדין להזמין </w:t>
      </w:r>
      <w:r>
        <w:rPr>
          <w:rStyle w:val="default"/>
          <w:rFonts w:cs="FrankRuehl"/>
          <w:rtl/>
        </w:rPr>
        <w:t>א</w:t>
      </w:r>
      <w:r>
        <w:rPr>
          <w:rStyle w:val="default"/>
          <w:rFonts w:cs="FrankRuehl" w:hint="cs"/>
          <w:rtl/>
        </w:rPr>
        <w:t>ת בעלי הדין, יקבע אב-בית-הדין מועד לשמיעת הטענות וישלח הזמנות לעורר או למבקש ולמשיב, ובלבד שההזמנה תימסר לבעלי הדין שבעה ימים לפחות לפני מועד הישיבה.</w:t>
      </w:r>
    </w:p>
    <w:p w:rsidR="0031565A" w:rsidRDefault="0031565A" w:rsidP="009B7530">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9.3pt;z-index:251653632" o:allowincell="f" filled="f" stroked="f" strokecolor="lime" strokeweight=".25pt">
            <v:textbox inset="0,0,0,0">
              <w:txbxContent>
                <w:p w:rsidR="0031565A" w:rsidRDefault="0031565A" w:rsidP="00CF1AE1">
                  <w:pPr>
                    <w:spacing w:line="160" w:lineRule="exact"/>
                    <w:jc w:val="left"/>
                    <w:rPr>
                      <w:rFonts w:cs="Miriam"/>
                      <w:noProof/>
                      <w:szCs w:val="18"/>
                      <w:rtl/>
                    </w:rPr>
                  </w:pPr>
                  <w:r>
                    <w:rPr>
                      <w:rFonts w:cs="Miriam"/>
                      <w:szCs w:val="18"/>
                      <w:rtl/>
                    </w:rPr>
                    <w:t>ה</w:t>
                  </w:r>
                  <w:r>
                    <w:rPr>
                      <w:rFonts w:cs="Miriam" w:hint="cs"/>
                      <w:szCs w:val="18"/>
                      <w:rtl/>
                    </w:rPr>
                    <w:t>תי</w:t>
                  </w:r>
                  <w:r>
                    <w:rPr>
                      <w:rFonts w:cs="Miriam"/>
                      <w:szCs w:val="18"/>
                      <w:rtl/>
                    </w:rPr>
                    <w:t>י</w:t>
                  </w:r>
                  <w:r>
                    <w:rPr>
                      <w:rFonts w:cs="Miriam" w:hint="cs"/>
                      <w:szCs w:val="18"/>
                      <w:rtl/>
                    </w:rPr>
                    <w:t>צבות</w:t>
                  </w:r>
                  <w:r w:rsidR="00CF1AE1">
                    <w:rPr>
                      <w:rFonts w:cs="Miriam" w:hint="cs"/>
                      <w:szCs w:val="18"/>
                      <w:rtl/>
                    </w:rPr>
                    <w:t xml:space="preserve"> </w:t>
                  </w:r>
                  <w:r>
                    <w:rPr>
                      <w:rFonts w:cs="Miriam"/>
                      <w:szCs w:val="18"/>
                      <w:rtl/>
                    </w:rPr>
                    <w:t>ל</w:t>
                  </w:r>
                  <w:r>
                    <w:rPr>
                      <w:rFonts w:cs="Miriam" w:hint="cs"/>
                      <w:szCs w:val="18"/>
                      <w:rtl/>
                    </w:rPr>
                    <w:t>חקירה שכנגד</w:t>
                  </w:r>
                </w:p>
              </w:txbxContent>
            </v:textbox>
            <w10:anchorlock/>
          </v:rect>
        </w:pict>
      </w:r>
      <w:r>
        <w:rPr>
          <w:rStyle w:val="big-number"/>
          <w:rtl/>
        </w:rPr>
        <w:t>16.</w:t>
      </w:r>
      <w:r>
        <w:rPr>
          <w:rStyle w:val="big-number"/>
          <w:rtl/>
        </w:rPr>
        <w:tab/>
      </w:r>
      <w:r>
        <w:rPr>
          <w:rStyle w:val="default"/>
          <w:rFonts w:cs="FrankRuehl"/>
          <w:rtl/>
        </w:rPr>
        <w:t>ר</w:t>
      </w:r>
      <w:r>
        <w:rPr>
          <w:rStyle w:val="default"/>
          <w:rFonts w:cs="FrankRuehl" w:hint="cs"/>
          <w:rtl/>
        </w:rPr>
        <w:t>צה אחד מבעלי הדין לחקור חקירה שכנגד אדם שמסר תצהיר לאימות העובדות שעליהן מס</w:t>
      </w:r>
      <w:r>
        <w:rPr>
          <w:rStyle w:val="default"/>
          <w:rFonts w:cs="FrankRuehl"/>
          <w:rtl/>
        </w:rPr>
        <w:t>ת</w:t>
      </w:r>
      <w:r>
        <w:rPr>
          <w:rStyle w:val="default"/>
          <w:rFonts w:cs="FrankRuehl" w:hint="cs"/>
          <w:rtl/>
        </w:rPr>
        <w:t>מך בעל הדין השני, יודיע על כך לבעל הדין ארבעה ימים לפחות לפני מועד השמיעה, וימסור העתק של הודעתו</w:t>
      </w:r>
      <w:r>
        <w:rPr>
          <w:rStyle w:val="default"/>
          <w:rFonts w:cs="FrankRuehl"/>
          <w:rtl/>
        </w:rPr>
        <w:t xml:space="preserve"> </w:t>
      </w:r>
      <w:r>
        <w:rPr>
          <w:rStyle w:val="default"/>
          <w:rFonts w:cs="FrankRuehl" w:hint="cs"/>
          <w:rtl/>
        </w:rPr>
        <w:t>לאב-בית-הדין.</w:t>
      </w:r>
    </w:p>
    <w:p w:rsidR="0031565A" w:rsidRDefault="0031565A">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12.55pt;z-index:251654656"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ת</w:t>
                  </w:r>
                  <w:r>
                    <w:rPr>
                      <w:rFonts w:cs="Miriam" w:hint="cs"/>
                      <w:szCs w:val="18"/>
                      <w:rtl/>
                    </w:rPr>
                    <w:t>צהיר כראיה</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ודיע אחד מבעלי הדין כאמור בתקנה 16, לא ישמש התצהיר שעליו ניתנה ההודעה ראיה, אלא אם היה המצהיר נוכח בשמיעת התובענה כשהוא מו</w:t>
      </w:r>
      <w:r>
        <w:rPr>
          <w:rStyle w:val="default"/>
          <w:rFonts w:cs="FrankRuehl"/>
          <w:rtl/>
        </w:rPr>
        <w:t>כ</w:t>
      </w:r>
      <w:r>
        <w:rPr>
          <w:rStyle w:val="default"/>
          <w:rFonts w:cs="FrankRuehl" w:hint="cs"/>
          <w:rtl/>
        </w:rPr>
        <w:t>ן לחקירה שכנגד או אם היה בית הדין משוכנע שקבלת התצהיר דרושה למען הצדק.</w:t>
      </w:r>
    </w:p>
    <w:p w:rsidR="0031565A" w:rsidRDefault="0031565A">
      <w:pPr>
        <w:pStyle w:val="P00"/>
        <w:spacing w:before="72"/>
        <w:ind w:left="0" w:right="1134"/>
        <w:rPr>
          <w:rStyle w:val="default"/>
          <w:rFonts w:cs="FrankRuehl"/>
          <w:rtl/>
        </w:rPr>
      </w:pPr>
      <w:bookmarkStart w:id="17" w:name="Seif17"/>
      <w:bookmarkEnd w:id="17"/>
      <w:r>
        <w:rPr>
          <w:lang w:val="he-IL"/>
        </w:rPr>
        <w:pict>
          <v:rect id="_x0000_s1043" style="position:absolute;left:0;text-align:left;margin-left:464.5pt;margin-top:8.05pt;width:75.05pt;height:17.05pt;z-index:251655680"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ש</w:t>
                  </w:r>
                  <w:r>
                    <w:rPr>
                      <w:rFonts w:cs="Miriam" w:hint="cs"/>
                      <w:szCs w:val="18"/>
                      <w:rtl/>
                    </w:rPr>
                    <w:t>מיעת הטענות</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ית הדין ישמע תחילה את טענות העורר או המבקש ולאחר מכן את טענות המשיב.</w:t>
      </w:r>
    </w:p>
    <w:p w:rsidR="0031565A" w:rsidRDefault="0031565A">
      <w:pPr>
        <w:pStyle w:val="P00"/>
        <w:spacing w:before="72"/>
        <w:ind w:left="0" w:right="1134"/>
        <w:rPr>
          <w:rStyle w:val="default"/>
          <w:rFonts w:cs="FrankRuehl"/>
          <w:rtl/>
        </w:rPr>
      </w:pPr>
      <w:bookmarkStart w:id="18" w:name="Seif18"/>
      <w:bookmarkEnd w:id="18"/>
      <w:r>
        <w:rPr>
          <w:lang w:val="he-IL"/>
        </w:rPr>
        <w:pict>
          <v:rect id="_x0000_s1044" style="position:absolute;left:0;text-align:left;margin-left:464.5pt;margin-top:8.05pt;width:75.05pt;height:19.5pt;z-index:251656704" o:allowincell="f" filled="f" stroked="f" strokecolor="lime" strokeweight=".25pt">
            <v:textbox inset="0,0,0,0">
              <w:txbxContent>
                <w:p w:rsidR="0031565A" w:rsidRDefault="0031565A" w:rsidP="00CF1AE1">
                  <w:pPr>
                    <w:spacing w:line="160" w:lineRule="exact"/>
                    <w:jc w:val="left"/>
                    <w:rPr>
                      <w:rFonts w:cs="Miriam"/>
                      <w:noProof/>
                      <w:szCs w:val="18"/>
                      <w:rtl/>
                    </w:rPr>
                  </w:pPr>
                  <w:r>
                    <w:rPr>
                      <w:rFonts w:cs="Miriam"/>
                      <w:szCs w:val="18"/>
                      <w:rtl/>
                    </w:rPr>
                    <w:t>ת</w:t>
                  </w:r>
                  <w:r>
                    <w:rPr>
                      <w:rFonts w:cs="Miriam" w:hint="cs"/>
                      <w:szCs w:val="18"/>
                      <w:rtl/>
                    </w:rPr>
                    <w:t>שובת העורר</w:t>
                  </w:r>
                  <w:r w:rsidR="00CF1AE1">
                    <w:rPr>
                      <w:rFonts w:cs="Miriam" w:hint="cs"/>
                      <w:szCs w:val="18"/>
                      <w:rtl/>
                    </w:rPr>
                    <w:t xml:space="preserve"> </w:t>
                  </w:r>
                  <w:r>
                    <w:rPr>
                      <w:rFonts w:cs="Miriam"/>
                      <w:szCs w:val="18"/>
                      <w:rtl/>
                    </w:rPr>
                    <w:t>א</w:t>
                  </w:r>
                  <w:r>
                    <w:rPr>
                      <w:rFonts w:cs="Miriam" w:hint="cs"/>
                      <w:szCs w:val="18"/>
                      <w:rtl/>
                    </w:rPr>
                    <w:t>ו המבקש</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ית הדין רשאי, ככל שהדבר ייראה לו, להתיר לעורר או למבקש להשיב לטענ</w:t>
      </w:r>
      <w:r>
        <w:rPr>
          <w:rStyle w:val="default"/>
          <w:rFonts w:cs="FrankRuehl"/>
          <w:rtl/>
        </w:rPr>
        <w:t>ו</w:t>
      </w:r>
      <w:r>
        <w:rPr>
          <w:rStyle w:val="default"/>
          <w:rFonts w:cs="FrankRuehl" w:hint="cs"/>
          <w:rtl/>
        </w:rPr>
        <w:t>ת המשיב.</w:t>
      </w:r>
    </w:p>
    <w:p w:rsidR="0031565A" w:rsidRDefault="0031565A">
      <w:pPr>
        <w:pStyle w:val="P00"/>
        <w:spacing w:before="72"/>
        <w:ind w:left="0" w:right="1134"/>
        <w:rPr>
          <w:rStyle w:val="default"/>
          <w:rFonts w:cs="FrankRuehl"/>
          <w:rtl/>
        </w:rPr>
      </w:pPr>
      <w:bookmarkStart w:id="19" w:name="Seif19"/>
      <w:bookmarkEnd w:id="19"/>
      <w:r>
        <w:rPr>
          <w:lang w:val="he-IL"/>
        </w:rPr>
        <w:pict>
          <v:rect id="_x0000_s1045" style="position:absolute;left:0;text-align:left;margin-left:464.5pt;margin-top:8.05pt;width:75.05pt;height:22pt;z-index:251657728"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ד</w:t>
                  </w:r>
                  <w:r>
                    <w:rPr>
                      <w:rFonts w:cs="Miriam" w:hint="cs"/>
                      <w:szCs w:val="18"/>
                      <w:rtl/>
                    </w:rPr>
                    <w:t>יון</w:t>
                  </w:r>
                  <w:r>
                    <w:rPr>
                      <w:rFonts w:cs="Miriam"/>
                      <w:szCs w:val="18"/>
                      <w:rtl/>
                    </w:rPr>
                    <w:t xml:space="preserve"> </w:t>
                  </w:r>
                  <w:r>
                    <w:rPr>
                      <w:rFonts w:cs="Miriam" w:hint="cs"/>
                      <w:szCs w:val="18"/>
                      <w:rtl/>
                    </w:rPr>
                    <w:t>שלא בפני בעלי הדין</w:t>
                  </w:r>
                </w:p>
              </w:txbxContent>
            </v:textbox>
            <w10:anchorlock/>
          </v:rect>
        </w:pict>
      </w:r>
      <w:r>
        <w:rPr>
          <w:rStyle w:val="big-number"/>
          <w:rtl/>
        </w:rPr>
        <w:t>20.</w:t>
      </w:r>
      <w:r>
        <w:rPr>
          <w:rStyle w:val="big-number"/>
          <w:rtl/>
        </w:rPr>
        <w:tab/>
      </w:r>
      <w:r>
        <w:rPr>
          <w:rStyle w:val="default"/>
          <w:rFonts w:cs="FrankRuehl"/>
          <w:rtl/>
        </w:rPr>
        <w:t>ל</w:t>
      </w:r>
      <w:r>
        <w:rPr>
          <w:rStyle w:val="default"/>
          <w:rFonts w:cs="FrankRuehl" w:hint="cs"/>
          <w:rtl/>
        </w:rPr>
        <w:t>א התייצב אחד מבעלי הדין לפני בית הדין במועד הקבוע לשמיעת התובענה, רשאי בית הדין לדון ולהחליט שלא בפניו.</w:t>
      </w:r>
    </w:p>
    <w:p w:rsidR="0031565A" w:rsidRDefault="0031565A">
      <w:pPr>
        <w:pStyle w:val="P00"/>
        <w:spacing w:before="72"/>
        <w:ind w:left="0" w:right="1134"/>
        <w:rPr>
          <w:rStyle w:val="default"/>
          <w:rFonts w:cs="FrankRuehl"/>
          <w:rtl/>
        </w:rPr>
      </w:pPr>
      <w:bookmarkStart w:id="20" w:name="Seif20"/>
      <w:bookmarkEnd w:id="20"/>
      <w:r>
        <w:rPr>
          <w:lang w:val="he-IL"/>
        </w:rPr>
        <w:pict>
          <v:rect id="_x0000_s1046" style="position:absolute;left:0;text-align:left;margin-left:464.5pt;margin-top:8.05pt;width:75.05pt;height:11.45pt;z-index:251658752"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ט</w:t>
                  </w:r>
                  <w:r>
                    <w:rPr>
                      <w:rFonts w:cs="Miriam" w:hint="cs"/>
                      <w:szCs w:val="18"/>
                      <w:rtl/>
                    </w:rPr>
                    <w:t>ע</w:t>
                  </w:r>
                  <w:r>
                    <w:rPr>
                      <w:rFonts w:cs="Miriam"/>
                      <w:szCs w:val="18"/>
                      <w:rtl/>
                    </w:rPr>
                    <w:t>נ</w:t>
                  </w:r>
                  <w:r>
                    <w:rPr>
                      <w:rFonts w:cs="Miriam" w:hint="cs"/>
                      <w:szCs w:val="18"/>
                      <w:rtl/>
                    </w:rPr>
                    <w:t>ות פגם</w:t>
                  </w:r>
                </w:p>
              </w:txbxContent>
            </v:textbox>
            <w10:anchorlock/>
          </v:rect>
        </w:pict>
      </w:r>
      <w:r>
        <w:rPr>
          <w:rStyle w:val="big-number"/>
          <w:rtl/>
        </w:rPr>
        <w:t>21.</w:t>
      </w:r>
      <w:r>
        <w:rPr>
          <w:rStyle w:val="big-number"/>
          <w:rtl/>
        </w:rPr>
        <w:tab/>
      </w:r>
      <w:r>
        <w:rPr>
          <w:rStyle w:val="default"/>
          <w:rFonts w:cs="FrankRuehl"/>
          <w:rtl/>
        </w:rPr>
        <w:t>ב</w:t>
      </w:r>
      <w:r>
        <w:rPr>
          <w:rStyle w:val="default"/>
          <w:rFonts w:cs="FrankRuehl" w:hint="cs"/>
          <w:rtl/>
        </w:rPr>
        <w:t>שמיעת תובענה לא ייזקק בית הדין לכל טענות של פגם בצורתה או בצורת תשובת המשיב, אלא אם כן נמסרה</w:t>
      </w:r>
      <w:r>
        <w:rPr>
          <w:rStyle w:val="default"/>
          <w:rFonts w:cs="FrankRuehl"/>
          <w:rtl/>
        </w:rPr>
        <w:t xml:space="preserve"> </w:t>
      </w:r>
      <w:r>
        <w:rPr>
          <w:rStyle w:val="default"/>
          <w:rFonts w:cs="FrankRuehl" w:hint="cs"/>
          <w:rtl/>
        </w:rPr>
        <w:t>הודעה בכתב על כך לבעל הדין השני לפחות ארבעה ימים לפני היום שנקבע לשמיעת הטענות ובעל הדין לא תיקן את הפגם לפני אותו מועד.</w:t>
      </w:r>
    </w:p>
    <w:p w:rsidR="0031565A" w:rsidRDefault="0031565A" w:rsidP="009B7530">
      <w:pPr>
        <w:pStyle w:val="P00"/>
        <w:spacing w:before="72"/>
        <w:ind w:left="0" w:right="1134"/>
        <w:rPr>
          <w:rStyle w:val="default"/>
          <w:rFonts w:cs="FrankRuehl"/>
          <w:rtl/>
        </w:rPr>
      </w:pPr>
      <w:bookmarkStart w:id="21" w:name="Seif21"/>
      <w:bookmarkEnd w:id="21"/>
      <w:r>
        <w:rPr>
          <w:lang w:val="he-IL"/>
        </w:rPr>
        <w:pict>
          <v:rect id="_x0000_s1047" style="position:absolute;left:0;text-align:left;margin-left:464.5pt;margin-top:8.05pt;width:75.05pt;height:10.35pt;z-index:251659776"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ת</w:t>
                  </w:r>
                  <w:r>
                    <w:rPr>
                      <w:rFonts w:cs="Miriam" w:hint="cs"/>
                      <w:szCs w:val="18"/>
                      <w:rtl/>
                    </w:rPr>
                    <w:t>יקון פגמים</w:t>
                  </w:r>
                </w:p>
              </w:txbxContent>
            </v:textbox>
            <w10:anchorlock/>
          </v:rect>
        </w:pict>
      </w:r>
      <w:r>
        <w:rPr>
          <w:rStyle w:val="big-number"/>
          <w:rtl/>
        </w:rPr>
        <w:t>22.</w:t>
      </w:r>
      <w:r>
        <w:rPr>
          <w:rStyle w:val="big-number"/>
          <w:rtl/>
        </w:rPr>
        <w:tab/>
      </w:r>
      <w:r>
        <w:rPr>
          <w:rStyle w:val="default"/>
          <w:rFonts w:cs="FrankRuehl"/>
          <w:rtl/>
        </w:rPr>
        <w:t>נ</w:t>
      </w:r>
      <w:r>
        <w:rPr>
          <w:rStyle w:val="default"/>
          <w:rFonts w:cs="FrankRuehl" w:hint="cs"/>
          <w:rtl/>
        </w:rPr>
        <w:t xml:space="preserve">מסרה הודעה כאמור בתקנה 21 ובעל הדין לא תיקן את הפגם בעוד מועד, רשאי בית הדין </w:t>
      </w:r>
      <w:r w:rsidR="009B7530">
        <w:rPr>
          <w:rStyle w:val="default"/>
          <w:rFonts w:cs="FrankRuehl" w:hint="cs"/>
          <w:rtl/>
        </w:rPr>
        <w:t>-</w:t>
      </w:r>
      <w:r>
        <w:rPr>
          <w:rStyle w:val="default"/>
          <w:rFonts w:cs="FrankRuehl" w:hint="cs"/>
          <w:rtl/>
        </w:rPr>
        <w:t xml:space="preserve"> מטעמים המצדיקים זאת לדעתו </w:t>
      </w:r>
      <w:r w:rsidR="009B7530">
        <w:rPr>
          <w:rStyle w:val="default"/>
          <w:rFonts w:cs="FrankRuehl" w:hint="cs"/>
          <w:rtl/>
        </w:rPr>
        <w:t>-</w:t>
      </w:r>
      <w:r>
        <w:rPr>
          <w:rStyle w:val="default"/>
          <w:rFonts w:cs="FrankRuehl" w:hint="cs"/>
          <w:rtl/>
        </w:rPr>
        <w:t xml:space="preserve"> להרשות </w:t>
      </w:r>
      <w:r>
        <w:rPr>
          <w:rStyle w:val="default"/>
          <w:rFonts w:cs="FrankRuehl"/>
          <w:rtl/>
        </w:rPr>
        <w:t>ל</w:t>
      </w:r>
      <w:r>
        <w:rPr>
          <w:rStyle w:val="default"/>
          <w:rFonts w:cs="FrankRuehl" w:hint="cs"/>
          <w:rtl/>
        </w:rPr>
        <w:t>בעל הדין לתקן את הפגמים בתנאים שיקבעם.</w:t>
      </w:r>
    </w:p>
    <w:p w:rsidR="0031565A" w:rsidRDefault="0031565A" w:rsidP="009B7530">
      <w:pPr>
        <w:pStyle w:val="P00"/>
        <w:spacing w:before="72"/>
        <w:ind w:left="0" w:right="1134"/>
        <w:rPr>
          <w:rStyle w:val="default"/>
          <w:rFonts w:cs="FrankRuehl"/>
          <w:rtl/>
        </w:rPr>
      </w:pPr>
      <w:bookmarkStart w:id="22" w:name="Seif22"/>
      <w:bookmarkEnd w:id="22"/>
      <w:r>
        <w:rPr>
          <w:lang w:val="he-IL"/>
        </w:rPr>
        <w:pict>
          <v:rect id="_x0000_s1048" style="position:absolute;left:0;text-align:left;margin-left:464.5pt;margin-top:8.05pt;width:75.05pt;height:14.7pt;z-index:251660800"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ד</w:t>
                  </w:r>
                  <w:r>
                    <w:rPr>
                      <w:rFonts w:cs="Miriam" w:hint="cs"/>
                      <w:szCs w:val="18"/>
                      <w:rtl/>
                    </w:rPr>
                    <w:t>חיית השמיעה</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 xml:space="preserve">ית הדין רשאי לדחות את שמיעת התובענה למועד אחר, ומשהתחיל בשמיעה </w:t>
      </w:r>
      <w:r w:rsidR="009B7530">
        <w:rPr>
          <w:rStyle w:val="default"/>
          <w:rFonts w:cs="FrankRuehl" w:hint="cs"/>
          <w:rtl/>
        </w:rPr>
        <w:t>-</w:t>
      </w:r>
      <w:r>
        <w:rPr>
          <w:rStyle w:val="default"/>
          <w:rFonts w:cs="FrankRuehl" w:hint="cs"/>
          <w:rtl/>
        </w:rPr>
        <w:t xml:space="preserve"> לדחות את המשך הדיון בה, אם הדחיה דרושה, לדעתו, למען הצדק.</w:t>
      </w:r>
    </w:p>
    <w:p w:rsidR="0031565A" w:rsidRDefault="0031565A">
      <w:pPr>
        <w:pStyle w:val="P00"/>
        <w:spacing w:before="72"/>
        <w:ind w:left="0" w:right="1134"/>
        <w:rPr>
          <w:rStyle w:val="default"/>
          <w:rFonts w:cs="FrankRuehl"/>
          <w:rtl/>
        </w:rPr>
      </w:pPr>
      <w:bookmarkStart w:id="23" w:name="Seif23"/>
      <w:bookmarkEnd w:id="23"/>
      <w:r>
        <w:rPr>
          <w:lang w:val="he-IL"/>
        </w:rPr>
        <w:pict>
          <v:rect id="_x0000_s1049" style="position:absolute;left:0;text-align:left;margin-left:464.5pt;margin-top:8.05pt;width:75.05pt;height:21.15pt;z-index:251661824"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ה</w:t>
                  </w:r>
                  <w:r>
                    <w:rPr>
                      <w:rFonts w:cs="Miriam" w:hint="cs"/>
                      <w:szCs w:val="18"/>
                      <w:rtl/>
                    </w:rPr>
                    <w:t>דיון מ</w:t>
                  </w:r>
                  <w:r>
                    <w:rPr>
                      <w:rFonts w:cs="Miriam"/>
                      <w:szCs w:val="18"/>
                      <w:rtl/>
                    </w:rPr>
                    <w:t>ו</w:t>
                  </w:r>
                  <w:r>
                    <w:rPr>
                      <w:rFonts w:cs="Miriam" w:hint="cs"/>
                      <w:szCs w:val="18"/>
                      <w:rtl/>
                    </w:rPr>
                    <w:t>גבל לנימוקים</w:t>
                  </w:r>
                </w:p>
              </w:txbxContent>
            </v:textbox>
            <w10:anchorlock/>
          </v:rect>
        </w:pict>
      </w:r>
      <w:r>
        <w:rPr>
          <w:rStyle w:val="big-number"/>
          <w:rtl/>
        </w:rPr>
        <w:t>24.</w:t>
      </w:r>
      <w:r>
        <w:rPr>
          <w:rStyle w:val="big-number"/>
          <w:rtl/>
        </w:rPr>
        <w:tab/>
      </w:r>
      <w:r>
        <w:rPr>
          <w:rStyle w:val="default"/>
          <w:rFonts w:cs="FrankRuehl"/>
          <w:rtl/>
        </w:rPr>
        <w:t>ב</w:t>
      </w:r>
      <w:r>
        <w:rPr>
          <w:rStyle w:val="default"/>
          <w:rFonts w:cs="FrankRuehl" w:hint="cs"/>
          <w:rtl/>
        </w:rPr>
        <w:t>שמיעת התובענה לא</w:t>
      </w:r>
      <w:r>
        <w:rPr>
          <w:rStyle w:val="default"/>
          <w:rFonts w:cs="FrankRuehl"/>
          <w:rtl/>
        </w:rPr>
        <w:t xml:space="preserve"> </w:t>
      </w:r>
      <w:r>
        <w:rPr>
          <w:rStyle w:val="default"/>
          <w:rFonts w:cs="FrankRuehl" w:hint="cs"/>
          <w:rtl/>
        </w:rPr>
        <w:t>ייזקק בית הדין לכל נימוק שלא הוזכר בה או בתשובה, אלא אם הוא משוכנע שהנימוק הושמט שלא באשמת בעל הדין המבקש להיעזר בו או ששמיעת הנימוק דרושה למען הצדק.</w:t>
      </w:r>
    </w:p>
    <w:p w:rsidR="0031565A" w:rsidRDefault="0031565A">
      <w:pPr>
        <w:pStyle w:val="P00"/>
        <w:spacing w:before="72"/>
        <w:ind w:left="0" w:right="1134"/>
        <w:rPr>
          <w:rStyle w:val="default"/>
          <w:rFonts w:cs="FrankRuehl"/>
          <w:rtl/>
        </w:rPr>
      </w:pPr>
      <w:bookmarkStart w:id="24" w:name="Seif24"/>
      <w:bookmarkEnd w:id="24"/>
      <w:r>
        <w:rPr>
          <w:lang w:val="he-IL"/>
        </w:rPr>
        <w:pict>
          <v:rect id="_x0000_s1050" style="position:absolute;left:0;text-align:left;margin-left:464.5pt;margin-top:8.05pt;width:75.05pt;height:20.05pt;z-index:251662848"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פ</w:t>
                  </w:r>
                  <w:r>
                    <w:rPr>
                      <w:rFonts w:cs="Miriam" w:hint="cs"/>
                      <w:szCs w:val="18"/>
                      <w:rtl/>
                    </w:rPr>
                    <w:t>רט</w:t>
                  </w:r>
                  <w:r>
                    <w:rPr>
                      <w:rFonts w:cs="Miriam"/>
                      <w:szCs w:val="18"/>
                      <w:rtl/>
                    </w:rPr>
                    <w:t>י</w:t>
                  </w:r>
                  <w:r>
                    <w:rPr>
                      <w:rFonts w:cs="Miriam" w:hint="cs"/>
                      <w:szCs w:val="18"/>
                      <w:rtl/>
                    </w:rPr>
                    <w:t>ם נוספים וראיות נוספות</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 xml:space="preserve">ית הדין רשאי להורות על הגשת פרטים נוספים להמצאת ראיות נוספות בכל ענין </w:t>
      </w:r>
      <w:r>
        <w:rPr>
          <w:rStyle w:val="default"/>
          <w:rFonts w:cs="FrankRuehl"/>
          <w:rtl/>
        </w:rPr>
        <w:t>ה</w:t>
      </w:r>
      <w:r>
        <w:rPr>
          <w:rStyle w:val="default"/>
          <w:rFonts w:cs="FrankRuehl" w:hint="cs"/>
          <w:rtl/>
        </w:rPr>
        <w:t>נזכר בתובענה או בתשובה וביחס לכל נימוק שבית הדין החליט להיזקק לו כאמור בתקנה 24.</w:t>
      </w:r>
    </w:p>
    <w:p w:rsidR="0031565A" w:rsidRDefault="0031565A">
      <w:pPr>
        <w:pStyle w:val="P00"/>
        <w:spacing w:before="72"/>
        <w:ind w:left="0" w:right="1134"/>
        <w:rPr>
          <w:rStyle w:val="default"/>
          <w:rFonts w:cs="FrankRuehl"/>
          <w:rtl/>
        </w:rPr>
      </w:pPr>
      <w:bookmarkStart w:id="25" w:name="Seif25"/>
      <w:bookmarkEnd w:id="25"/>
      <w:r>
        <w:rPr>
          <w:lang w:val="he-IL"/>
        </w:rPr>
        <w:pict>
          <v:rect id="_x0000_s1051" style="position:absolute;left:0;text-align:left;margin-left:464.5pt;margin-top:8.05pt;width:75.05pt;height:15.15pt;z-index:251663872"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א</w:t>
                  </w:r>
                  <w:r>
                    <w:rPr>
                      <w:rFonts w:cs="Miriam" w:hint="cs"/>
                      <w:szCs w:val="18"/>
                      <w:rtl/>
                    </w:rPr>
                    <w:t xml:space="preserve">יחוד </w:t>
                  </w:r>
                  <w:r>
                    <w:rPr>
                      <w:rFonts w:cs="Miriam"/>
                      <w:szCs w:val="18"/>
                      <w:rtl/>
                    </w:rPr>
                    <w:t>ה</w:t>
                  </w:r>
                  <w:r>
                    <w:rPr>
                      <w:rFonts w:cs="Miriam" w:hint="cs"/>
                      <w:szCs w:val="18"/>
                      <w:rtl/>
                    </w:rPr>
                    <w:t>תובענות</w:t>
                  </w:r>
                </w:p>
              </w:txbxContent>
            </v:textbox>
            <w10:anchorlock/>
          </v:rect>
        </w:pict>
      </w:r>
      <w:r>
        <w:rPr>
          <w:rStyle w:val="big-number"/>
          <w:rtl/>
        </w:rPr>
        <w:t>26.</w:t>
      </w:r>
      <w:r>
        <w:rPr>
          <w:rStyle w:val="big-number"/>
          <w:rtl/>
        </w:rPr>
        <w:tab/>
      </w:r>
      <w:r>
        <w:rPr>
          <w:rStyle w:val="default"/>
          <w:rFonts w:cs="FrankRuehl"/>
          <w:rtl/>
        </w:rPr>
        <w:t>ב</w:t>
      </w:r>
      <w:r>
        <w:rPr>
          <w:rStyle w:val="default"/>
          <w:rFonts w:cs="FrankRuehl" w:hint="cs"/>
          <w:rtl/>
        </w:rPr>
        <w:t>ית הדין רשאי לאחד תובענות התלויות ועומדות לפניו, לדון בהן במשותף ולתת החלטה אחת בכולן, אם כרוכות בהן אותן בעיות חוק או אותן בעיות עובדה, או בעיות חוק א</w:t>
      </w:r>
      <w:r>
        <w:rPr>
          <w:rStyle w:val="default"/>
          <w:rFonts w:cs="FrankRuehl"/>
          <w:rtl/>
        </w:rPr>
        <w:t>ו</w:t>
      </w:r>
      <w:r>
        <w:rPr>
          <w:rStyle w:val="default"/>
          <w:rFonts w:cs="FrankRuehl" w:hint="cs"/>
          <w:rtl/>
        </w:rPr>
        <w:t xml:space="preserve"> בעיות עובדה דומות.</w:t>
      </w:r>
    </w:p>
    <w:p w:rsidR="0031565A" w:rsidRDefault="0031565A">
      <w:pPr>
        <w:pStyle w:val="P00"/>
        <w:spacing w:before="72"/>
        <w:ind w:left="0" w:right="1134"/>
        <w:rPr>
          <w:rStyle w:val="default"/>
          <w:rFonts w:cs="FrankRuehl"/>
          <w:rtl/>
        </w:rPr>
      </w:pPr>
      <w:bookmarkStart w:id="26" w:name="Seif26"/>
      <w:bookmarkEnd w:id="26"/>
      <w:r>
        <w:rPr>
          <w:lang w:val="he-IL"/>
        </w:rPr>
        <w:pict>
          <v:rect id="_x0000_s1052" style="position:absolute;left:0;text-align:left;margin-left:464.5pt;margin-top:8.05pt;width:75.05pt;height:14pt;z-index:251664896"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צי</w:t>
                  </w:r>
                  <w:r>
                    <w:rPr>
                      <w:rFonts w:cs="Miriam" w:hint="cs"/>
                      <w:szCs w:val="18"/>
                      <w:rtl/>
                    </w:rPr>
                    <w:t>רוף בעלי הדין</w:t>
                  </w:r>
                </w:p>
              </w:txbxContent>
            </v:textbox>
            <w10:anchorlock/>
          </v:rect>
        </w:pict>
      </w:r>
      <w:r>
        <w:rPr>
          <w:rStyle w:val="big-number"/>
          <w:rtl/>
        </w:rPr>
        <w:t>27.</w:t>
      </w:r>
      <w:r>
        <w:rPr>
          <w:rStyle w:val="big-number"/>
          <w:rtl/>
        </w:rPr>
        <w:tab/>
      </w:r>
      <w:r>
        <w:rPr>
          <w:rStyle w:val="default"/>
          <w:rFonts w:cs="FrankRuehl"/>
          <w:rtl/>
        </w:rPr>
        <w:t>ב</w:t>
      </w:r>
      <w:r>
        <w:rPr>
          <w:rStyle w:val="default"/>
          <w:rFonts w:cs="FrankRuehl" w:hint="cs"/>
          <w:rtl/>
        </w:rPr>
        <w:t>ית הדין רשאי בכל שלב של מהלך הדין לצרף כעורר, כמבקש או כמשיב בתובענה שלפניו, כל אדם הנראה לו כמעונין בה.</w:t>
      </w:r>
    </w:p>
    <w:p w:rsidR="0031565A" w:rsidRDefault="0031565A">
      <w:pPr>
        <w:pStyle w:val="P00"/>
        <w:spacing w:before="72"/>
        <w:ind w:left="0" w:right="1134"/>
        <w:rPr>
          <w:rStyle w:val="default"/>
          <w:rFonts w:cs="FrankRuehl"/>
          <w:rtl/>
        </w:rPr>
      </w:pPr>
      <w:bookmarkStart w:id="27" w:name="Seif27"/>
      <w:bookmarkEnd w:id="27"/>
      <w:r>
        <w:rPr>
          <w:lang w:val="he-IL"/>
        </w:rPr>
        <w:pict>
          <v:rect id="_x0000_s1053" style="position:absolute;left:0;text-align:left;margin-left:464.5pt;margin-top:8.05pt;width:75.05pt;height:16pt;z-index:251665920" o:allowincell="f" filled="f" stroked="f" strokecolor="lime" strokeweight=".25pt">
            <v:textbox inset="0,0,0,0">
              <w:txbxContent>
                <w:p w:rsidR="0031565A" w:rsidRDefault="0031565A" w:rsidP="00CF1AE1">
                  <w:pPr>
                    <w:spacing w:line="160" w:lineRule="exact"/>
                    <w:jc w:val="left"/>
                    <w:rPr>
                      <w:rFonts w:cs="Miriam"/>
                      <w:noProof/>
                      <w:szCs w:val="18"/>
                      <w:rtl/>
                    </w:rPr>
                  </w:pPr>
                  <w:r>
                    <w:rPr>
                      <w:rFonts w:cs="Miriam"/>
                      <w:szCs w:val="18"/>
                      <w:rtl/>
                    </w:rPr>
                    <w:t>ש</w:t>
                  </w:r>
                  <w:r>
                    <w:rPr>
                      <w:rFonts w:cs="Miriam" w:hint="cs"/>
                      <w:szCs w:val="18"/>
                      <w:rtl/>
                    </w:rPr>
                    <w:t>ינו</w:t>
                  </w:r>
                  <w:r>
                    <w:rPr>
                      <w:rFonts w:cs="Miriam"/>
                      <w:szCs w:val="18"/>
                      <w:rtl/>
                    </w:rPr>
                    <w:t>י</w:t>
                  </w:r>
                  <w:r>
                    <w:rPr>
                      <w:rFonts w:cs="Miriam" w:hint="cs"/>
                      <w:szCs w:val="18"/>
                      <w:rtl/>
                    </w:rPr>
                    <w:t xml:space="preserve"> הרכב</w:t>
                  </w:r>
                  <w:r w:rsidR="00CF1AE1">
                    <w:rPr>
                      <w:rFonts w:cs="Miriam" w:hint="cs"/>
                      <w:szCs w:val="18"/>
                      <w:rtl/>
                    </w:rPr>
                    <w:t xml:space="preserve"> </w:t>
                  </w:r>
                  <w:r>
                    <w:rPr>
                      <w:rFonts w:cs="Miriam"/>
                      <w:szCs w:val="18"/>
                      <w:rtl/>
                    </w:rPr>
                    <w:t>ב</w:t>
                  </w:r>
                  <w:r>
                    <w:rPr>
                      <w:rFonts w:cs="Miriam" w:hint="cs"/>
                      <w:szCs w:val="18"/>
                      <w:rtl/>
                    </w:rPr>
                    <w:t>ית הדין</w:t>
                  </w:r>
                </w:p>
              </w:txbxContent>
            </v:textbox>
            <w10:anchorlock/>
          </v:rect>
        </w:pict>
      </w:r>
      <w:r>
        <w:rPr>
          <w:rStyle w:val="big-number"/>
          <w:rtl/>
        </w:rPr>
        <w:t>28.</w:t>
      </w:r>
      <w:r>
        <w:rPr>
          <w:rStyle w:val="big-number"/>
          <w:rtl/>
        </w:rPr>
        <w:tab/>
      </w:r>
      <w:r>
        <w:rPr>
          <w:rStyle w:val="default"/>
          <w:rFonts w:cs="FrankRuehl"/>
          <w:rtl/>
        </w:rPr>
        <w:t>נ</w:t>
      </w:r>
      <w:r>
        <w:rPr>
          <w:rStyle w:val="default"/>
          <w:rFonts w:cs="FrankRuehl" w:hint="cs"/>
          <w:rtl/>
        </w:rPr>
        <w:t>בצר מחבר בית דין להמשיך בבירור תובענה, רשאי בית הדין להמשיך בבירור התובענה בהר</w:t>
      </w:r>
      <w:r>
        <w:rPr>
          <w:rStyle w:val="default"/>
          <w:rFonts w:cs="FrankRuehl"/>
          <w:rtl/>
        </w:rPr>
        <w:t>כ</w:t>
      </w:r>
      <w:r>
        <w:rPr>
          <w:rStyle w:val="default"/>
          <w:rFonts w:cs="FrankRuehl" w:hint="cs"/>
          <w:rtl/>
        </w:rPr>
        <w:t>ב אחר, החל מהשלב אליו הגיע הבירור, ורואים את הבירור שקויים בהרכב הקודם כאילו קויים בהרכב החדש.</w:t>
      </w:r>
    </w:p>
    <w:p w:rsidR="0031565A" w:rsidRDefault="0031565A">
      <w:pPr>
        <w:pStyle w:val="P00"/>
        <w:spacing w:before="72"/>
        <w:ind w:left="0" w:right="1134"/>
        <w:rPr>
          <w:rStyle w:val="default"/>
          <w:rFonts w:cs="FrankRuehl"/>
          <w:rtl/>
        </w:rPr>
      </w:pPr>
      <w:bookmarkStart w:id="28" w:name="Seif28"/>
      <w:bookmarkEnd w:id="28"/>
      <w:r>
        <w:rPr>
          <w:lang w:val="he-IL"/>
        </w:rPr>
        <w:pict>
          <v:rect id="_x0000_s1054" style="position:absolute;left:0;text-align:left;margin-left:464.5pt;margin-top:8.05pt;width:75.05pt;height:19.15pt;z-index:251666944"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ה</w:t>
                  </w:r>
                  <w:r>
                    <w:rPr>
                      <w:rFonts w:cs="Miriam" w:hint="cs"/>
                      <w:szCs w:val="18"/>
                      <w:rtl/>
                    </w:rPr>
                    <w:t>חלטת בית הדין</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חלטת בית הדין תיערך בכתב ותיחתם ביד אב-בית-הדין, ואם ישב בית הדין בשלושה, גם על ידי שני חברי בית הדין האחרים.</w:t>
      </w:r>
    </w:p>
    <w:p w:rsidR="0031565A" w:rsidRDefault="0031565A">
      <w:pPr>
        <w:pStyle w:val="P00"/>
        <w:spacing w:before="72"/>
        <w:ind w:left="0" w:right="1134"/>
        <w:rPr>
          <w:rStyle w:val="default"/>
          <w:rFonts w:cs="FrankRuehl"/>
          <w:rtl/>
        </w:rPr>
      </w:pPr>
      <w:bookmarkStart w:id="29" w:name="Seif29"/>
      <w:bookmarkEnd w:id="29"/>
      <w:r>
        <w:rPr>
          <w:lang w:val="he-IL"/>
        </w:rPr>
        <w:pict>
          <v:rect id="_x0000_s1055" style="position:absolute;left:0;text-align:left;margin-left:464.5pt;margin-top:8.05pt;width:75.05pt;height:19.85pt;z-index:251667968"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מ</w:t>
                  </w:r>
                  <w:r>
                    <w:rPr>
                      <w:rFonts w:cs="Miriam" w:hint="cs"/>
                      <w:szCs w:val="18"/>
                      <w:rtl/>
                    </w:rPr>
                    <w:t>סירת העתק הה</w:t>
                  </w:r>
                  <w:r>
                    <w:rPr>
                      <w:rFonts w:cs="Miriam"/>
                      <w:szCs w:val="18"/>
                      <w:rtl/>
                    </w:rPr>
                    <w:t>ח</w:t>
                  </w:r>
                  <w:r>
                    <w:rPr>
                      <w:rFonts w:cs="Miriam" w:hint="cs"/>
                      <w:szCs w:val="18"/>
                      <w:rtl/>
                    </w:rPr>
                    <w:t>לטה</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ע</w:t>
      </w:r>
      <w:r>
        <w:rPr>
          <w:rStyle w:val="default"/>
          <w:rFonts w:cs="FrankRuehl"/>
          <w:rtl/>
        </w:rPr>
        <w:t>ת</w:t>
      </w:r>
      <w:r>
        <w:rPr>
          <w:rStyle w:val="default"/>
          <w:rFonts w:cs="FrankRuehl" w:hint="cs"/>
          <w:rtl/>
        </w:rPr>
        <w:t>ק ההחלטה, מאושר בידי אב-בית-הדין, יישלח בדואר רשום לעורר או למבקש ולמשיב סמוך ככל האפשר למתן ההחלטה.</w:t>
      </w:r>
    </w:p>
    <w:p w:rsidR="0031565A" w:rsidRDefault="0031565A">
      <w:pPr>
        <w:pStyle w:val="P00"/>
        <w:spacing w:before="72"/>
        <w:ind w:left="0" w:right="1134"/>
        <w:rPr>
          <w:rStyle w:val="default"/>
          <w:rFonts w:cs="FrankRuehl"/>
          <w:rtl/>
        </w:rPr>
      </w:pPr>
      <w:bookmarkStart w:id="30" w:name="Seif30"/>
      <w:bookmarkEnd w:id="30"/>
      <w:r>
        <w:rPr>
          <w:lang w:val="he-IL"/>
        </w:rPr>
        <w:pict>
          <v:rect id="_x0000_s1056" style="position:absolute;left:0;text-align:left;margin-left:464.5pt;margin-top:8.05pt;width:75.05pt;height:20.55pt;z-index:251668992" o:allowincell="f" filled="f" stroked="f" strokecolor="lime" strokeweight=".25pt">
            <v:textbox inset="0,0,0,0">
              <w:txbxContent>
                <w:p w:rsidR="0031565A" w:rsidRDefault="0031565A" w:rsidP="00CF1AE1">
                  <w:pPr>
                    <w:spacing w:line="160" w:lineRule="exact"/>
                    <w:jc w:val="left"/>
                    <w:rPr>
                      <w:rFonts w:cs="Miriam"/>
                      <w:noProof/>
                      <w:szCs w:val="18"/>
                      <w:rtl/>
                    </w:rPr>
                  </w:pPr>
                  <w:r>
                    <w:rPr>
                      <w:rFonts w:cs="Miriam"/>
                      <w:szCs w:val="18"/>
                      <w:rtl/>
                    </w:rPr>
                    <w:t>מ</w:t>
                  </w:r>
                  <w:r>
                    <w:rPr>
                      <w:rFonts w:cs="Miriam" w:hint="cs"/>
                      <w:szCs w:val="18"/>
                      <w:rtl/>
                    </w:rPr>
                    <w:t>סירת הזמנות</w:t>
                  </w:r>
                  <w:r w:rsidR="00CF1AE1">
                    <w:rPr>
                      <w:rFonts w:cs="Miriam" w:hint="cs"/>
                      <w:szCs w:val="18"/>
                      <w:rtl/>
                    </w:rPr>
                    <w:t xml:space="preserve"> </w:t>
                  </w:r>
                  <w:r>
                    <w:rPr>
                      <w:rFonts w:cs="Miriam"/>
                      <w:szCs w:val="18"/>
                      <w:rtl/>
                    </w:rPr>
                    <w:t>א</w:t>
                  </w:r>
                  <w:r>
                    <w:rPr>
                      <w:rFonts w:cs="Miriam" w:hint="cs"/>
                      <w:szCs w:val="18"/>
                      <w:rtl/>
                    </w:rPr>
                    <w:t>ו מסמכים</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הוראות החלות על מסירת הזמנות או מסמכים בבתי המשפט המחוזיים בענינים אזרחיים יחולו על מסירת הזמנות או מסמכים לפי תקנות אלה בש</w:t>
      </w:r>
      <w:r>
        <w:rPr>
          <w:rStyle w:val="default"/>
          <w:rFonts w:cs="FrankRuehl"/>
          <w:rtl/>
        </w:rPr>
        <w:t>י</w:t>
      </w:r>
      <w:r>
        <w:rPr>
          <w:rStyle w:val="default"/>
          <w:rFonts w:cs="FrankRuehl" w:hint="cs"/>
          <w:rtl/>
        </w:rPr>
        <w:t>נויים המחוייבים לפי הענין ובשינויים האמורים בתקנה 32.</w:t>
      </w:r>
    </w:p>
    <w:p w:rsidR="0031565A" w:rsidRDefault="0031565A">
      <w:pPr>
        <w:pStyle w:val="P00"/>
        <w:spacing w:before="72"/>
        <w:ind w:left="0" w:right="1134"/>
        <w:rPr>
          <w:rStyle w:val="default"/>
          <w:rFonts w:cs="FrankRuehl"/>
          <w:rtl/>
        </w:rPr>
      </w:pPr>
      <w:bookmarkStart w:id="31" w:name="Seif31"/>
      <w:bookmarkEnd w:id="31"/>
      <w:r>
        <w:rPr>
          <w:lang w:val="he-IL"/>
        </w:rPr>
        <w:pict>
          <v:rect id="_x0000_s1057" style="position:absolute;left:0;text-align:left;margin-left:464.5pt;margin-top:8.05pt;width:75.05pt;height:30.6pt;z-index:251670016" o:allowincell="f" filled="f" stroked="f" strokecolor="lime" strokeweight=".25pt">
            <v:textbox inset="0,0,0,0">
              <w:txbxContent>
                <w:p w:rsidR="0031565A" w:rsidRDefault="0031565A" w:rsidP="00CF1AE1">
                  <w:pPr>
                    <w:spacing w:line="160" w:lineRule="exact"/>
                    <w:jc w:val="left"/>
                    <w:rPr>
                      <w:rFonts w:cs="Miriam"/>
                      <w:noProof/>
                      <w:szCs w:val="18"/>
                      <w:rtl/>
                    </w:rPr>
                  </w:pPr>
                  <w:r>
                    <w:rPr>
                      <w:rFonts w:cs="Miriam"/>
                      <w:szCs w:val="18"/>
                      <w:rtl/>
                    </w:rPr>
                    <w:t>מ</w:t>
                  </w:r>
                  <w:r>
                    <w:rPr>
                      <w:rFonts w:cs="Miriam" w:hint="cs"/>
                      <w:szCs w:val="18"/>
                      <w:rtl/>
                    </w:rPr>
                    <w:t>סירת הזמנה</w:t>
                  </w:r>
                  <w:r w:rsidR="00CF1AE1">
                    <w:rPr>
                      <w:rFonts w:cs="Miriam" w:hint="cs"/>
                      <w:szCs w:val="18"/>
                      <w:rtl/>
                    </w:rPr>
                    <w:t xml:space="preserve"> </w:t>
                  </w:r>
                  <w:r>
                    <w:rPr>
                      <w:rFonts w:cs="Miriam"/>
                      <w:szCs w:val="18"/>
                      <w:rtl/>
                    </w:rPr>
                    <w:t>א</w:t>
                  </w:r>
                  <w:r>
                    <w:rPr>
                      <w:rFonts w:cs="Miriam" w:hint="cs"/>
                      <w:szCs w:val="18"/>
                      <w:rtl/>
                    </w:rPr>
                    <w:t>ו מסמכים</w:t>
                  </w:r>
                  <w:r w:rsidR="00CF1AE1">
                    <w:rPr>
                      <w:rFonts w:cs="Miriam" w:hint="cs"/>
                      <w:noProof/>
                      <w:szCs w:val="18"/>
                      <w:rtl/>
                    </w:rPr>
                    <w:t xml:space="preserve"> </w:t>
                  </w:r>
                  <w:r>
                    <w:rPr>
                      <w:rFonts w:cs="Miriam"/>
                      <w:szCs w:val="18"/>
                      <w:rtl/>
                    </w:rPr>
                    <w:t>ע</w:t>
                  </w:r>
                  <w:r>
                    <w:rPr>
                      <w:rFonts w:cs="Miriam" w:hint="cs"/>
                      <w:szCs w:val="18"/>
                      <w:rtl/>
                    </w:rPr>
                    <w:t>ם אישור המסירה</w:t>
                  </w:r>
                </w:p>
              </w:txbxContent>
            </v:textbox>
            <w10:anchorlock/>
          </v:rect>
        </w:pict>
      </w:r>
      <w:r>
        <w:rPr>
          <w:rStyle w:val="big-number"/>
          <w:rtl/>
        </w:rPr>
        <w:t>32.</w:t>
      </w:r>
      <w:r>
        <w:rPr>
          <w:rStyle w:val="big-number"/>
          <w:rtl/>
        </w:rPr>
        <w:tab/>
      </w:r>
      <w:r>
        <w:rPr>
          <w:rStyle w:val="default"/>
          <w:rFonts w:cs="FrankRuehl"/>
          <w:rtl/>
        </w:rPr>
        <w:t>ב</w:t>
      </w:r>
      <w:r>
        <w:rPr>
          <w:rStyle w:val="default"/>
          <w:rFonts w:cs="FrankRuehl" w:hint="cs"/>
          <w:rtl/>
        </w:rPr>
        <w:t>ית הדין רשאי לשלוח לבעל דין או לבא כוחו הזמנה או מסמך בדואר רשום עם אישור המסירה ולראות באישור המסירה כאמור ראיה למסירת ההזמנה או המסמך; הוראה זו לא תחול ע</w:t>
      </w:r>
      <w:r>
        <w:rPr>
          <w:rStyle w:val="default"/>
          <w:rFonts w:cs="FrankRuehl"/>
          <w:rtl/>
        </w:rPr>
        <w:t>ל</w:t>
      </w:r>
      <w:r>
        <w:rPr>
          <w:rStyle w:val="default"/>
          <w:rFonts w:cs="FrankRuehl" w:hint="cs"/>
          <w:rtl/>
        </w:rPr>
        <w:t xml:space="preserve"> מסירת הודעה בדבר פסק דין או החלטה שניתנו שלא בפני בעל הדין ועל מסירת העתק מאושר של פסק דין או של החלטה כאמור לבעל הדין.</w:t>
      </w:r>
    </w:p>
    <w:p w:rsidR="0031565A" w:rsidRDefault="0031565A" w:rsidP="009B7530">
      <w:pPr>
        <w:pStyle w:val="P00"/>
        <w:spacing w:before="72"/>
        <w:ind w:left="0" w:right="1134"/>
        <w:rPr>
          <w:rStyle w:val="default"/>
          <w:rFonts w:cs="FrankRuehl"/>
          <w:rtl/>
        </w:rPr>
      </w:pPr>
      <w:bookmarkStart w:id="32" w:name="Seif32"/>
      <w:bookmarkEnd w:id="32"/>
      <w:r>
        <w:rPr>
          <w:lang w:val="he-IL"/>
        </w:rPr>
        <w:pict>
          <v:rect id="_x0000_s1058" style="position:absolute;left:0;text-align:left;margin-left:464.5pt;margin-top:8.05pt;width:75.05pt;height:25.25pt;z-index:251671040"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ע</w:t>
                  </w:r>
                  <w:r>
                    <w:rPr>
                      <w:rFonts w:cs="Miriam" w:hint="cs"/>
                      <w:szCs w:val="18"/>
                      <w:rtl/>
                    </w:rPr>
                    <w:t>רעורים על החלטת בית הדין</w:t>
                  </w:r>
                </w:p>
              </w:txbxContent>
            </v:textbox>
            <w10:anchorlock/>
          </v:rect>
        </w:pict>
      </w:r>
      <w:r>
        <w:rPr>
          <w:rStyle w:val="big-number"/>
          <w:rtl/>
        </w:rPr>
        <w:t>33.</w:t>
      </w:r>
      <w:r>
        <w:rPr>
          <w:rStyle w:val="big-number"/>
          <w:rtl/>
        </w:rPr>
        <w:tab/>
      </w:r>
      <w:r>
        <w:rPr>
          <w:rStyle w:val="default"/>
          <w:rFonts w:cs="FrankRuehl"/>
          <w:rtl/>
        </w:rPr>
        <w:t>ע</w:t>
      </w:r>
      <w:r>
        <w:rPr>
          <w:rStyle w:val="default"/>
          <w:rFonts w:cs="FrankRuehl" w:hint="cs"/>
          <w:rtl/>
        </w:rPr>
        <w:t>ל הדיון בערעור על פסקי דין של בית הדין ובערעור על החלטותיו יחולו הוראות פרק כ"ה לתקנות סדרי הדין האז</w:t>
      </w:r>
      <w:r>
        <w:rPr>
          <w:rStyle w:val="default"/>
          <w:rFonts w:cs="FrankRuehl"/>
          <w:rtl/>
        </w:rPr>
        <w:t>ר</w:t>
      </w:r>
      <w:r>
        <w:rPr>
          <w:rStyle w:val="default"/>
          <w:rFonts w:cs="FrankRuehl" w:hint="cs"/>
          <w:rtl/>
        </w:rPr>
        <w:t>חי, תשכ"ג</w:t>
      </w:r>
      <w:r w:rsidR="009B7530">
        <w:rPr>
          <w:rStyle w:val="default"/>
          <w:rFonts w:cs="FrankRuehl" w:hint="cs"/>
          <w:rtl/>
        </w:rPr>
        <w:t>-</w:t>
      </w:r>
      <w:r>
        <w:rPr>
          <w:rStyle w:val="default"/>
          <w:rFonts w:cs="FrankRuehl" w:hint="cs"/>
          <w:rtl/>
        </w:rPr>
        <w:t>1963, בשינויים המחוייבים לפי הענין.</w:t>
      </w:r>
    </w:p>
    <w:p w:rsidR="0031565A" w:rsidRDefault="0031565A">
      <w:pPr>
        <w:pStyle w:val="P00"/>
        <w:spacing w:before="72"/>
        <w:ind w:left="0" w:right="1134"/>
        <w:rPr>
          <w:rStyle w:val="default"/>
          <w:rFonts w:cs="FrankRuehl" w:hint="cs"/>
          <w:rtl/>
        </w:rPr>
      </w:pPr>
      <w:bookmarkStart w:id="33" w:name="Seif33"/>
      <w:bookmarkEnd w:id="33"/>
      <w:r>
        <w:rPr>
          <w:lang w:val="he-IL"/>
        </w:rPr>
        <w:pict>
          <v:rect id="_x0000_s1059" style="position:absolute;left:0;text-align:left;margin-left:464.5pt;margin-top:8.05pt;width:75.05pt;height:28pt;z-index:251672064" o:allowincell="f" filled="f" stroked="f" strokecolor="lime" strokeweight=".25pt">
            <v:textbox inset="0,0,0,0">
              <w:txbxContent>
                <w:p w:rsidR="00CF1AE1" w:rsidRDefault="0031565A">
                  <w:pPr>
                    <w:spacing w:line="160" w:lineRule="exact"/>
                    <w:jc w:val="left"/>
                    <w:rPr>
                      <w:rFonts w:cs="Miriam" w:hint="cs"/>
                      <w:szCs w:val="18"/>
                      <w:rtl/>
                    </w:rPr>
                  </w:pPr>
                  <w:r>
                    <w:rPr>
                      <w:rFonts w:cs="Miriam"/>
                      <w:szCs w:val="18"/>
                      <w:rtl/>
                    </w:rPr>
                    <w:t>ש</w:t>
                  </w:r>
                  <w:r>
                    <w:rPr>
                      <w:rFonts w:cs="Miriam" w:hint="cs"/>
                      <w:szCs w:val="18"/>
                      <w:rtl/>
                    </w:rPr>
                    <w:t>כר לנציגי ציב</w:t>
                  </w:r>
                  <w:r>
                    <w:rPr>
                      <w:rFonts w:cs="Miriam"/>
                      <w:szCs w:val="18"/>
                      <w:rtl/>
                    </w:rPr>
                    <w:t>ו</w:t>
                  </w:r>
                  <w:r w:rsidR="00CF1AE1">
                    <w:rPr>
                      <w:rFonts w:cs="Miriam" w:hint="cs"/>
                      <w:szCs w:val="18"/>
                      <w:rtl/>
                    </w:rPr>
                    <w:t>ר</w:t>
                  </w:r>
                </w:p>
                <w:p w:rsidR="0031565A" w:rsidRDefault="0031565A">
                  <w:pPr>
                    <w:spacing w:line="160" w:lineRule="exact"/>
                    <w:jc w:val="left"/>
                    <w:rPr>
                      <w:rFonts w:cs="Miriam"/>
                      <w:noProof/>
                      <w:szCs w:val="18"/>
                      <w:rtl/>
                    </w:rPr>
                  </w:pPr>
                  <w:r>
                    <w:rPr>
                      <w:rFonts w:cs="Miriam" w:hint="cs"/>
                      <w:szCs w:val="18"/>
                      <w:rtl/>
                    </w:rPr>
                    <w:t xml:space="preserve">תק' </w:t>
                  </w:r>
                  <w:r w:rsidR="009B7530">
                    <w:rPr>
                      <w:rFonts w:cs="Miriam" w:hint="cs"/>
                      <w:szCs w:val="18"/>
                      <w:rtl/>
                    </w:rPr>
                    <w:t xml:space="preserve">(מס' 2) </w:t>
                  </w:r>
                  <w:r w:rsidR="009B7530">
                    <w:rPr>
                      <w:rFonts w:cs="Miriam"/>
                      <w:szCs w:val="18"/>
                      <w:rtl/>
                    </w:rPr>
                    <w:br/>
                  </w:r>
                  <w:r>
                    <w:rPr>
                      <w:rFonts w:cs="Miriam" w:hint="cs"/>
                      <w:szCs w:val="18"/>
                      <w:rtl/>
                    </w:rPr>
                    <w:t>תש"ם</w:t>
                  </w:r>
                  <w:r w:rsidR="00CF1AE1">
                    <w:rPr>
                      <w:rFonts w:cs="Miriam" w:hint="cs"/>
                      <w:szCs w:val="18"/>
                      <w:rtl/>
                    </w:rPr>
                    <w:t>-</w:t>
                  </w:r>
                  <w:r>
                    <w:rPr>
                      <w:rFonts w:cs="Miriam" w:hint="cs"/>
                      <w:szCs w:val="18"/>
                      <w:rtl/>
                    </w:rPr>
                    <w:t>1980</w:t>
                  </w:r>
                </w:p>
              </w:txbxContent>
            </v:textbox>
            <w10:anchorlock/>
          </v:rect>
        </w:pict>
      </w:r>
      <w:r>
        <w:rPr>
          <w:rStyle w:val="big-number"/>
          <w:rtl/>
        </w:rPr>
        <w:t>34.</w:t>
      </w:r>
      <w:r>
        <w:rPr>
          <w:rStyle w:val="big-number"/>
          <w:rtl/>
        </w:rPr>
        <w:tab/>
      </w:r>
      <w:r>
        <w:rPr>
          <w:rStyle w:val="default"/>
          <w:rFonts w:cs="FrankRuehl"/>
          <w:rtl/>
        </w:rPr>
        <w:t>ל</w:t>
      </w:r>
      <w:r>
        <w:rPr>
          <w:rStyle w:val="default"/>
          <w:rFonts w:cs="FrankRuehl" w:hint="cs"/>
          <w:rtl/>
        </w:rPr>
        <w:t>נציג ציבור בבית הדין, למעט נציג שהוא עובד מדינה, ישולם שכר של 76 שקלים בעד כל יום שבו השתתף בישיבת בית הדין.</w:t>
      </w:r>
    </w:p>
    <w:p w:rsidR="002C782B" w:rsidRPr="006D7262" w:rsidRDefault="002C782B" w:rsidP="002C782B">
      <w:pPr>
        <w:pStyle w:val="P00"/>
        <w:spacing w:before="0"/>
        <w:ind w:left="0" w:right="1134"/>
        <w:rPr>
          <w:rFonts w:hint="cs"/>
          <w:b/>
          <w:bCs/>
          <w:vanish/>
          <w:szCs w:val="20"/>
          <w:shd w:val="clear" w:color="auto" w:fill="FFFF99"/>
          <w:rtl/>
        </w:rPr>
      </w:pPr>
      <w:bookmarkStart w:id="34" w:name="Rov42"/>
      <w:r w:rsidRPr="006D7262">
        <w:rPr>
          <w:rFonts w:hint="cs"/>
          <w:vanish/>
          <w:color w:val="FF0000"/>
          <w:szCs w:val="20"/>
          <w:shd w:val="clear" w:color="auto" w:fill="FFFF99"/>
          <w:rtl/>
        </w:rPr>
        <w:t>מיום 22.3.1976</w:t>
      </w:r>
    </w:p>
    <w:p w:rsidR="002C782B" w:rsidRPr="006D7262" w:rsidRDefault="002C782B" w:rsidP="002C782B">
      <w:pPr>
        <w:pStyle w:val="P00"/>
        <w:spacing w:before="0"/>
        <w:ind w:left="0" w:right="1134"/>
        <w:rPr>
          <w:rFonts w:hint="cs"/>
          <w:b/>
          <w:bCs/>
          <w:vanish/>
          <w:szCs w:val="20"/>
          <w:shd w:val="clear" w:color="auto" w:fill="FFFF99"/>
          <w:rtl/>
        </w:rPr>
      </w:pPr>
      <w:r w:rsidRPr="006D7262">
        <w:rPr>
          <w:rFonts w:hint="cs"/>
          <w:b/>
          <w:bCs/>
          <w:vanish/>
          <w:szCs w:val="20"/>
          <w:shd w:val="clear" w:color="auto" w:fill="FFFF99"/>
          <w:rtl/>
        </w:rPr>
        <w:t>תק' תשל"ו-1976</w:t>
      </w:r>
    </w:p>
    <w:p w:rsidR="002C782B" w:rsidRPr="006D7262" w:rsidRDefault="002C782B" w:rsidP="002C782B">
      <w:pPr>
        <w:pStyle w:val="P00"/>
        <w:spacing w:before="0"/>
        <w:ind w:left="0" w:right="1134"/>
        <w:rPr>
          <w:rFonts w:hint="cs"/>
          <w:vanish/>
          <w:szCs w:val="20"/>
          <w:shd w:val="clear" w:color="auto" w:fill="FFFF99"/>
          <w:rtl/>
        </w:rPr>
      </w:pPr>
      <w:hyperlink r:id="rId6" w:history="1">
        <w:r w:rsidRPr="006D7262">
          <w:rPr>
            <w:rStyle w:val="Hyperlink"/>
            <w:rFonts w:hint="cs"/>
            <w:vanish/>
            <w:szCs w:val="20"/>
            <w:shd w:val="clear" w:color="auto" w:fill="FFFF99"/>
            <w:rtl/>
          </w:rPr>
          <w:t>ק"ת תשל"ו מס' 3497</w:t>
        </w:r>
      </w:hyperlink>
      <w:r w:rsidRPr="006D7262">
        <w:rPr>
          <w:rFonts w:hint="cs"/>
          <w:vanish/>
          <w:szCs w:val="20"/>
          <w:shd w:val="clear" w:color="auto" w:fill="FFFF99"/>
          <w:rtl/>
        </w:rPr>
        <w:t xml:space="preserve"> מיום 22.3.1976 עמ' 1186</w:t>
      </w:r>
    </w:p>
    <w:p w:rsidR="00E07494" w:rsidRPr="006D7262" w:rsidRDefault="00E07494" w:rsidP="00E07494">
      <w:pPr>
        <w:pStyle w:val="P00"/>
        <w:ind w:left="0" w:right="1134"/>
        <w:rPr>
          <w:rStyle w:val="default"/>
          <w:rFonts w:cs="FrankRuehl" w:hint="cs"/>
          <w:vanish/>
          <w:sz w:val="22"/>
          <w:szCs w:val="22"/>
          <w:shd w:val="clear" w:color="auto" w:fill="FFFF99"/>
          <w:rtl/>
        </w:rPr>
      </w:pPr>
      <w:r w:rsidRPr="006D7262">
        <w:rPr>
          <w:rFonts w:hint="cs"/>
          <w:vanish/>
          <w:sz w:val="22"/>
          <w:szCs w:val="22"/>
          <w:shd w:val="clear" w:color="auto" w:fill="FFFF99"/>
          <w:rtl/>
        </w:rPr>
        <w:t>34.</w:t>
      </w:r>
      <w:r w:rsidRPr="006D7262">
        <w:rPr>
          <w:rFonts w:hint="cs"/>
          <w:vanish/>
          <w:sz w:val="22"/>
          <w:szCs w:val="22"/>
          <w:shd w:val="clear" w:color="auto" w:fill="FFFF99"/>
          <w:rtl/>
        </w:rPr>
        <w:tab/>
      </w:r>
      <w:r w:rsidRPr="006D7262">
        <w:rPr>
          <w:rStyle w:val="default"/>
          <w:rFonts w:cs="FrankRuehl"/>
          <w:vanish/>
          <w:sz w:val="22"/>
          <w:szCs w:val="22"/>
          <w:shd w:val="clear" w:color="auto" w:fill="FFFF99"/>
          <w:rtl/>
        </w:rPr>
        <w:t>ל</w:t>
      </w:r>
      <w:r w:rsidRPr="006D7262">
        <w:rPr>
          <w:rStyle w:val="default"/>
          <w:rFonts w:cs="FrankRuehl" w:hint="cs"/>
          <w:vanish/>
          <w:sz w:val="22"/>
          <w:szCs w:val="22"/>
          <w:shd w:val="clear" w:color="auto" w:fill="FFFF99"/>
          <w:rtl/>
        </w:rPr>
        <w:t xml:space="preserve">נציג ציבור בבית הדין, למעט נציג שהוא עובד מדינה, ישולם שכר של </w:t>
      </w:r>
      <w:r w:rsidRPr="006D7262">
        <w:rPr>
          <w:rStyle w:val="default"/>
          <w:rFonts w:cs="FrankRuehl" w:hint="cs"/>
          <w:strike/>
          <w:vanish/>
          <w:sz w:val="22"/>
          <w:szCs w:val="22"/>
          <w:shd w:val="clear" w:color="auto" w:fill="FFFF99"/>
          <w:rtl/>
        </w:rPr>
        <w:t>30</w:t>
      </w:r>
      <w:r w:rsidRPr="006D7262">
        <w:rPr>
          <w:rStyle w:val="default"/>
          <w:rFonts w:cs="FrankRuehl" w:hint="cs"/>
          <w:vanish/>
          <w:sz w:val="22"/>
          <w:szCs w:val="22"/>
          <w:shd w:val="clear" w:color="auto" w:fill="FFFF99"/>
          <w:rtl/>
        </w:rPr>
        <w:t xml:space="preserve"> </w:t>
      </w:r>
      <w:r w:rsidRPr="006D7262">
        <w:rPr>
          <w:rStyle w:val="default"/>
          <w:rFonts w:cs="FrankRuehl" w:hint="cs"/>
          <w:vanish/>
          <w:sz w:val="22"/>
          <w:szCs w:val="22"/>
          <w:u w:val="single"/>
          <w:shd w:val="clear" w:color="auto" w:fill="FFFF99"/>
          <w:rtl/>
        </w:rPr>
        <w:t>100</w:t>
      </w:r>
      <w:r w:rsidRPr="006D7262">
        <w:rPr>
          <w:rStyle w:val="default"/>
          <w:rFonts w:cs="FrankRuehl" w:hint="cs"/>
          <w:vanish/>
          <w:sz w:val="22"/>
          <w:szCs w:val="22"/>
          <w:shd w:val="clear" w:color="auto" w:fill="FFFF99"/>
          <w:rtl/>
        </w:rPr>
        <w:t xml:space="preserve"> לירות בעד כל יום שבו השתתף בישיבת בית הדין.</w:t>
      </w:r>
    </w:p>
    <w:p w:rsidR="00CC07C7" w:rsidRPr="006D7262" w:rsidRDefault="00CC07C7" w:rsidP="00CC07C7">
      <w:pPr>
        <w:pStyle w:val="P00"/>
        <w:spacing w:before="0"/>
        <w:ind w:left="0" w:right="1134"/>
        <w:rPr>
          <w:rFonts w:hint="cs"/>
          <w:vanish/>
          <w:color w:val="FF0000"/>
          <w:szCs w:val="20"/>
          <w:shd w:val="clear" w:color="auto" w:fill="FFFF99"/>
          <w:rtl/>
        </w:rPr>
      </w:pPr>
    </w:p>
    <w:p w:rsidR="00CC07C7" w:rsidRPr="006D7262" w:rsidRDefault="00CC07C7" w:rsidP="00CC07C7">
      <w:pPr>
        <w:pStyle w:val="P00"/>
        <w:spacing w:before="0"/>
        <w:ind w:left="0" w:right="1134"/>
        <w:rPr>
          <w:rFonts w:hint="cs"/>
          <w:b/>
          <w:bCs/>
          <w:vanish/>
          <w:szCs w:val="20"/>
          <w:shd w:val="clear" w:color="auto" w:fill="FFFF99"/>
          <w:rtl/>
        </w:rPr>
      </w:pPr>
      <w:r w:rsidRPr="006D7262">
        <w:rPr>
          <w:rFonts w:hint="cs"/>
          <w:vanish/>
          <w:color w:val="FF0000"/>
          <w:szCs w:val="20"/>
          <w:shd w:val="clear" w:color="auto" w:fill="FFFF99"/>
          <w:rtl/>
        </w:rPr>
        <w:t>מיום 1.7.1978</w:t>
      </w:r>
    </w:p>
    <w:p w:rsidR="00CC07C7" w:rsidRPr="006D7262" w:rsidRDefault="00CC07C7" w:rsidP="00CC07C7">
      <w:pPr>
        <w:pStyle w:val="P00"/>
        <w:spacing w:before="0"/>
        <w:ind w:left="0" w:right="1134"/>
        <w:rPr>
          <w:rFonts w:hint="cs"/>
          <w:b/>
          <w:bCs/>
          <w:vanish/>
          <w:szCs w:val="20"/>
          <w:shd w:val="clear" w:color="auto" w:fill="FFFF99"/>
          <w:rtl/>
        </w:rPr>
      </w:pPr>
      <w:r w:rsidRPr="006D7262">
        <w:rPr>
          <w:rFonts w:hint="cs"/>
          <w:b/>
          <w:bCs/>
          <w:vanish/>
          <w:szCs w:val="20"/>
          <w:shd w:val="clear" w:color="auto" w:fill="FFFF99"/>
          <w:rtl/>
        </w:rPr>
        <w:t>תק' תשל"ח-1978</w:t>
      </w:r>
    </w:p>
    <w:p w:rsidR="00CC07C7" w:rsidRPr="006D7262" w:rsidRDefault="00CC07C7" w:rsidP="00CC07C7">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7" w:history="1">
        <w:r w:rsidRPr="006D7262">
          <w:rPr>
            <w:rStyle w:val="Hyperlink"/>
            <w:vanish/>
            <w:sz w:val="20"/>
            <w:szCs w:val="20"/>
            <w:shd w:val="clear" w:color="auto" w:fill="FFFF99"/>
            <w:rtl/>
          </w:rPr>
          <w:t>ק</w:t>
        </w:r>
        <w:r w:rsidRPr="006D7262">
          <w:rPr>
            <w:rStyle w:val="Hyperlink"/>
            <w:rFonts w:hint="cs"/>
            <w:vanish/>
            <w:sz w:val="20"/>
            <w:szCs w:val="20"/>
            <w:shd w:val="clear" w:color="auto" w:fill="FFFF99"/>
            <w:rtl/>
          </w:rPr>
          <w:t>"ת תשל"ח מס' 3858</w:t>
        </w:r>
      </w:hyperlink>
      <w:r w:rsidRPr="006D7262">
        <w:rPr>
          <w:rFonts w:hint="cs"/>
          <w:vanish/>
          <w:sz w:val="20"/>
          <w:szCs w:val="20"/>
          <w:shd w:val="clear" w:color="auto" w:fill="FFFF99"/>
          <w:rtl/>
        </w:rPr>
        <w:t xml:space="preserve"> מיום 13.6.1978 עמ' 1475</w:t>
      </w:r>
    </w:p>
    <w:p w:rsidR="00CC07C7" w:rsidRPr="006D7262" w:rsidRDefault="00CC07C7" w:rsidP="00CC07C7">
      <w:pPr>
        <w:pStyle w:val="P00"/>
        <w:ind w:left="0" w:right="1134"/>
        <w:rPr>
          <w:rStyle w:val="default"/>
          <w:rFonts w:cs="FrankRuehl" w:hint="cs"/>
          <w:vanish/>
          <w:sz w:val="22"/>
          <w:szCs w:val="22"/>
          <w:shd w:val="clear" w:color="auto" w:fill="FFFF99"/>
          <w:rtl/>
        </w:rPr>
      </w:pPr>
      <w:r w:rsidRPr="006D7262">
        <w:rPr>
          <w:rFonts w:hint="cs"/>
          <w:vanish/>
          <w:sz w:val="22"/>
          <w:szCs w:val="22"/>
          <w:shd w:val="clear" w:color="auto" w:fill="FFFF99"/>
          <w:rtl/>
        </w:rPr>
        <w:t>34.</w:t>
      </w:r>
      <w:r w:rsidRPr="006D7262">
        <w:rPr>
          <w:rFonts w:hint="cs"/>
          <w:vanish/>
          <w:sz w:val="22"/>
          <w:szCs w:val="22"/>
          <w:shd w:val="clear" w:color="auto" w:fill="FFFF99"/>
          <w:rtl/>
        </w:rPr>
        <w:tab/>
      </w:r>
      <w:r w:rsidRPr="006D7262">
        <w:rPr>
          <w:rStyle w:val="default"/>
          <w:rFonts w:cs="FrankRuehl"/>
          <w:vanish/>
          <w:sz w:val="22"/>
          <w:szCs w:val="22"/>
          <w:shd w:val="clear" w:color="auto" w:fill="FFFF99"/>
          <w:rtl/>
        </w:rPr>
        <w:t>ל</w:t>
      </w:r>
      <w:r w:rsidRPr="006D7262">
        <w:rPr>
          <w:rStyle w:val="default"/>
          <w:rFonts w:cs="FrankRuehl" w:hint="cs"/>
          <w:vanish/>
          <w:sz w:val="22"/>
          <w:szCs w:val="22"/>
          <w:shd w:val="clear" w:color="auto" w:fill="FFFF99"/>
          <w:rtl/>
        </w:rPr>
        <w:t xml:space="preserve">נציג ציבור בבית הדין, למעט נציג שהוא עובד מדינה, ישולם שכר של </w:t>
      </w:r>
      <w:r w:rsidRPr="006D7262">
        <w:rPr>
          <w:rStyle w:val="default"/>
          <w:rFonts w:cs="FrankRuehl" w:hint="cs"/>
          <w:strike/>
          <w:vanish/>
          <w:sz w:val="22"/>
          <w:szCs w:val="22"/>
          <w:shd w:val="clear" w:color="auto" w:fill="FFFF99"/>
          <w:rtl/>
        </w:rPr>
        <w:t>100</w:t>
      </w:r>
      <w:r w:rsidRPr="006D7262">
        <w:rPr>
          <w:rStyle w:val="default"/>
          <w:rFonts w:cs="FrankRuehl" w:hint="cs"/>
          <w:vanish/>
          <w:sz w:val="22"/>
          <w:szCs w:val="22"/>
          <w:shd w:val="clear" w:color="auto" w:fill="FFFF99"/>
          <w:rtl/>
        </w:rPr>
        <w:t xml:space="preserve"> </w:t>
      </w:r>
      <w:r w:rsidRPr="006D7262">
        <w:rPr>
          <w:rStyle w:val="default"/>
          <w:rFonts w:cs="FrankRuehl" w:hint="cs"/>
          <w:vanish/>
          <w:sz w:val="22"/>
          <w:szCs w:val="22"/>
          <w:u w:val="single"/>
          <w:shd w:val="clear" w:color="auto" w:fill="FFFF99"/>
          <w:rtl/>
        </w:rPr>
        <w:t>225</w:t>
      </w:r>
      <w:r w:rsidRPr="006D7262">
        <w:rPr>
          <w:rStyle w:val="default"/>
          <w:rFonts w:cs="FrankRuehl" w:hint="cs"/>
          <w:vanish/>
          <w:sz w:val="22"/>
          <w:szCs w:val="22"/>
          <w:shd w:val="clear" w:color="auto" w:fill="FFFF99"/>
          <w:rtl/>
        </w:rPr>
        <w:t xml:space="preserve"> לירות בעד כל יום שבו השתתף בישיבת בית הדין.</w:t>
      </w:r>
    </w:p>
    <w:p w:rsidR="00B7707E" w:rsidRPr="006D7262" w:rsidRDefault="00B7707E" w:rsidP="00B7707E">
      <w:pPr>
        <w:pStyle w:val="P00"/>
        <w:spacing w:before="0"/>
        <w:ind w:left="0" w:right="1134"/>
        <w:rPr>
          <w:rFonts w:hint="cs"/>
          <w:vanish/>
          <w:color w:val="FF0000"/>
          <w:szCs w:val="20"/>
          <w:shd w:val="clear" w:color="auto" w:fill="FFFF99"/>
          <w:rtl/>
        </w:rPr>
      </w:pPr>
    </w:p>
    <w:p w:rsidR="00B7707E" w:rsidRPr="006D7262" w:rsidRDefault="00B7707E" w:rsidP="008B1497">
      <w:pPr>
        <w:pStyle w:val="P00"/>
        <w:spacing w:before="0"/>
        <w:ind w:left="0" w:right="1134"/>
        <w:rPr>
          <w:rFonts w:hint="cs"/>
          <w:b/>
          <w:bCs/>
          <w:vanish/>
          <w:szCs w:val="20"/>
          <w:shd w:val="clear" w:color="auto" w:fill="FFFF99"/>
          <w:rtl/>
        </w:rPr>
      </w:pPr>
      <w:r w:rsidRPr="006D7262">
        <w:rPr>
          <w:rFonts w:hint="cs"/>
          <w:vanish/>
          <w:color w:val="FF0000"/>
          <w:szCs w:val="20"/>
          <w:shd w:val="clear" w:color="auto" w:fill="FFFF99"/>
          <w:rtl/>
        </w:rPr>
        <w:t xml:space="preserve">מיום </w:t>
      </w:r>
      <w:r w:rsidR="008B1497" w:rsidRPr="006D7262">
        <w:rPr>
          <w:rFonts w:hint="cs"/>
          <w:vanish/>
          <w:color w:val="FF0000"/>
          <w:szCs w:val="20"/>
          <w:shd w:val="clear" w:color="auto" w:fill="FFFF99"/>
          <w:rtl/>
        </w:rPr>
        <w:t>1.7.1980</w:t>
      </w:r>
    </w:p>
    <w:p w:rsidR="00B7707E" w:rsidRPr="006D7262" w:rsidRDefault="00B7707E" w:rsidP="00674B2D">
      <w:pPr>
        <w:pStyle w:val="P00"/>
        <w:spacing w:before="0"/>
        <w:ind w:left="0" w:right="1134"/>
        <w:rPr>
          <w:rFonts w:hint="cs"/>
          <w:b/>
          <w:bCs/>
          <w:vanish/>
          <w:szCs w:val="20"/>
          <w:shd w:val="clear" w:color="auto" w:fill="FFFF99"/>
          <w:rtl/>
        </w:rPr>
      </w:pPr>
      <w:r w:rsidRPr="006D7262">
        <w:rPr>
          <w:rFonts w:hint="cs"/>
          <w:b/>
          <w:bCs/>
          <w:vanish/>
          <w:szCs w:val="20"/>
          <w:shd w:val="clear" w:color="auto" w:fill="FFFF99"/>
          <w:rtl/>
        </w:rPr>
        <w:t xml:space="preserve">תק' </w:t>
      </w:r>
      <w:r w:rsidR="00674B2D" w:rsidRPr="006D7262">
        <w:rPr>
          <w:rFonts w:hint="cs"/>
          <w:b/>
          <w:bCs/>
          <w:vanish/>
          <w:szCs w:val="20"/>
          <w:shd w:val="clear" w:color="auto" w:fill="FFFF99"/>
          <w:rtl/>
        </w:rPr>
        <w:t xml:space="preserve">(מס' 2) </w:t>
      </w:r>
      <w:r w:rsidRPr="006D7262">
        <w:rPr>
          <w:rFonts w:hint="cs"/>
          <w:b/>
          <w:bCs/>
          <w:vanish/>
          <w:szCs w:val="20"/>
          <w:shd w:val="clear" w:color="auto" w:fill="FFFF99"/>
          <w:rtl/>
        </w:rPr>
        <w:t>תש</w:t>
      </w:r>
      <w:r w:rsidR="00674B2D" w:rsidRPr="006D7262">
        <w:rPr>
          <w:rFonts w:hint="cs"/>
          <w:b/>
          <w:bCs/>
          <w:vanish/>
          <w:szCs w:val="20"/>
          <w:shd w:val="clear" w:color="auto" w:fill="FFFF99"/>
          <w:rtl/>
        </w:rPr>
        <w:t>"ם</w:t>
      </w:r>
      <w:r w:rsidRPr="006D7262">
        <w:rPr>
          <w:rFonts w:hint="cs"/>
          <w:b/>
          <w:bCs/>
          <w:vanish/>
          <w:szCs w:val="20"/>
          <w:shd w:val="clear" w:color="auto" w:fill="FFFF99"/>
          <w:rtl/>
        </w:rPr>
        <w:t>-19</w:t>
      </w:r>
      <w:r w:rsidR="00674B2D" w:rsidRPr="006D7262">
        <w:rPr>
          <w:rFonts w:hint="cs"/>
          <w:b/>
          <w:bCs/>
          <w:vanish/>
          <w:szCs w:val="20"/>
          <w:shd w:val="clear" w:color="auto" w:fill="FFFF99"/>
          <w:rtl/>
        </w:rPr>
        <w:t>80</w:t>
      </w:r>
    </w:p>
    <w:p w:rsidR="00B7707E" w:rsidRPr="006D7262" w:rsidRDefault="00B7707E" w:rsidP="000A65D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 w:history="1">
        <w:r w:rsidRPr="006D7262">
          <w:rPr>
            <w:rStyle w:val="Hyperlink"/>
            <w:vanish/>
            <w:sz w:val="20"/>
            <w:szCs w:val="20"/>
            <w:shd w:val="clear" w:color="auto" w:fill="FFFF99"/>
            <w:rtl/>
          </w:rPr>
          <w:t>ק</w:t>
        </w:r>
        <w:r w:rsidRPr="006D7262">
          <w:rPr>
            <w:rStyle w:val="Hyperlink"/>
            <w:rFonts w:hint="cs"/>
            <w:vanish/>
            <w:sz w:val="20"/>
            <w:szCs w:val="20"/>
            <w:shd w:val="clear" w:color="auto" w:fill="FFFF99"/>
            <w:rtl/>
          </w:rPr>
          <w:t>"ת תש"ם מס' 4158</w:t>
        </w:r>
      </w:hyperlink>
      <w:r w:rsidRPr="006D7262">
        <w:rPr>
          <w:rFonts w:hint="cs"/>
          <w:vanish/>
          <w:sz w:val="20"/>
          <w:szCs w:val="20"/>
          <w:shd w:val="clear" w:color="auto" w:fill="FFFF99"/>
          <w:rtl/>
        </w:rPr>
        <w:t xml:space="preserve"> מיום 25.8.1980 עמ' 2290</w:t>
      </w:r>
    </w:p>
    <w:p w:rsidR="00CC07C7" w:rsidRPr="009B7530" w:rsidRDefault="000A65DE" w:rsidP="009B7530">
      <w:pPr>
        <w:pStyle w:val="P00"/>
        <w:ind w:left="0" w:right="1134"/>
        <w:rPr>
          <w:rStyle w:val="default"/>
          <w:rFonts w:cs="FrankRuehl" w:hint="cs"/>
          <w:sz w:val="2"/>
          <w:szCs w:val="2"/>
          <w:rtl/>
        </w:rPr>
      </w:pPr>
      <w:r w:rsidRPr="006D7262">
        <w:rPr>
          <w:rFonts w:hint="cs"/>
          <w:vanish/>
          <w:sz w:val="22"/>
          <w:szCs w:val="22"/>
          <w:shd w:val="clear" w:color="auto" w:fill="FFFF99"/>
          <w:rtl/>
        </w:rPr>
        <w:t>34.</w:t>
      </w:r>
      <w:r w:rsidRPr="006D7262">
        <w:rPr>
          <w:rFonts w:hint="cs"/>
          <w:vanish/>
          <w:sz w:val="22"/>
          <w:szCs w:val="22"/>
          <w:shd w:val="clear" w:color="auto" w:fill="FFFF99"/>
          <w:rtl/>
        </w:rPr>
        <w:tab/>
      </w:r>
      <w:r w:rsidRPr="006D7262">
        <w:rPr>
          <w:rStyle w:val="default"/>
          <w:rFonts w:cs="FrankRuehl"/>
          <w:vanish/>
          <w:sz w:val="22"/>
          <w:szCs w:val="22"/>
          <w:shd w:val="clear" w:color="auto" w:fill="FFFF99"/>
          <w:rtl/>
        </w:rPr>
        <w:t>ל</w:t>
      </w:r>
      <w:r w:rsidRPr="006D7262">
        <w:rPr>
          <w:rStyle w:val="default"/>
          <w:rFonts w:cs="FrankRuehl" w:hint="cs"/>
          <w:vanish/>
          <w:sz w:val="22"/>
          <w:szCs w:val="22"/>
          <w:shd w:val="clear" w:color="auto" w:fill="FFFF99"/>
          <w:rtl/>
        </w:rPr>
        <w:t xml:space="preserve">נציג ציבור בבית הדין, למעט נציג שהוא עובד מדינה, ישולם שכר של </w:t>
      </w:r>
      <w:r w:rsidRPr="006D7262">
        <w:rPr>
          <w:rStyle w:val="default"/>
          <w:rFonts w:cs="FrankRuehl" w:hint="cs"/>
          <w:strike/>
          <w:vanish/>
          <w:sz w:val="22"/>
          <w:szCs w:val="22"/>
          <w:shd w:val="clear" w:color="auto" w:fill="FFFF99"/>
          <w:rtl/>
        </w:rPr>
        <w:t>225 לירות</w:t>
      </w:r>
      <w:r w:rsidR="009B7530" w:rsidRPr="006D7262">
        <w:rPr>
          <w:rStyle w:val="default"/>
          <w:rFonts w:cs="FrankRuehl" w:hint="cs"/>
          <w:vanish/>
          <w:sz w:val="22"/>
          <w:szCs w:val="22"/>
          <w:shd w:val="clear" w:color="auto" w:fill="FFFF99"/>
          <w:rtl/>
        </w:rPr>
        <w:t xml:space="preserve"> </w:t>
      </w:r>
      <w:r w:rsidR="009B7530" w:rsidRPr="006D7262">
        <w:rPr>
          <w:rStyle w:val="default"/>
          <w:rFonts w:cs="FrankRuehl" w:hint="cs"/>
          <w:vanish/>
          <w:sz w:val="22"/>
          <w:szCs w:val="22"/>
          <w:u w:val="single"/>
          <w:shd w:val="clear" w:color="auto" w:fill="FFFF99"/>
          <w:rtl/>
        </w:rPr>
        <w:t>76 שקלים</w:t>
      </w:r>
      <w:r w:rsidRPr="006D7262">
        <w:rPr>
          <w:rStyle w:val="default"/>
          <w:rFonts w:cs="FrankRuehl" w:hint="cs"/>
          <w:vanish/>
          <w:sz w:val="22"/>
          <w:szCs w:val="22"/>
          <w:shd w:val="clear" w:color="auto" w:fill="FFFF99"/>
          <w:rtl/>
        </w:rPr>
        <w:t xml:space="preserve"> בעד כל יום שבו השתתף בישיבת בית הדין.</w:t>
      </w:r>
      <w:bookmarkEnd w:id="34"/>
    </w:p>
    <w:p w:rsidR="0031565A" w:rsidRDefault="0031565A" w:rsidP="009B7530">
      <w:pPr>
        <w:pStyle w:val="P00"/>
        <w:spacing w:before="72"/>
        <w:ind w:left="0" w:right="1134"/>
        <w:rPr>
          <w:rStyle w:val="default"/>
          <w:rFonts w:cs="FrankRuehl"/>
          <w:rtl/>
        </w:rPr>
      </w:pPr>
      <w:bookmarkStart w:id="35" w:name="Seif34"/>
      <w:bookmarkEnd w:id="35"/>
      <w:r>
        <w:rPr>
          <w:lang w:val="he-IL"/>
        </w:rPr>
        <w:pict>
          <v:rect id="_x0000_s1060" style="position:absolute;left:0;text-align:left;margin-left:464.5pt;margin-top:8.05pt;width:75.05pt;height:20.75pt;z-index:251673088" o:allowincell="f" filled="f" stroked="f" strokecolor="lime" strokeweight=".25pt">
            <v:textbox style="mso-next-textbox:#_x0000_s1060" inset="0,0,0,0">
              <w:txbxContent>
                <w:p w:rsidR="0031565A" w:rsidRDefault="0031565A" w:rsidP="00CF1AE1">
                  <w:pPr>
                    <w:spacing w:line="160" w:lineRule="exact"/>
                    <w:jc w:val="left"/>
                    <w:rPr>
                      <w:rFonts w:cs="Miriam"/>
                      <w:noProof/>
                      <w:szCs w:val="18"/>
                      <w:rtl/>
                    </w:rPr>
                  </w:pPr>
                  <w:r>
                    <w:rPr>
                      <w:rFonts w:cs="Miriam"/>
                      <w:szCs w:val="18"/>
                      <w:rtl/>
                    </w:rPr>
                    <w:t>א</w:t>
                  </w:r>
                  <w:r>
                    <w:rPr>
                      <w:rFonts w:cs="Miriam" w:hint="cs"/>
                      <w:szCs w:val="18"/>
                      <w:rtl/>
                    </w:rPr>
                    <w:t>גרו</w:t>
                  </w:r>
                  <w:r>
                    <w:rPr>
                      <w:rFonts w:cs="Miriam"/>
                      <w:szCs w:val="18"/>
                      <w:rtl/>
                    </w:rPr>
                    <w:t>ת</w:t>
                  </w:r>
                  <w:r w:rsidR="00CF1AE1">
                    <w:rPr>
                      <w:rFonts w:cs="Miriam" w:hint="cs"/>
                      <w:szCs w:val="18"/>
                      <w:rtl/>
                    </w:rPr>
                    <w:t xml:space="preserve"> </w:t>
                  </w:r>
                  <w:r>
                    <w:rPr>
                      <w:rFonts w:cs="Miriam"/>
                      <w:szCs w:val="18"/>
                      <w:rtl/>
                    </w:rPr>
                    <w:t>ש</w:t>
                  </w:r>
                  <w:r>
                    <w:rPr>
                      <w:rFonts w:cs="Miriam" w:hint="cs"/>
                      <w:szCs w:val="18"/>
                      <w:rtl/>
                    </w:rPr>
                    <w:t>לא לפי התוספת</w:t>
                  </w:r>
                </w:p>
              </w:txbxContent>
            </v:textbox>
            <w10:anchorlock/>
          </v:rect>
        </w:pict>
      </w:r>
      <w:r>
        <w:rPr>
          <w:rStyle w:val="big-number"/>
          <w:rtl/>
        </w:rPr>
        <w:t>35.</w:t>
      </w:r>
      <w:r>
        <w:rPr>
          <w:rStyle w:val="big-number"/>
          <w:rtl/>
        </w:rPr>
        <w:tab/>
      </w:r>
      <w:r>
        <w:rPr>
          <w:rStyle w:val="default"/>
          <w:rFonts w:cs="FrankRuehl"/>
          <w:rtl/>
        </w:rPr>
        <w:t>ב</w:t>
      </w:r>
      <w:r>
        <w:rPr>
          <w:rStyle w:val="default"/>
          <w:rFonts w:cs="FrankRuehl" w:hint="cs"/>
          <w:rtl/>
        </w:rPr>
        <w:t>עד הליכים וענינים שאינם מפורטים בתוספת ישולמו האגרות המשתלמות בעד אותם הליכים וענינים בבית משפט שלום לפי תקנות בית המשפט (אגרות), תשי"ז</w:t>
      </w:r>
      <w:r w:rsidR="009B7530">
        <w:rPr>
          <w:rStyle w:val="default"/>
          <w:rFonts w:cs="FrankRuehl" w:hint="cs"/>
          <w:rtl/>
        </w:rPr>
        <w:t>-</w:t>
      </w:r>
      <w:r>
        <w:rPr>
          <w:rStyle w:val="default"/>
          <w:rFonts w:cs="FrankRuehl" w:hint="cs"/>
          <w:rtl/>
        </w:rPr>
        <w:t>1957.</w:t>
      </w:r>
    </w:p>
    <w:p w:rsidR="0031565A" w:rsidRDefault="0031565A">
      <w:pPr>
        <w:pStyle w:val="P00"/>
        <w:spacing w:before="72"/>
        <w:ind w:left="0" w:right="1134"/>
        <w:rPr>
          <w:rStyle w:val="default"/>
          <w:rFonts w:cs="FrankRuehl" w:hint="cs"/>
          <w:rtl/>
        </w:rPr>
      </w:pPr>
      <w:bookmarkStart w:id="36" w:name="Seif35"/>
      <w:bookmarkEnd w:id="36"/>
      <w:r>
        <w:rPr>
          <w:lang w:val="he-IL"/>
        </w:rPr>
        <w:pict>
          <v:rect id="_x0000_s1061" style="position:absolute;left:0;text-align:left;margin-left:464.5pt;margin-top:8.05pt;width:75.05pt;height:27.05pt;z-index:251674112"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א</w:t>
                  </w:r>
                  <w:r>
                    <w:rPr>
                      <w:rFonts w:cs="Miriam" w:hint="cs"/>
                      <w:szCs w:val="18"/>
                      <w:rtl/>
                    </w:rPr>
                    <w:t>גרות לפי התוספת</w:t>
                  </w:r>
                </w:p>
                <w:p w:rsidR="0031565A" w:rsidRDefault="0031565A" w:rsidP="00CF1AE1">
                  <w:pPr>
                    <w:spacing w:line="160" w:lineRule="exact"/>
                    <w:jc w:val="left"/>
                    <w:rPr>
                      <w:rFonts w:cs="Miriam"/>
                      <w:noProof/>
                      <w:szCs w:val="18"/>
                      <w:rtl/>
                    </w:rPr>
                  </w:pPr>
                  <w:r>
                    <w:rPr>
                      <w:rFonts w:cs="Miriam"/>
                      <w:szCs w:val="18"/>
                      <w:rtl/>
                    </w:rPr>
                    <w:t>ת</w:t>
                  </w:r>
                  <w:r>
                    <w:rPr>
                      <w:rFonts w:cs="Miriam" w:hint="cs"/>
                      <w:szCs w:val="18"/>
                      <w:rtl/>
                    </w:rPr>
                    <w:t>ק' תש"ם</w:t>
                  </w:r>
                  <w:r w:rsidR="00CF1AE1">
                    <w:rPr>
                      <w:rFonts w:cs="Miriam" w:hint="cs"/>
                      <w:szCs w:val="18"/>
                      <w:rtl/>
                    </w:rPr>
                    <w:t>-</w:t>
                  </w:r>
                  <w:r>
                    <w:rPr>
                      <w:rFonts w:cs="Miriam" w:hint="cs"/>
                      <w:szCs w:val="18"/>
                      <w:rtl/>
                    </w:rPr>
                    <w:t>1980</w:t>
                  </w:r>
                </w:p>
              </w:txbxContent>
            </v:textbox>
            <w10:anchorlock/>
          </v:rect>
        </w:pict>
      </w:r>
      <w:r>
        <w:rPr>
          <w:rStyle w:val="big-number"/>
          <w:rtl/>
        </w:rPr>
        <w:t>36.</w:t>
      </w:r>
      <w:r>
        <w:rPr>
          <w:rStyle w:val="big-number"/>
          <w:rtl/>
        </w:rPr>
        <w:tab/>
      </w:r>
      <w:r>
        <w:rPr>
          <w:rStyle w:val="default"/>
          <w:rFonts w:cs="FrankRuehl"/>
          <w:rtl/>
        </w:rPr>
        <w:t>ב</w:t>
      </w:r>
      <w:r>
        <w:rPr>
          <w:rStyle w:val="default"/>
          <w:rFonts w:cs="FrankRuehl" w:hint="cs"/>
          <w:rtl/>
        </w:rPr>
        <w:t>עד כל הליך מההליכים המפורטים בתוספת תשולם אגרה בסך</w:t>
      </w:r>
      <w:r>
        <w:rPr>
          <w:rStyle w:val="default"/>
          <w:rFonts w:cs="FrankRuehl"/>
          <w:rtl/>
        </w:rPr>
        <w:t xml:space="preserve"> 250 </w:t>
      </w:r>
      <w:r>
        <w:rPr>
          <w:rStyle w:val="default"/>
          <w:rFonts w:cs="FrankRuehl" w:hint="cs"/>
          <w:rtl/>
        </w:rPr>
        <w:t>לירות.</w:t>
      </w:r>
    </w:p>
    <w:p w:rsidR="00F0207D" w:rsidRPr="006D7262" w:rsidRDefault="00F0207D" w:rsidP="00F0207D">
      <w:pPr>
        <w:pStyle w:val="P00"/>
        <w:spacing w:before="0"/>
        <w:ind w:left="0" w:right="1134"/>
        <w:rPr>
          <w:rFonts w:hint="cs"/>
          <w:b/>
          <w:bCs/>
          <w:vanish/>
          <w:szCs w:val="20"/>
          <w:shd w:val="clear" w:color="auto" w:fill="FFFF99"/>
          <w:rtl/>
        </w:rPr>
      </w:pPr>
      <w:bookmarkStart w:id="37" w:name="Rov43"/>
      <w:r w:rsidRPr="006D7262">
        <w:rPr>
          <w:rFonts w:hint="cs"/>
          <w:vanish/>
          <w:color w:val="FF0000"/>
          <w:szCs w:val="20"/>
          <w:shd w:val="clear" w:color="auto" w:fill="FFFF99"/>
          <w:rtl/>
        </w:rPr>
        <w:t>מיום 15.4.1980</w:t>
      </w:r>
    </w:p>
    <w:p w:rsidR="00F0207D" w:rsidRPr="006D7262" w:rsidRDefault="00F0207D" w:rsidP="00F0207D">
      <w:pPr>
        <w:pStyle w:val="P00"/>
        <w:spacing w:before="0"/>
        <w:ind w:left="0" w:right="1134"/>
        <w:rPr>
          <w:rFonts w:hint="cs"/>
          <w:b/>
          <w:bCs/>
          <w:vanish/>
          <w:szCs w:val="20"/>
          <w:shd w:val="clear" w:color="auto" w:fill="FFFF99"/>
          <w:rtl/>
        </w:rPr>
      </w:pPr>
      <w:r w:rsidRPr="006D7262">
        <w:rPr>
          <w:rFonts w:hint="cs"/>
          <w:b/>
          <w:bCs/>
          <w:vanish/>
          <w:szCs w:val="20"/>
          <w:shd w:val="clear" w:color="auto" w:fill="FFFF99"/>
          <w:rtl/>
        </w:rPr>
        <w:t>תק' תש"ם-1980</w:t>
      </w:r>
    </w:p>
    <w:p w:rsidR="00F0207D" w:rsidRPr="006D7262" w:rsidRDefault="00F0207D" w:rsidP="00E873F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 w:history="1">
        <w:r w:rsidRPr="006D7262">
          <w:rPr>
            <w:rStyle w:val="Hyperlink"/>
            <w:vanish/>
            <w:sz w:val="20"/>
            <w:szCs w:val="20"/>
            <w:shd w:val="clear" w:color="auto" w:fill="FFFF99"/>
            <w:rtl/>
          </w:rPr>
          <w:t>ק</w:t>
        </w:r>
        <w:r w:rsidRPr="006D7262">
          <w:rPr>
            <w:rStyle w:val="Hyperlink"/>
            <w:rFonts w:hint="cs"/>
            <w:vanish/>
            <w:sz w:val="20"/>
            <w:szCs w:val="20"/>
            <w:shd w:val="clear" w:color="auto" w:fill="FFFF99"/>
            <w:rtl/>
          </w:rPr>
          <w:t>"ת תש"ם מס' 4110</w:t>
        </w:r>
      </w:hyperlink>
      <w:r w:rsidR="00E873F7" w:rsidRPr="006D7262">
        <w:rPr>
          <w:rFonts w:hint="cs"/>
          <w:vanish/>
          <w:sz w:val="20"/>
          <w:szCs w:val="20"/>
          <w:shd w:val="clear" w:color="auto" w:fill="FFFF99"/>
          <w:rtl/>
        </w:rPr>
        <w:t xml:space="preserve"> מיום 15.4.1980 עמ' 1334</w:t>
      </w:r>
    </w:p>
    <w:p w:rsidR="00540748" w:rsidRPr="006D7262" w:rsidRDefault="00540748" w:rsidP="00E873F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6D7262">
        <w:rPr>
          <w:rFonts w:hint="cs"/>
          <w:b/>
          <w:bCs/>
          <w:vanish/>
          <w:sz w:val="20"/>
          <w:szCs w:val="20"/>
          <w:shd w:val="clear" w:color="auto" w:fill="FFFF99"/>
          <w:rtl/>
        </w:rPr>
        <w:t>החלפת תקנה 36</w:t>
      </w:r>
    </w:p>
    <w:p w:rsidR="00540748" w:rsidRPr="006D7262" w:rsidRDefault="00540748" w:rsidP="00540748">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6D7262">
        <w:rPr>
          <w:rFonts w:hint="cs"/>
          <w:vanish/>
          <w:sz w:val="20"/>
          <w:szCs w:val="20"/>
          <w:shd w:val="clear" w:color="auto" w:fill="FFFF99"/>
          <w:rtl/>
        </w:rPr>
        <w:t xml:space="preserve"> נוסח הקודם:</w:t>
      </w:r>
    </w:p>
    <w:p w:rsidR="00540748" w:rsidRPr="000D70CB" w:rsidRDefault="00540748" w:rsidP="000D70CB">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6D7262">
        <w:rPr>
          <w:rFonts w:hint="cs"/>
          <w:strike/>
          <w:vanish/>
          <w:shd w:val="clear" w:color="auto" w:fill="FFFF99"/>
          <w:rtl/>
        </w:rPr>
        <w:t>36.</w:t>
      </w:r>
      <w:r w:rsidRPr="006D7262">
        <w:rPr>
          <w:rFonts w:hint="cs"/>
          <w:strike/>
          <w:vanish/>
          <w:shd w:val="clear" w:color="auto" w:fill="FFFF99"/>
          <w:rtl/>
        </w:rPr>
        <w:tab/>
        <w:t>בעד הליכים המפורטים בתוספת ישולמו האגרות הנקובות בה.</w:t>
      </w:r>
      <w:bookmarkEnd w:id="37"/>
    </w:p>
    <w:p w:rsidR="0031565A" w:rsidRDefault="0031565A" w:rsidP="009B7530">
      <w:pPr>
        <w:pStyle w:val="P00"/>
        <w:spacing w:before="72"/>
        <w:ind w:left="0" w:right="1134"/>
        <w:rPr>
          <w:rStyle w:val="default"/>
          <w:rFonts w:cs="FrankRuehl"/>
          <w:rtl/>
        </w:rPr>
      </w:pPr>
      <w:bookmarkStart w:id="38" w:name="Seif36"/>
      <w:bookmarkEnd w:id="38"/>
      <w:r>
        <w:rPr>
          <w:lang w:val="he-IL"/>
        </w:rPr>
        <w:pict>
          <v:rect id="_x0000_s1062" style="position:absolute;left:0;text-align:left;margin-left:464.5pt;margin-top:8.05pt;width:75.05pt;height:10.3pt;z-index:251675136"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ב</w:t>
                  </w:r>
                  <w:r>
                    <w:rPr>
                      <w:rFonts w:cs="Miriam" w:hint="cs"/>
                      <w:szCs w:val="18"/>
                      <w:rtl/>
                    </w:rPr>
                    <w:t>י</w:t>
                  </w:r>
                  <w:r>
                    <w:rPr>
                      <w:rFonts w:cs="Miriam"/>
                      <w:szCs w:val="18"/>
                      <w:rtl/>
                    </w:rPr>
                    <w:t>ט</w:t>
                  </w:r>
                  <w:r>
                    <w:rPr>
                      <w:rFonts w:cs="Miriam" w:hint="cs"/>
                      <w:szCs w:val="18"/>
                      <w:rtl/>
                    </w:rPr>
                    <w:t>ול</w:t>
                  </w:r>
                </w:p>
              </w:txbxContent>
            </v:textbox>
            <w10:anchorlock/>
          </v:rect>
        </w:pict>
      </w:r>
      <w:r>
        <w:rPr>
          <w:rStyle w:val="big-number"/>
          <w:rtl/>
        </w:rPr>
        <w:t>37.</w:t>
      </w:r>
      <w:r>
        <w:rPr>
          <w:rStyle w:val="big-number"/>
          <w:rtl/>
        </w:rPr>
        <w:tab/>
      </w:r>
      <w:r>
        <w:rPr>
          <w:rStyle w:val="default"/>
          <w:rFonts w:cs="FrankRuehl"/>
          <w:rtl/>
        </w:rPr>
        <w:t>ת</w:t>
      </w:r>
      <w:r>
        <w:rPr>
          <w:rStyle w:val="default"/>
          <w:rFonts w:cs="FrankRuehl" w:hint="cs"/>
          <w:rtl/>
        </w:rPr>
        <w:t>קנות המים (סדרי הדין לפני בית הדין לעניני מים ובערעורים על החלטותיו), תש"ך</w:t>
      </w:r>
      <w:r w:rsidR="009B7530">
        <w:rPr>
          <w:rStyle w:val="default"/>
          <w:rFonts w:cs="FrankRuehl" w:hint="cs"/>
          <w:rtl/>
        </w:rPr>
        <w:t>-</w:t>
      </w:r>
      <w:r>
        <w:rPr>
          <w:rStyle w:val="default"/>
          <w:rFonts w:cs="FrankRuehl" w:hint="cs"/>
          <w:rtl/>
        </w:rPr>
        <w:t xml:space="preserve">1960 </w:t>
      </w:r>
      <w:r w:rsidR="009B7530">
        <w:rPr>
          <w:rStyle w:val="default"/>
          <w:rFonts w:cs="FrankRuehl" w:hint="cs"/>
          <w:rtl/>
        </w:rPr>
        <w:t>-</w:t>
      </w:r>
      <w:r>
        <w:rPr>
          <w:rStyle w:val="default"/>
          <w:rFonts w:cs="FrankRuehl" w:hint="cs"/>
          <w:rtl/>
        </w:rPr>
        <w:t xml:space="preserve"> בטלות.</w:t>
      </w:r>
    </w:p>
    <w:p w:rsidR="0031565A" w:rsidRDefault="0031565A" w:rsidP="009B7530">
      <w:pPr>
        <w:pStyle w:val="P00"/>
        <w:spacing w:before="72"/>
        <w:ind w:left="0" w:right="1134"/>
        <w:rPr>
          <w:rStyle w:val="default"/>
          <w:rFonts w:cs="FrankRuehl" w:hint="cs"/>
          <w:rtl/>
        </w:rPr>
      </w:pPr>
      <w:bookmarkStart w:id="39" w:name="Seif37"/>
      <w:bookmarkEnd w:id="39"/>
      <w:r>
        <w:rPr>
          <w:lang w:val="he-IL"/>
        </w:rPr>
        <w:pict>
          <v:rect id="_x0000_s1063" style="position:absolute;left:0;text-align:left;margin-left:464.5pt;margin-top:8.05pt;width:75.05pt;height:14.65pt;z-index:251676160" o:allowincell="f" filled="f" stroked="f" strokecolor="lime" strokeweight=".25pt">
            <v:textbox inset="0,0,0,0">
              <w:txbxContent>
                <w:p w:rsidR="0031565A" w:rsidRDefault="0031565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38.</w:t>
      </w:r>
      <w:r>
        <w:rPr>
          <w:rStyle w:val="big-number"/>
          <w:rtl/>
        </w:rPr>
        <w:tab/>
      </w:r>
      <w:r>
        <w:rPr>
          <w:rStyle w:val="default"/>
          <w:rFonts w:cs="FrankRuehl"/>
          <w:rtl/>
        </w:rPr>
        <w:t>ל</w:t>
      </w:r>
      <w:r>
        <w:rPr>
          <w:rStyle w:val="default"/>
          <w:rFonts w:cs="FrankRuehl" w:hint="cs"/>
          <w:rtl/>
        </w:rPr>
        <w:t>תקנות אלה ייקרא "תקנות המים (סדרי הדין לפני בית הדין לעניני מים ובערעורים על החלטותיו), תשכ"ו</w:t>
      </w:r>
      <w:r w:rsidR="009B7530">
        <w:rPr>
          <w:rStyle w:val="default"/>
          <w:rFonts w:cs="FrankRuehl" w:hint="cs"/>
          <w:rtl/>
        </w:rPr>
        <w:t>-</w:t>
      </w:r>
      <w:r>
        <w:rPr>
          <w:rStyle w:val="default"/>
          <w:rFonts w:cs="FrankRuehl" w:hint="cs"/>
          <w:rtl/>
        </w:rPr>
        <w:t>1966".</w:t>
      </w:r>
    </w:p>
    <w:p w:rsidR="00CF1AE1" w:rsidRDefault="00CF1AE1">
      <w:pPr>
        <w:pStyle w:val="P00"/>
        <w:spacing w:before="72"/>
        <w:ind w:left="0" w:right="1134"/>
        <w:rPr>
          <w:rStyle w:val="default"/>
          <w:rFonts w:cs="FrankRuehl"/>
          <w:rtl/>
        </w:rPr>
      </w:pPr>
    </w:p>
    <w:p w:rsidR="0031565A" w:rsidRPr="006D7262" w:rsidRDefault="0031565A">
      <w:pPr>
        <w:pStyle w:val="medium2-header"/>
        <w:keepLines w:val="0"/>
        <w:spacing w:before="72"/>
        <w:ind w:left="0" w:right="1134"/>
        <w:rPr>
          <w:noProof/>
          <w:rtl/>
        </w:rPr>
      </w:pPr>
      <w:bookmarkStart w:id="40" w:name="med0"/>
      <w:bookmarkEnd w:id="40"/>
      <w:r w:rsidRPr="006D7262">
        <w:rPr>
          <w:noProof/>
          <w:lang w:val="he-IL"/>
        </w:rPr>
        <w:pict>
          <v:rect id="_x0000_s1064" style="position:absolute;left:0;text-align:left;margin-left:464.5pt;margin-top:8.05pt;width:75.05pt;height:15.55pt;z-index:251677184" o:allowincell="f" filled="f" stroked="f" strokecolor="lime" strokeweight=".25pt">
            <v:textbox inset="0,0,0,0">
              <w:txbxContent>
                <w:p w:rsidR="0031565A" w:rsidRDefault="0031565A" w:rsidP="00CF1AE1">
                  <w:pPr>
                    <w:spacing w:line="160" w:lineRule="exact"/>
                    <w:jc w:val="left"/>
                    <w:rPr>
                      <w:rFonts w:cs="Miriam"/>
                      <w:noProof/>
                      <w:szCs w:val="18"/>
                      <w:rtl/>
                    </w:rPr>
                  </w:pPr>
                  <w:r>
                    <w:rPr>
                      <w:rFonts w:cs="Miriam"/>
                      <w:sz w:val="20"/>
                      <w:szCs w:val="18"/>
                      <w:rtl/>
                    </w:rPr>
                    <w:t>ת</w:t>
                  </w:r>
                  <w:r>
                    <w:rPr>
                      <w:rFonts w:cs="Miriam" w:hint="cs"/>
                      <w:sz w:val="20"/>
                      <w:szCs w:val="18"/>
                      <w:rtl/>
                    </w:rPr>
                    <w:t>ק' תש"ם</w:t>
                  </w:r>
                  <w:r w:rsidR="00CF1AE1">
                    <w:rPr>
                      <w:rFonts w:cs="Miriam" w:hint="cs"/>
                      <w:sz w:val="20"/>
                      <w:szCs w:val="18"/>
                      <w:rtl/>
                    </w:rPr>
                    <w:t>-</w:t>
                  </w:r>
                  <w:r>
                    <w:rPr>
                      <w:rFonts w:cs="Miriam" w:hint="cs"/>
                      <w:sz w:val="20"/>
                      <w:szCs w:val="18"/>
                      <w:rtl/>
                    </w:rPr>
                    <w:t>1980</w:t>
                  </w:r>
                </w:p>
              </w:txbxContent>
            </v:textbox>
            <w10:anchorlock/>
          </v:rect>
        </w:pict>
      </w:r>
      <w:r w:rsidRPr="006D7262">
        <w:rPr>
          <w:noProof/>
          <w:rtl/>
        </w:rPr>
        <w:t>ת</w:t>
      </w:r>
      <w:r w:rsidRPr="006D7262">
        <w:rPr>
          <w:rFonts w:hint="cs"/>
          <w:noProof/>
          <w:rtl/>
        </w:rPr>
        <w:t>וספת</w:t>
      </w:r>
    </w:p>
    <w:p w:rsidR="0031565A" w:rsidRPr="006D7262" w:rsidRDefault="0031565A" w:rsidP="006D7262">
      <w:pPr>
        <w:pStyle w:val="P00"/>
        <w:spacing w:before="72"/>
        <w:ind w:left="0" w:right="1134"/>
        <w:jc w:val="center"/>
        <w:rPr>
          <w:rStyle w:val="default"/>
          <w:rFonts w:cs="FrankRuehl"/>
          <w:sz w:val="24"/>
          <w:szCs w:val="24"/>
          <w:rtl/>
        </w:rPr>
      </w:pPr>
      <w:r w:rsidRPr="006D7262">
        <w:rPr>
          <w:rStyle w:val="default"/>
          <w:rFonts w:cs="FrankRuehl"/>
          <w:sz w:val="24"/>
          <w:szCs w:val="24"/>
          <w:rtl/>
        </w:rPr>
        <w:t>(</w:t>
      </w:r>
      <w:r w:rsidRPr="006D7262">
        <w:rPr>
          <w:rStyle w:val="default"/>
          <w:rFonts w:cs="FrankRuehl" w:hint="cs"/>
          <w:sz w:val="24"/>
          <w:szCs w:val="24"/>
          <w:rtl/>
        </w:rPr>
        <w:t>תקנה</w:t>
      </w:r>
      <w:r w:rsidRPr="006D7262">
        <w:rPr>
          <w:rStyle w:val="default"/>
          <w:rFonts w:cs="FrankRuehl"/>
          <w:sz w:val="24"/>
          <w:szCs w:val="24"/>
          <w:rtl/>
        </w:rPr>
        <w:t xml:space="preserve"> 36)</w:t>
      </w:r>
    </w:p>
    <w:p w:rsidR="0031565A" w:rsidRDefault="0031565A" w:rsidP="009B7530">
      <w:pPr>
        <w:pStyle w:val="P02"/>
        <w:spacing w:before="72"/>
        <w:ind w:left="624" w:right="1134" w:firstLine="0"/>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ערר מים למעט ערר לפי סעיף 124(ה) לחוק המים</w:t>
      </w:r>
    </w:p>
    <w:p w:rsidR="0031565A" w:rsidRDefault="0031565A" w:rsidP="009B7530">
      <w:pPr>
        <w:pStyle w:val="P02"/>
        <w:spacing w:before="72"/>
        <w:ind w:left="1021" w:right="1134" w:firstLine="0"/>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ערר לפי סעיף 124(ה) לחוק המים</w:t>
      </w:r>
    </w:p>
    <w:p w:rsidR="0031565A" w:rsidRDefault="0031565A" w:rsidP="009B7530">
      <w:pPr>
        <w:pStyle w:val="P02"/>
        <w:spacing w:before="72"/>
        <w:ind w:left="624" w:right="1134" w:firstLine="0"/>
        <w:rPr>
          <w:rStyle w:val="default"/>
          <w:rFonts w:cs="FrankRuehl"/>
          <w:rtl/>
        </w:rPr>
      </w:pPr>
      <w:r>
        <w:rPr>
          <w:rStyle w:val="default"/>
          <w:rFonts w:cs="FrankRuehl"/>
          <w:rtl/>
        </w:rPr>
        <w:t>(2)</w:t>
      </w:r>
      <w:r>
        <w:rPr>
          <w:rStyle w:val="default"/>
          <w:rFonts w:cs="FrankRuehl"/>
          <w:rtl/>
        </w:rPr>
        <w:tab/>
      </w:r>
      <w:r>
        <w:rPr>
          <w:rStyle w:val="default"/>
          <w:rFonts w:cs="FrankRuehl" w:hint="cs"/>
          <w:rtl/>
        </w:rPr>
        <w:t>ערר קידוח</w:t>
      </w:r>
    </w:p>
    <w:p w:rsidR="0031565A" w:rsidRDefault="0031565A" w:rsidP="009B7530">
      <w:pPr>
        <w:pStyle w:val="P02"/>
        <w:spacing w:before="72"/>
        <w:ind w:left="624" w:right="1134" w:firstLine="0"/>
        <w:rPr>
          <w:rStyle w:val="default"/>
          <w:rFonts w:cs="FrankRuehl"/>
          <w:rtl/>
        </w:rPr>
      </w:pPr>
      <w:r>
        <w:rPr>
          <w:rStyle w:val="default"/>
          <w:rFonts w:cs="FrankRuehl"/>
          <w:rtl/>
        </w:rPr>
        <w:t>(3)</w:t>
      </w:r>
      <w:r>
        <w:rPr>
          <w:rStyle w:val="default"/>
          <w:rFonts w:cs="FrankRuehl"/>
          <w:rtl/>
        </w:rPr>
        <w:tab/>
      </w:r>
      <w:r>
        <w:rPr>
          <w:rStyle w:val="default"/>
          <w:rFonts w:cs="FrankRuehl" w:hint="cs"/>
          <w:rtl/>
        </w:rPr>
        <w:t>ערר ניקוז</w:t>
      </w:r>
    </w:p>
    <w:p w:rsidR="0031565A" w:rsidRDefault="0031565A" w:rsidP="009B7530">
      <w:pPr>
        <w:pStyle w:val="P02"/>
        <w:spacing w:before="72"/>
        <w:ind w:left="624" w:right="1134" w:firstLine="0"/>
        <w:rPr>
          <w:rStyle w:val="default"/>
          <w:rFonts w:cs="FrankRuehl"/>
          <w:rtl/>
        </w:rPr>
      </w:pPr>
      <w:r>
        <w:rPr>
          <w:rStyle w:val="default"/>
          <w:rFonts w:cs="FrankRuehl"/>
          <w:rtl/>
        </w:rPr>
        <w:t>(4)</w:t>
      </w:r>
      <w:r>
        <w:rPr>
          <w:rStyle w:val="default"/>
          <w:rFonts w:cs="FrankRuehl"/>
          <w:rtl/>
        </w:rPr>
        <w:tab/>
      </w:r>
      <w:r>
        <w:rPr>
          <w:rStyle w:val="default"/>
          <w:rFonts w:cs="FrankRuehl" w:hint="cs"/>
          <w:rtl/>
        </w:rPr>
        <w:t>ערר מדידה</w:t>
      </w:r>
    </w:p>
    <w:p w:rsidR="0031565A" w:rsidRDefault="0031565A" w:rsidP="009B7530">
      <w:pPr>
        <w:pStyle w:val="P02"/>
        <w:spacing w:before="72"/>
        <w:ind w:left="624" w:right="1134" w:firstLine="0"/>
        <w:rPr>
          <w:rStyle w:val="default"/>
          <w:rFonts w:cs="FrankRuehl"/>
          <w:rtl/>
        </w:rPr>
      </w:pPr>
      <w:r>
        <w:rPr>
          <w:rStyle w:val="default"/>
          <w:rFonts w:cs="FrankRuehl"/>
          <w:rtl/>
        </w:rPr>
        <w:t>(5)</w:t>
      </w:r>
      <w:r>
        <w:rPr>
          <w:rStyle w:val="default"/>
          <w:rFonts w:cs="FrankRuehl"/>
          <w:rtl/>
        </w:rPr>
        <w:tab/>
      </w:r>
      <w:r>
        <w:rPr>
          <w:rStyle w:val="default"/>
          <w:rFonts w:cs="FrankRuehl" w:hint="cs"/>
          <w:rtl/>
        </w:rPr>
        <w:t>ערר על היטל</w:t>
      </w:r>
    </w:p>
    <w:p w:rsidR="0031565A" w:rsidRDefault="0031565A" w:rsidP="009B7530">
      <w:pPr>
        <w:pStyle w:val="P02"/>
        <w:spacing w:before="72"/>
        <w:ind w:left="624" w:right="1134" w:firstLine="0"/>
        <w:rPr>
          <w:rStyle w:val="default"/>
          <w:rFonts w:cs="FrankRuehl"/>
          <w:rtl/>
        </w:rPr>
      </w:pPr>
      <w:r>
        <w:rPr>
          <w:rStyle w:val="default"/>
          <w:rFonts w:cs="FrankRuehl"/>
          <w:rtl/>
        </w:rPr>
        <w:t>(6)</w:t>
      </w:r>
      <w:r>
        <w:rPr>
          <w:rStyle w:val="default"/>
          <w:rFonts w:cs="FrankRuehl"/>
          <w:rtl/>
        </w:rPr>
        <w:tab/>
      </w:r>
      <w:r>
        <w:rPr>
          <w:rStyle w:val="default"/>
          <w:rFonts w:cs="FrankRuehl" w:hint="cs"/>
          <w:rtl/>
        </w:rPr>
        <w:t>ערר על שומה</w:t>
      </w:r>
    </w:p>
    <w:p w:rsidR="0031565A" w:rsidRDefault="0031565A" w:rsidP="009B7530">
      <w:pPr>
        <w:pStyle w:val="P02"/>
        <w:spacing w:before="72"/>
        <w:ind w:left="624" w:right="1134" w:firstLine="0"/>
        <w:rPr>
          <w:rStyle w:val="default"/>
          <w:rFonts w:cs="FrankRuehl"/>
          <w:rtl/>
        </w:rPr>
      </w:pPr>
      <w:r>
        <w:rPr>
          <w:rStyle w:val="default"/>
          <w:rFonts w:cs="FrankRuehl"/>
          <w:rtl/>
        </w:rPr>
        <w:t>(7)</w:t>
      </w:r>
      <w:r>
        <w:rPr>
          <w:rStyle w:val="default"/>
          <w:rFonts w:cs="FrankRuehl"/>
          <w:rtl/>
        </w:rPr>
        <w:tab/>
      </w:r>
      <w:r>
        <w:rPr>
          <w:rStyle w:val="default"/>
          <w:rFonts w:cs="FrankRuehl" w:hint="cs"/>
          <w:rtl/>
        </w:rPr>
        <w:t>בקשה</w:t>
      </w:r>
    </w:p>
    <w:p w:rsidR="001640C7" w:rsidRPr="006D7262" w:rsidRDefault="001640C7" w:rsidP="001640C7">
      <w:pPr>
        <w:pStyle w:val="P00"/>
        <w:spacing w:before="0"/>
        <w:ind w:left="0" w:right="1134"/>
        <w:rPr>
          <w:rFonts w:hint="cs"/>
          <w:b/>
          <w:bCs/>
          <w:vanish/>
          <w:szCs w:val="20"/>
          <w:shd w:val="clear" w:color="auto" w:fill="FFFF99"/>
          <w:rtl/>
        </w:rPr>
      </w:pPr>
      <w:bookmarkStart w:id="41" w:name="Rov44"/>
      <w:r w:rsidRPr="006D7262">
        <w:rPr>
          <w:rFonts w:hint="cs"/>
          <w:vanish/>
          <w:color w:val="FF0000"/>
          <w:szCs w:val="20"/>
          <w:shd w:val="clear" w:color="auto" w:fill="FFFF99"/>
          <w:rtl/>
        </w:rPr>
        <w:t>מיום 15.4.1980</w:t>
      </w:r>
    </w:p>
    <w:p w:rsidR="001640C7" w:rsidRPr="006D7262" w:rsidRDefault="001640C7" w:rsidP="001640C7">
      <w:pPr>
        <w:pStyle w:val="P00"/>
        <w:spacing w:before="0"/>
        <w:ind w:left="0" w:right="1134"/>
        <w:rPr>
          <w:rFonts w:hint="cs"/>
          <w:b/>
          <w:bCs/>
          <w:vanish/>
          <w:szCs w:val="20"/>
          <w:shd w:val="clear" w:color="auto" w:fill="FFFF99"/>
          <w:rtl/>
        </w:rPr>
      </w:pPr>
      <w:r w:rsidRPr="006D7262">
        <w:rPr>
          <w:rFonts w:hint="cs"/>
          <w:b/>
          <w:bCs/>
          <w:vanish/>
          <w:szCs w:val="20"/>
          <w:shd w:val="clear" w:color="auto" w:fill="FFFF99"/>
          <w:rtl/>
        </w:rPr>
        <w:t>תק' תש"ם-1980</w:t>
      </w:r>
    </w:p>
    <w:p w:rsidR="001640C7" w:rsidRPr="006D7262" w:rsidRDefault="001640C7" w:rsidP="001640C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 w:history="1">
        <w:r w:rsidRPr="006D7262">
          <w:rPr>
            <w:rStyle w:val="Hyperlink"/>
            <w:vanish/>
            <w:sz w:val="20"/>
            <w:szCs w:val="20"/>
            <w:shd w:val="clear" w:color="auto" w:fill="FFFF99"/>
            <w:rtl/>
          </w:rPr>
          <w:t>ק</w:t>
        </w:r>
        <w:r w:rsidRPr="006D7262">
          <w:rPr>
            <w:rStyle w:val="Hyperlink"/>
            <w:rFonts w:hint="cs"/>
            <w:vanish/>
            <w:sz w:val="20"/>
            <w:szCs w:val="20"/>
            <w:shd w:val="clear" w:color="auto" w:fill="FFFF99"/>
            <w:rtl/>
          </w:rPr>
          <w:t>"ת תש"ם מס' 4110</w:t>
        </w:r>
      </w:hyperlink>
      <w:r w:rsidRPr="006D7262">
        <w:rPr>
          <w:rFonts w:hint="cs"/>
          <w:vanish/>
          <w:sz w:val="20"/>
          <w:szCs w:val="20"/>
          <w:shd w:val="clear" w:color="auto" w:fill="FFFF99"/>
          <w:rtl/>
        </w:rPr>
        <w:t xml:space="preserve"> מיום 15.4.1980 עמ' 1334</w:t>
      </w:r>
    </w:p>
    <w:p w:rsidR="001640C7" w:rsidRPr="006D7262" w:rsidRDefault="001640C7" w:rsidP="00284A27">
      <w:pPr>
        <w:pStyle w:val="footnote"/>
        <w:tabs>
          <w:tab w:val="left" w:pos="624"/>
          <w:tab w:val="left" w:pos="1021"/>
          <w:tab w:val="left" w:pos="1474"/>
          <w:tab w:val="left" w:pos="1928"/>
          <w:tab w:val="left" w:pos="2381"/>
          <w:tab w:val="left" w:pos="2835"/>
          <w:tab w:val="right" w:pos="6259"/>
        </w:tabs>
        <w:spacing w:before="60"/>
        <w:ind w:left="0" w:right="1134"/>
        <w:rPr>
          <w:rFonts w:hint="cs"/>
          <w:strike/>
          <w:vanish/>
          <w:sz w:val="20"/>
          <w:szCs w:val="20"/>
          <w:u w:val="single"/>
          <w:shd w:val="clear" w:color="auto" w:fill="FFFF99"/>
          <w:rtl/>
        </w:rPr>
      </w:pPr>
      <w:r w:rsidRPr="006D7262">
        <w:rPr>
          <w:rFonts w:hint="cs"/>
          <w:vanish/>
          <w:sz w:val="20"/>
          <w:szCs w:val="20"/>
          <w:u w:val="single"/>
          <w:shd w:val="clear" w:color="auto" w:fill="FFFF99"/>
          <w:rtl/>
        </w:rPr>
        <w:tab/>
      </w:r>
      <w:r w:rsidRPr="006D7262">
        <w:rPr>
          <w:rFonts w:hint="cs"/>
          <w:vanish/>
          <w:sz w:val="20"/>
          <w:szCs w:val="20"/>
          <w:u w:val="single"/>
          <w:shd w:val="clear" w:color="auto" w:fill="FFFF99"/>
          <w:rtl/>
        </w:rPr>
        <w:tab/>
      </w:r>
      <w:r w:rsidRPr="006D7262">
        <w:rPr>
          <w:rFonts w:hint="cs"/>
          <w:vanish/>
          <w:sz w:val="20"/>
          <w:szCs w:val="20"/>
          <w:u w:val="single"/>
          <w:shd w:val="clear" w:color="auto" w:fill="FFFF99"/>
          <w:rtl/>
        </w:rPr>
        <w:tab/>
      </w:r>
      <w:r w:rsidRPr="006D7262">
        <w:rPr>
          <w:rFonts w:hint="cs"/>
          <w:vanish/>
          <w:sz w:val="20"/>
          <w:szCs w:val="20"/>
          <w:u w:val="single"/>
          <w:shd w:val="clear" w:color="auto" w:fill="FFFF99"/>
          <w:rtl/>
        </w:rPr>
        <w:tab/>
      </w:r>
      <w:r w:rsidRPr="006D7262">
        <w:rPr>
          <w:rFonts w:hint="cs"/>
          <w:vanish/>
          <w:sz w:val="20"/>
          <w:szCs w:val="20"/>
          <w:u w:val="single"/>
          <w:shd w:val="clear" w:color="auto" w:fill="FFFF99"/>
          <w:rtl/>
        </w:rPr>
        <w:tab/>
      </w:r>
      <w:r w:rsidRPr="006D7262">
        <w:rPr>
          <w:rFonts w:hint="cs"/>
          <w:vanish/>
          <w:sz w:val="20"/>
          <w:szCs w:val="20"/>
          <w:u w:val="single"/>
          <w:shd w:val="clear" w:color="auto" w:fill="FFFF99"/>
          <w:rtl/>
        </w:rPr>
        <w:tab/>
      </w:r>
      <w:r w:rsidRPr="006D7262">
        <w:rPr>
          <w:rFonts w:hint="cs"/>
          <w:vanish/>
          <w:sz w:val="20"/>
          <w:szCs w:val="20"/>
          <w:u w:val="single"/>
          <w:shd w:val="clear" w:color="auto" w:fill="FFFF99"/>
          <w:rtl/>
        </w:rPr>
        <w:tab/>
      </w:r>
      <w:r w:rsidRPr="006D7262">
        <w:rPr>
          <w:rFonts w:hint="cs"/>
          <w:strike/>
          <w:vanish/>
          <w:sz w:val="20"/>
          <w:szCs w:val="20"/>
          <w:u w:val="single"/>
          <w:shd w:val="clear" w:color="auto" w:fill="FFFF99"/>
          <w:rtl/>
        </w:rPr>
        <w:t>לירות</w:t>
      </w:r>
    </w:p>
    <w:p w:rsidR="001640C7" w:rsidRPr="006D7262" w:rsidRDefault="001640C7" w:rsidP="00CE6185">
      <w:pPr>
        <w:pStyle w:val="P02"/>
        <w:tabs>
          <w:tab w:val="right" w:pos="6259"/>
        </w:tabs>
        <w:spacing w:before="0"/>
        <w:ind w:left="1021" w:right="1134"/>
        <w:rPr>
          <w:rStyle w:val="default"/>
          <w:rFonts w:cs="FrankRuehl" w:hint="cs"/>
          <w:vanish/>
          <w:sz w:val="22"/>
          <w:szCs w:val="22"/>
          <w:shd w:val="clear" w:color="auto" w:fill="FFFF99"/>
          <w:rtl/>
        </w:rPr>
      </w:pPr>
      <w:r w:rsidRPr="006D7262">
        <w:rPr>
          <w:rStyle w:val="default"/>
          <w:rFonts w:cs="FrankRuehl"/>
          <w:vanish/>
          <w:sz w:val="22"/>
          <w:szCs w:val="22"/>
          <w:shd w:val="clear" w:color="auto" w:fill="FFFF99"/>
          <w:rtl/>
        </w:rPr>
        <w:t>(1)</w:t>
      </w:r>
      <w:r w:rsidRPr="006D7262">
        <w:rPr>
          <w:rStyle w:val="default"/>
          <w:rFonts w:cs="FrankRuehl"/>
          <w:vanish/>
          <w:sz w:val="22"/>
          <w:szCs w:val="22"/>
          <w:shd w:val="clear" w:color="auto" w:fill="FFFF99"/>
          <w:rtl/>
        </w:rPr>
        <w:tab/>
      </w:r>
      <w:r w:rsidRPr="006D7262">
        <w:rPr>
          <w:rStyle w:val="default"/>
          <w:rFonts w:cs="FrankRuehl" w:hint="cs"/>
          <w:vanish/>
          <w:sz w:val="22"/>
          <w:szCs w:val="22"/>
          <w:shd w:val="clear" w:color="auto" w:fill="FFFF99"/>
          <w:rtl/>
        </w:rPr>
        <w:t>(א)</w:t>
      </w:r>
      <w:r w:rsidRPr="006D7262">
        <w:rPr>
          <w:rStyle w:val="default"/>
          <w:rFonts w:cs="FrankRuehl"/>
          <w:vanish/>
          <w:sz w:val="22"/>
          <w:szCs w:val="22"/>
          <w:shd w:val="clear" w:color="auto" w:fill="FFFF99"/>
          <w:rtl/>
        </w:rPr>
        <w:tab/>
      </w:r>
      <w:r w:rsidRPr="006D7262">
        <w:rPr>
          <w:rStyle w:val="default"/>
          <w:rFonts w:cs="FrankRuehl" w:hint="cs"/>
          <w:vanish/>
          <w:sz w:val="22"/>
          <w:szCs w:val="22"/>
          <w:shd w:val="clear" w:color="auto" w:fill="FFFF99"/>
          <w:rtl/>
        </w:rPr>
        <w:t>ערר מים למעט ערר לפי סעיף 124(ה) לחוק המים</w:t>
      </w:r>
      <w:r w:rsidR="000E15A5" w:rsidRPr="006D7262">
        <w:rPr>
          <w:rStyle w:val="default"/>
          <w:rFonts w:cs="FrankRuehl" w:hint="cs"/>
          <w:vanish/>
          <w:sz w:val="22"/>
          <w:szCs w:val="22"/>
          <w:shd w:val="clear" w:color="auto" w:fill="FFFF99"/>
          <w:rtl/>
        </w:rPr>
        <w:tab/>
      </w:r>
      <w:r w:rsidR="000E15A5" w:rsidRPr="006D7262">
        <w:rPr>
          <w:rStyle w:val="default"/>
          <w:rFonts w:cs="FrankRuehl" w:hint="cs"/>
          <w:strike/>
          <w:vanish/>
          <w:sz w:val="22"/>
          <w:szCs w:val="22"/>
          <w:shd w:val="clear" w:color="auto" w:fill="FFFF99"/>
          <w:rtl/>
        </w:rPr>
        <w:t>10</w:t>
      </w:r>
    </w:p>
    <w:p w:rsidR="001640C7" w:rsidRPr="006D7262" w:rsidRDefault="00CE6185" w:rsidP="00CE6185">
      <w:pPr>
        <w:pStyle w:val="P02"/>
        <w:tabs>
          <w:tab w:val="right" w:pos="6259"/>
        </w:tabs>
        <w:spacing w:before="0"/>
        <w:ind w:left="1021" w:right="1134"/>
        <w:rPr>
          <w:rStyle w:val="default"/>
          <w:rFonts w:cs="FrankRuehl" w:hint="cs"/>
          <w:vanish/>
          <w:sz w:val="22"/>
          <w:szCs w:val="22"/>
          <w:shd w:val="clear" w:color="auto" w:fill="FFFF99"/>
          <w:rtl/>
        </w:rPr>
      </w:pPr>
      <w:r w:rsidRPr="006D7262">
        <w:rPr>
          <w:rStyle w:val="default"/>
          <w:rFonts w:cs="FrankRuehl" w:hint="cs"/>
          <w:vanish/>
          <w:sz w:val="22"/>
          <w:szCs w:val="22"/>
          <w:shd w:val="clear" w:color="auto" w:fill="FFFF99"/>
          <w:rtl/>
        </w:rPr>
        <w:tab/>
      </w:r>
      <w:r w:rsidR="001640C7" w:rsidRPr="006D7262">
        <w:rPr>
          <w:rStyle w:val="default"/>
          <w:rFonts w:cs="FrankRuehl"/>
          <w:vanish/>
          <w:sz w:val="22"/>
          <w:szCs w:val="22"/>
          <w:shd w:val="clear" w:color="auto" w:fill="FFFF99"/>
          <w:rtl/>
        </w:rPr>
        <w:t>(</w:t>
      </w:r>
      <w:r w:rsidR="001640C7" w:rsidRPr="006D7262">
        <w:rPr>
          <w:rStyle w:val="default"/>
          <w:rFonts w:cs="FrankRuehl" w:hint="cs"/>
          <w:vanish/>
          <w:sz w:val="22"/>
          <w:szCs w:val="22"/>
          <w:shd w:val="clear" w:color="auto" w:fill="FFFF99"/>
          <w:rtl/>
        </w:rPr>
        <w:t>ב)</w:t>
      </w:r>
      <w:r w:rsidR="001640C7" w:rsidRPr="006D7262">
        <w:rPr>
          <w:rStyle w:val="default"/>
          <w:rFonts w:cs="FrankRuehl"/>
          <w:vanish/>
          <w:sz w:val="22"/>
          <w:szCs w:val="22"/>
          <w:shd w:val="clear" w:color="auto" w:fill="FFFF99"/>
          <w:rtl/>
        </w:rPr>
        <w:tab/>
      </w:r>
      <w:r w:rsidR="001640C7" w:rsidRPr="006D7262">
        <w:rPr>
          <w:rStyle w:val="default"/>
          <w:rFonts w:cs="FrankRuehl" w:hint="cs"/>
          <w:vanish/>
          <w:sz w:val="22"/>
          <w:szCs w:val="22"/>
          <w:shd w:val="clear" w:color="auto" w:fill="FFFF99"/>
          <w:rtl/>
        </w:rPr>
        <w:t>ערר לפי סעיף 124(ה) לחוק המים</w:t>
      </w:r>
      <w:r w:rsidR="000E15A5" w:rsidRPr="006D7262">
        <w:rPr>
          <w:rStyle w:val="default"/>
          <w:rFonts w:cs="FrankRuehl" w:hint="cs"/>
          <w:vanish/>
          <w:sz w:val="22"/>
          <w:szCs w:val="22"/>
          <w:shd w:val="clear" w:color="auto" w:fill="FFFF99"/>
          <w:rtl/>
        </w:rPr>
        <w:tab/>
      </w:r>
      <w:r w:rsidR="000E15A5" w:rsidRPr="006D7262">
        <w:rPr>
          <w:rStyle w:val="default"/>
          <w:rFonts w:cs="FrankRuehl" w:hint="cs"/>
          <w:strike/>
          <w:vanish/>
          <w:sz w:val="22"/>
          <w:szCs w:val="22"/>
          <w:shd w:val="clear" w:color="auto" w:fill="FFFF99"/>
          <w:rtl/>
        </w:rPr>
        <w:t>25</w:t>
      </w:r>
    </w:p>
    <w:p w:rsidR="001640C7" w:rsidRPr="006D7262" w:rsidRDefault="001640C7" w:rsidP="000E15A5">
      <w:pPr>
        <w:pStyle w:val="P02"/>
        <w:tabs>
          <w:tab w:val="right" w:pos="6259"/>
        </w:tabs>
        <w:spacing w:before="0"/>
        <w:ind w:left="1021" w:right="1134"/>
        <w:rPr>
          <w:rStyle w:val="default"/>
          <w:rFonts w:cs="FrankRuehl" w:hint="cs"/>
          <w:vanish/>
          <w:sz w:val="22"/>
          <w:szCs w:val="22"/>
          <w:shd w:val="clear" w:color="auto" w:fill="FFFF99"/>
          <w:rtl/>
        </w:rPr>
      </w:pPr>
      <w:r w:rsidRPr="006D7262">
        <w:rPr>
          <w:rStyle w:val="default"/>
          <w:rFonts w:cs="FrankRuehl"/>
          <w:vanish/>
          <w:sz w:val="22"/>
          <w:szCs w:val="22"/>
          <w:shd w:val="clear" w:color="auto" w:fill="FFFF99"/>
          <w:rtl/>
        </w:rPr>
        <w:t>(2)</w:t>
      </w:r>
      <w:r w:rsidRPr="006D7262">
        <w:rPr>
          <w:rStyle w:val="default"/>
          <w:rFonts w:cs="FrankRuehl"/>
          <w:vanish/>
          <w:sz w:val="22"/>
          <w:szCs w:val="22"/>
          <w:shd w:val="clear" w:color="auto" w:fill="FFFF99"/>
          <w:rtl/>
        </w:rPr>
        <w:tab/>
      </w:r>
      <w:r w:rsidRPr="006D7262">
        <w:rPr>
          <w:rStyle w:val="default"/>
          <w:rFonts w:cs="FrankRuehl" w:hint="cs"/>
          <w:vanish/>
          <w:sz w:val="22"/>
          <w:szCs w:val="22"/>
          <w:shd w:val="clear" w:color="auto" w:fill="FFFF99"/>
          <w:rtl/>
        </w:rPr>
        <w:t>ערר קידוח</w:t>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9B7530"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strike/>
          <w:vanish/>
          <w:sz w:val="22"/>
          <w:szCs w:val="22"/>
          <w:shd w:val="clear" w:color="auto" w:fill="FFFF99"/>
          <w:rtl/>
        </w:rPr>
        <w:t>10</w:t>
      </w:r>
    </w:p>
    <w:p w:rsidR="001640C7" w:rsidRPr="006D7262" w:rsidRDefault="001640C7" w:rsidP="000E15A5">
      <w:pPr>
        <w:pStyle w:val="P02"/>
        <w:tabs>
          <w:tab w:val="right" w:pos="6259"/>
        </w:tabs>
        <w:spacing w:before="0"/>
        <w:ind w:left="1021" w:right="1134"/>
        <w:rPr>
          <w:rStyle w:val="default"/>
          <w:rFonts w:cs="FrankRuehl" w:hint="cs"/>
          <w:vanish/>
          <w:sz w:val="22"/>
          <w:szCs w:val="22"/>
          <w:shd w:val="clear" w:color="auto" w:fill="FFFF99"/>
          <w:rtl/>
        </w:rPr>
      </w:pPr>
      <w:r w:rsidRPr="006D7262">
        <w:rPr>
          <w:rStyle w:val="default"/>
          <w:rFonts w:cs="FrankRuehl"/>
          <w:vanish/>
          <w:sz w:val="22"/>
          <w:szCs w:val="22"/>
          <w:shd w:val="clear" w:color="auto" w:fill="FFFF99"/>
          <w:rtl/>
        </w:rPr>
        <w:t>(3)</w:t>
      </w:r>
      <w:r w:rsidRPr="006D7262">
        <w:rPr>
          <w:rStyle w:val="default"/>
          <w:rFonts w:cs="FrankRuehl"/>
          <w:vanish/>
          <w:sz w:val="22"/>
          <w:szCs w:val="22"/>
          <w:shd w:val="clear" w:color="auto" w:fill="FFFF99"/>
          <w:rtl/>
        </w:rPr>
        <w:tab/>
      </w:r>
      <w:r w:rsidRPr="006D7262">
        <w:rPr>
          <w:rStyle w:val="default"/>
          <w:rFonts w:cs="FrankRuehl" w:hint="cs"/>
          <w:vanish/>
          <w:sz w:val="22"/>
          <w:szCs w:val="22"/>
          <w:shd w:val="clear" w:color="auto" w:fill="FFFF99"/>
          <w:rtl/>
        </w:rPr>
        <w:t>ערר ניקוז</w:t>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9B7530"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strike/>
          <w:vanish/>
          <w:sz w:val="22"/>
          <w:szCs w:val="22"/>
          <w:shd w:val="clear" w:color="auto" w:fill="FFFF99"/>
          <w:rtl/>
        </w:rPr>
        <w:t>10</w:t>
      </w:r>
    </w:p>
    <w:p w:rsidR="001640C7" w:rsidRPr="006D7262" w:rsidRDefault="001640C7" w:rsidP="000E15A5">
      <w:pPr>
        <w:pStyle w:val="P02"/>
        <w:tabs>
          <w:tab w:val="right" w:pos="6259"/>
        </w:tabs>
        <w:spacing w:before="0"/>
        <w:ind w:left="1021" w:right="1134"/>
        <w:rPr>
          <w:rStyle w:val="default"/>
          <w:rFonts w:cs="FrankRuehl" w:hint="cs"/>
          <w:vanish/>
          <w:sz w:val="22"/>
          <w:szCs w:val="22"/>
          <w:shd w:val="clear" w:color="auto" w:fill="FFFF99"/>
          <w:rtl/>
        </w:rPr>
      </w:pPr>
      <w:r w:rsidRPr="006D7262">
        <w:rPr>
          <w:rStyle w:val="default"/>
          <w:rFonts w:cs="FrankRuehl"/>
          <w:vanish/>
          <w:sz w:val="22"/>
          <w:szCs w:val="22"/>
          <w:shd w:val="clear" w:color="auto" w:fill="FFFF99"/>
          <w:rtl/>
        </w:rPr>
        <w:t>(4)</w:t>
      </w:r>
      <w:r w:rsidRPr="006D7262">
        <w:rPr>
          <w:rStyle w:val="default"/>
          <w:rFonts w:cs="FrankRuehl"/>
          <w:vanish/>
          <w:sz w:val="22"/>
          <w:szCs w:val="22"/>
          <w:shd w:val="clear" w:color="auto" w:fill="FFFF99"/>
          <w:rtl/>
        </w:rPr>
        <w:tab/>
      </w:r>
      <w:r w:rsidRPr="006D7262">
        <w:rPr>
          <w:rStyle w:val="default"/>
          <w:rFonts w:cs="FrankRuehl" w:hint="cs"/>
          <w:vanish/>
          <w:sz w:val="22"/>
          <w:szCs w:val="22"/>
          <w:shd w:val="clear" w:color="auto" w:fill="FFFF99"/>
          <w:rtl/>
        </w:rPr>
        <w:t>ערר מדידה</w:t>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9B7530"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strike/>
          <w:vanish/>
          <w:sz w:val="22"/>
          <w:szCs w:val="22"/>
          <w:shd w:val="clear" w:color="auto" w:fill="FFFF99"/>
          <w:rtl/>
        </w:rPr>
        <w:t>10</w:t>
      </w:r>
    </w:p>
    <w:p w:rsidR="001640C7" w:rsidRPr="006D7262" w:rsidRDefault="001640C7" w:rsidP="000E15A5">
      <w:pPr>
        <w:pStyle w:val="P02"/>
        <w:tabs>
          <w:tab w:val="right" w:pos="6259"/>
        </w:tabs>
        <w:spacing w:before="0"/>
        <w:ind w:left="1021" w:right="1134"/>
        <w:rPr>
          <w:rStyle w:val="default"/>
          <w:rFonts w:cs="FrankRuehl" w:hint="cs"/>
          <w:vanish/>
          <w:sz w:val="22"/>
          <w:szCs w:val="22"/>
          <w:shd w:val="clear" w:color="auto" w:fill="FFFF99"/>
          <w:rtl/>
        </w:rPr>
      </w:pPr>
      <w:r w:rsidRPr="006D7262">
        <w:rPr>
          <w:rStyle w:val="default"/>
          <w:rFonts w:cs="FrankRuehl"/>
          <w:vanish/>
          <w:sz w:val="22"/>
          <w:szCs w:val="22"/>
          <w:shd w:val="clear" w:color="auto" w:fill="FFFF99"/>
          <w:rtl/>
        </w:rPr>
        <w:t>(5)</w:t>
      </w:r>
      <w:r w:rsidRPr="006D7262">
        <w:rPr>
          <w:rStyle w:val="default"/>
          <w:rFonts w:cs="FrankRuehl"/>
          <w:vanish/>
          <w:sz w:val="22"/>
          <w:szCs w:val="22"/>
          <w:shd w:val="clear" w:color="auto" w:fill="FFFF99"/>
          <w:rtl/>
        </w:rPr>
        <w:tab/>
      </w:r>
      <w:r w:rsidRPr="006D7262">
        <w:rPr>
          <w:rStyle w:val="default"/>
          <w:rFonts w:cs="FrankRuehl" w:hint="cs"/>
          <w:vanish/>
          <w:sz w:val="22"/>
          <w:szCs w:val="22"/>
          <w:shd w:val="clear" w:color="auto" w:fill="FFFF99"/>
          <w:rtl/>
        </w:rPr>
        <w:t>ערר על היטל</w:t>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strike/>
          <w:vanish/>
          <w:sz w:val="22"/>
          <w:szCs w:val="22"/>
          <w:shd w:val="clear" w:color="auto" w:fill="FFFF99"/>
          <w:rtl/>
        </w:rPr>
        <w:t>25</w:t>
      </w:r>
    </w:p>
    <w:p w:rsidR="001640C7" w:rsidRPr="006D7262" w:rsidRDefault="001640C7" w:rsidP="000E15A5">
      <w:pPr>
        <w:pStyle w:val="P02"/>
        <w:tabs>
          <w:tab w:val="right" w:pos="6259"/>
        </w:tabs>
        <w:spacing w:before="0"/>
        <w:ind w:left="1021" w:right="1134"/>
        <w:rPr>
          <w:rStyle w:val="default"/>
          <w:rFonts w:cs="FrankRuehl" w:hint="cs"/>
          <w:vanish/>
          <w:sz w:val="22"/>
          <w:szCs w:val="22"/>
          <w:shd w:val="clear" w:color="auto" w:fill="FFFF99"/>
          <w:rtl/>
        </w:rPr>
      </w:pPr>
      <w:r w:rsidRPr="006D7262">
        <w:rPr>
          <w:rStyle w:val="default"/>
          <w:rFonts w:cs="FrankRuehl"/>
          <w:vanish/>
          <w:sz w:val="22"/>
          <w:szCs w:val="22"/>
          <w:shd w:val="clear" w:color="auto" w:fill="FFFF99"/>
          <w:rtl/>
        </w:rPr>
        <w:t>(6)</w:t>
      </w:r>
      <w:r w:rsidRPr="006D7262">
        <w:rPr>
          <w:rStyle w:val="default"/>
          <w:rFonts w:cs="FrankRuehl"/>
          <w:vanish/>
          <w:sz w:val="22"/>
          <w:szCs w:val="22"/>
          <w:shd w:val="clear" w:color="auto" w:fill="FFFF99"/>
          <w:rtl/>
        </w:rPr>
        <w:tab/>
      </w:r>
      <w:r w:rsidRPr="006D7262">
        <w:rPr>
          <w:rStyle w:val="default"/>
          <w:rFonts w:cs="FrankRuehl" w:hint="cs"/>
          <w:vanish/>
          <w:sz w:val="22"/>
          <w:szCs w:val="22"/>
          <w:shd w:val="clear" w:color="auto" w:fill="FFFF99"/>
          <w:rtl/>
        </w:rPr>
        <w:t>ערר על שומה</w:t>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9B7530"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strike/>
          <w:vanish/>
          <w:sz w:val="22"/>
          <w:szCs w:val="22"/>
          <w:shd w:val="clear" w:color="auto" w:fill="FFFF99"/>
          <w:rtl/>
        </w:rPr>
        <w:t>25</w:t>
      </w:r>
    </w:p>
    <w:p w:rsidR="001640C7" w:rsidRPr="000D70CB" w:rsidRDefault="001640C7" w:rsidP="000D70CB">
      <w:pPr>
        <w:pStyle w:val="P02"/>
        <w:tabs>
          <w:tab w:val="right" w:pos="6259"/>
        </w:tabs>
        <w:spacing w:before="0"/>
        <w:ind w:left="1021" w:right="1134"/>
        <w:rPr>
          <w:rStyle w:val="default"/>
          <w:rFonts w:cs="FrankRuehl" w:hint="cs"/>
          <w:sz w:val="2"/>
          <w:szCs w:val="2"/>
          <w:rtl/>
        </w:rPr>
      </w:pPr>
      <w:r w:rsidRPr="006D7262">
        <w:rPr>
          <w:rStyle w:val="default"/>
          <w:rFonts w:cs="FrankRuehl"/>
          <w:vanish/>
          <w:sz w:val="22"/>
          <w:szCs w:val="22"/>
          <w:shd w:val="clear" w:color="auto" w:fill="FFFF99"/>
          <w:rtl/>
        </w:rPr>
        <w:t>(7)</w:t>
      </w:r>
      <w:r w:rsidRPr="006D7262">
        <w:rPr>
          <w:rStyle w:val="default"/>
          <w:rFonts w:cs="FrankRuehl"/>
          <w:vanish/>
          <w:sz w:val="22"/>
          <w:szCs w:val="22"/>
          <w:shd w:val="clear" w:color="auto" w:fill="FFFF99"/>
          <w:rtl/>
        </w:rPr>
        <w:tab/>
      </w:r>
      <w:r w:rsidRPr="006D7262">
        <w:rPr>
          <w:rStyle w:val="default"/>
          <w:rFonts w:cs="FrankRuehl" w:hint="cs"/>
          <w:vanish/>
          <w:sz w:val="22"/>
          <w:szCs w:val="22"/>
          <w:shd w:val="clear" w:color="auto" w:fill="FFFF99"/>
          <w:rtl/>
        </w:rPr>
        <w:t>בקשה</w:t>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vanish/>
          <w:sz w:val="22"/>
          <w:szCs w:val="22"/>
          <w:shd w:val="clear" w:color="auto" w:fill="FFFF99"/>
          <w:rtl/>
        </w:rPr>
        <w:tab/>
      </w:r>
      <w:r w:rsidR="000E15A5" w:rsidRPr="006D7262">
        <w:rPr>
          <w:rStyle w:val="default"/>
          <w:rFonts w:cs="FrankRuehl" w:hint="cs"/>
          <w:strike/>
          <w:vanish/>
          <w:sz w:val="22"/>
          <w:szCs w:val="22"/>
          <w:shd w:val="clear" w:color="auto" w:fill="FFFF99"/>
          <w:rtl/>
        </w:rPr>
        <w:t>25</w:t>
      </w:r>
      <w:bookmarkEnd w:id="41"/>
    </w:p>
    <w:p w:rsidR="0031565A" w:rsidRDefault="0031565A">
      <w:pPr>
        <w:pStyle w:val="P00"/>
        <w:spacing w:before="72"/>
        <w:ind w:left="0" w:right="1134"/>
        <w:rPr>
          <w:rStyle w:val="default"/>
          <w:rFonts w:cs="FrankRuehl"/>
          <w:rtl/>
        </w:rPr>
      </w:pPr>
    </w:p>
    <w:p w:rsidR="0031565A" w:rsidRDefault="0031565A">
      <w:pPr>
        <w:pStyle w:val="P00"/>
        <w:spacing w:before="72"/>
        <w:ind w:left="0" w:right="1134"/>
        <w:rPr>
          <w:rStyle w:val="default"/>
          <w:rFonts w:cs="FrankRuehl"/>
          <w:rtl/>
        </w:rPr>
      </w:pPr>
    </w:p>
    <w:p w:rsidR="0031565A" w:rsidRDefault="0031565A" w:rsidP="006D7262">
      <w:pPr>
        <w:pStyle w:val="sig-0"/>
        <w:tabs>
          <w:tab w:val="clear" w:pos="4820"/>
          <w:tab w:val="center" w:pos="5670"/>
        </w:tabs>
        <w:spacing w:before="72"/>
        <w:ind w:left="0" w:right="1134"/>
        <w:rPr>
          <w:rtl/>
        </w:rPr>
      </w:pPr>
      <w:r>
        <w:rPr>
          <w:rtl/>
        </w:rPr>
        <w:t>י</w:t>
      </w:r>
      <w:r>
        <w:rPr>
          <w:rFonts w:hint="cs"/>
          <w:rtl/>
        </w:rPr>
        <w:t>' באב תשכ"ו (27 ביולי 1966)</w:t>
      </w:r>
      <w:r>
        <w:rPr>
          <w:rtl/>
        </w:rPr>
        <w:tab/>
      </w:r>
      <w:r>
        <w:rPr>
          <w:rFonts w:hint="cs"/>
          <w:rtl/>
        </w:rPr>
        <w:t>יעקב ש' שפירא</w:t>
      </w:r>
    </w:p>
    <w:p w:rsidR="0031565A" w:rsidRDefault="0031565A" w:rsidP="006D7262">
      <w:pPr>
        <w:pStyle w:val="sig-1"/>
        <w:widowControl/>
        <w:tabs>
          <w:tab w:val="clear" w:pos="851"/>
          <w:tab w:val="clear" w:pos="2835"/>
          <w:tab w:val="clear" w:pos="4820"/>
          <w:tab w:val="center" w:pos="5670"/>
        </w:tabs>
        <w:ind w:left="0" w:right="1134"/>
        <w:rPr>
          <w:rFonts w:hint="cs"/>
          <w:rtl/>
        </w:rPr>
      </w:pPr>
      <w:r>
        <w:rPr>
          <w:rtl/>
        </w:rPr>
        <w:tab/>
      </w:r>
      <w:r>
        <w:rPr>
          <w:rFonts w:hint="cs"/>
          <w:rtl/>
        </w:rPr>
        <w:t>שר המשפטים</w:t>
      </w:r>
    </w:p>
    <w:p w:rsidR="00CF1AE1" w:rsidRPr="00CF1AE1" w:rsidRDefault="00CF1AE1" w:rsidP="00CF1AE1">
      <w:pPr>
        <w:pStyle w:val="P00"/>
        <w:spacing w:before="72"/>
        <w:ind w:left="0" w:right="1134"/>
        <w:rPr>
          <w:rStyle w:val="default"/>
          <w:rFonts w:cs="FrankRuehl" w:hint="cs"/>
          <w:rtl/>
        </w:rPr>
      </w:pPr>
    </w:p>
    <w:p w:rsidR="00CF1AE1" w:rsidRPr="00CF1AE1" w:rsidRDefault="00CF1AE1" w:rsidP="00CF1AE1">
      <w:pPr>
        <w:pStyle w:val="P00"/>
        <w:spacing w:before="72"/>
        <w:ind w:left="0" w:right="1134"/>
        <w:rPr>
          <w:rStyle w:val="default"/>
          <w:rFonts w:cs="FrankRuehl"/>
          <w:rtl/>
        </w:rPr>
      </w:pPr>
    </w:p>
    <w:p w:rsidR="0031565A" w:rsidRPr="00CF1AE1" w:rsidRDefault="0031565A" w:rsidP="00CF1AE1">
      <w:pPr>
        <w:pStyle w:val="P00"/>
        <w:spacing w:before="72"/>
        <w:ind w:left="0" w:right="1134"/>
        <w:rPr>
          <w:rStyle w:val="default"/>
          <w:rFonts w:cs="FrankRuehl"/>
          <w:rtl/>
        </w:rPr>
      </w:pPr>
      <w:bookmarkStart w:id="42" w:name="LawPartEnd"/>
    </w:p>
    <w:bookmarkEnd w:id="42"/>
    <w:p w:rsidR="0031565A" w:rsidRPr="00CF1AE1" w:rsidRDefault="0031565A" w:rsidP="00CF1AE1">
      <w:pPr>
        <w:pStyle w:val="P00"/>
        <w:spacing w:before="72"/>
        <w:ind w:left="0" w:right="1134"/>
        <w:rPr>
          <w:rStyle w:val="default"/>
          <w:rFonts w:cs="FrankRuehl"/>
          <w:rtl/>
        </w:rPr>
      </w:pPr>
    </w:p>
    <w:sectPr w:rsidR="0031565A" w:rsidRPr="00CF1AE1">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05BB" w:rsidRDefault="009305BB">
      <w:r>
        <w:separator/>
      </w:r>
    </w:p>
  </w:endnote>
  <w:endnote w:type="continuationSeparator" w:id="0">
    <w:p w:rsidR="009305BB" w:rsidRDefault="00930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65A" w:rsidRDefault="0031565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1565A" w:rsidRDefault="0031565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1565A" w:rsidRDefault="0031565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5B9A">
      <w:rPr>
        <w:rFonts w:cs="TopType Jerushalmi"/>
        <w:noProof/>
        <w:color w:val="000000"/>
        <w:sz w:val="14"/>
        <w:szCs w:val="14"/>
      </w:rPr>
      <w:t>C:\Yael\hakika\Revadim\235_016.doc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65A" w:rsidRDefault="0031565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D7262">
      <w:rPr>
        <w:rFonts w:hAnsi="FrankRuehl" w:cs="FrankRuehl"/>
        <w:noProof/>
        <w:sz w:val="24"/>
        <w:szCs w:val="24"/>
        <w:rtl/>
      </w:rPr>
      <w:t>2</w:t>
    </w:r>
    <w:r>
      <w:rPr>
        <w:rFonts w:hAnsi="FrankRuehl" w:cs="FrankRuehl"/>
        <w:sz w:val="24"/>
        <w:szCs w:val="24"/>
        <w:rtl/>
      </w:rPr>
      <w:fldChar w:fldCharType="end"/>
    </w:r>
  </w:p>
  <w:p w:rsidR="0031565A" w:rsidRDefault="0031565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1565A" w:rsidRDefault="0031565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5B9A">
      <w:rPr>
        <w:rFonts w:cs="TopType Jerushalmi"/>
        <w:noProof/>
        <w:color w:val="000000"/>
        <w:sz w:val="14"/>
        <w:szCs w:val="14"/>
      </w:rPr>
      <w:t>C:\Yael\hakika\Revadim\235_016.doc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05BB" w:rsidRDefault="009305BB" w:rsidP="00C75B9A">
      <w:pPr>
        <w:spacing w:before="60" w:line="240" w:lineRule="auto"/>
        <w:ind w:right="1134"/>
      </w:pPr>
      <w:r>
        <w:separator/>
      </w:r>
    </w:p>
  </w:footnote>
  <w:footnote w:type="continuationSeparator" w:id="0">
    <w:p w:rsidR="009305BB" w:rsidRDefault="009305BB">
      <w:r>
        <w:continuationSeparator/>
      </w:r>
    </w:p>
  </w:footnote>
  <w:footnote w:id="1">
    <w:p w:rsidR="00C75B9A" w:rsidRDefault="00C75B9A" w:rsidP="00C75B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C75B9A">
        <w:rPr>
          <w:sz w:val="20"/>
          <w:rtl/>
        </w:rPr>
        <w:t xml:space="preserve">* </w:t>
      </w:r>
      <w:r>
        <w:rPr>
          <w:sz w:val="20"/>
          <w:rtl/>
        </w:rPr>
        <w:t>פ</w:t>
      </w:r>
      <w:r>
        <w:rPr>
          <w:rFonts w:hint="cs"/>
          <w:sz w:val="20"/>
          <w:rtl/>
        </w:rPr>
        <w:t xml:space="preserve">ורסמו </w:t>
      </w:r>
      <w:hyperlink r:id="rId1" w:history="1">
        <w:r w:rsidRPr="00FA64ED">
          <w:rPr>
            <w:rStyle w:val="Hyperlink"/>
            <w:rFonts w:hint="cs"/>
            <w:sz w:val="20"/>
            <w:rtl/>
          </w:rPr>
          <w:t>ק"ת תשכ"ו מס' 1914</w:t>
        </w:r>
      </w:hyperlink>
      <w:r>
        <w:rPr>
          <w:rFonts w:hint="cs"/>
          <w:sz w:val="20"/>
          <w:rtl/>
        </w:rPr>
        <w:t xml:space="preserve"> מיום 4.8.1966 עמ' 2595.</w:t>
      </w:r>
    </w:p>
    <w:p w:rsidR="00C75B9A" w:rsidRPr="000D70CB" w:rsidRDefault="00C75B9A" w:rsidP="00C75B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0D70CB">
        <w:rPr>
          <w:sz w:val="20"/>
          <w:rtl/>
        </w:rPr>
        <w:t>ת</w:t>
      </w:r>
      <w:r w:rsidRPr="000D70CB">
        <w:rPr>
          <w:rFonts w:hint="cs"/>
          <w:sz w:val="20"/>
          <w:rtl/>
        </w:rPr>
        <w:t xml:space="preserve">וקנו </w:t>
      </w:r>
      <w:hyperlink r:id="rId2" w:history="1">
        <w:r w:rsidRPr="000D70CB">
          <w:rPr>
            <w:rStyle w:val="Hyperlink"/>
            <w:rFonts w:hint="cs"/>
            <w:sz w:val="20"/>
            <w:rtl/>
          </w:rPr>
          <w:t>ק"ת תשל"ו מס' 3497</w:t>
        </w:r>
      </w:hyperlink>
      <w:r w:rsidRPr="000D70CB">
        <w:rPr>
          <w:rFonts w:hint="cs"/>
          <w:sz w:val="20"/>
          <w:rtl/>
        </w:rPr>
        <w:t xml:space="preserve"> מיום 22.3.1976 עמ' 1186</w:t>
      </w:r>
      <w:r w:rsidR="00511DB2">
        <w:rPr>
          <w:rFonts w:hint="cs"/>
          <w:sz w:val="20"/>
          <w:rtl/>
        </w:rPr>
        <w:t xml:space="preserve"> </w:t>
      </w:r>
      <w:r w:rsidR="00511DB2">
        <w:rPr>
          <w:sz w:val="20"/>
          <w:rtl/>
        </w:rPr>
        <w:t>–</w:t>
      </w:r>
      <w:r w:rsidR="00511DB2">
        <w:rPr>
          <w:rFonts w:hint="cs"/>
          <w:sz w:val="20"/>
          <w:rtl/>
        </w:rPr>
        <w:t xml:space="preserve"> תק' תשל"ו-1976</w:t>
      </w:r>
      <w:r w:rsidRPr="000D70CB">
        <w:rPr>
          <w:rFonts w:hint="cs"/>
          <w:sz w:val="20"/>
          <w:rtl/>
        </w:rPr>
        <w:t>.</w:t>
      </w:r>
    </w:p>
    <w:p w:rsidR="00C75B9A" w:rsidRPr="000D70CB" w:rsidRDefault="00C75B9A" w:rsidP="00C75B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0D70CB">
          <w:rPr>
            <w:rStyle w:val="Hyperlink"/>
            <w:sz w:val="20"/>
            <w:rtl/>
          </w:rPr>
          <w:t>ק</w:t>
        </w:r>
        <w:r w:rsidRPr="000D70CB">
          <w:rPr>
            <w:rStyle w:val="Hyperlink"/>
            <w:rFonts w:hint="cs"/>
            <w:sz w:val="20"/>
            <w:rtl/>
          </w:rPr>
          <w:t>"ת תשל"ח מס' 3858</w:t>
        </w:r>
      </w:hyperlink>
      <w:r w:rsidRPr="000D70CB">
        <w:rPr>
          <w:rFonts w:hint="cs"/>
          <w:sz w:val="20"/>
          <w:rtl/>
        </w:rPr>
        <w:t xml:space="preserve"> מיום 13.6.1978 עמ' 1475</w:t>
      </w:r>
      <w:r w:rsidR="003F2CDD">
        <w:rPr>
          <w:rFonts w:hint="cs"/>
          <w:sz w:val="20"/>
          <w:rtl/>
        </w:rPr>
        <w:t xml:space="preserve"> </w:t>
      </w:r>
      <w:r w:rsidR="003F2CDD">
        <w:rPr>
          <w:sz w:val="20"/>
          <w:rtl/>
        </w:rPr>
        <w:t>–</w:t>
      </w:r>
      <w:r w:rsidR="003F2CDD">
        <w:rPr>
          <w:rFonts w:hint="cs"/>
          <w:sz w:val="20"/>
          <w:rtl/>
        </w:rPr>
        <w:t xml:space="preserve"> תק' תשל"ח-1978; תחילתן ביום 1.7.1978</w:t>
      </w:r>
      <w:r w:rsidRPr="000D70CB">
        <w:rPr>
          <w:rFonts w:hint="cs"/>
          <w:sz w:val="20"/>
          <w:rtl/>
        </w:rPr>
        <w:t>.</w:t>
      </w:r>
    </w:p>
    <w:p w:rsidR="00C75B9A" w:rsidRPr="00C75B9A" w:rsidRDefault="00C75B9A" w:rsidP="00C75B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4" w:history="1">
        <w:r w:rsidRPr="000D70CB">
          <w:rPr>
            <w:rStyle w:val="Hyperlink"/>
            <w:sz w:val="20"/>
            <w:rtl/>
          </w:rPr>
          <w:t>ק</w:t>
        </w:r>
        <w:r w:rsidRPr="000D70CB">
          <w:rPr>
            <w:rStyle w:val="Hyperlink"/>
            <w:rFonts w:hint="cs"/>
            <w:sz w:val="20"/>
            <w:rtl/>
          </w:rPr>
          <w:t>"ת תש"ם מס' 4110</w:t>
        </w:r>
      </w:hyperlink>
      <w:r w:rsidRPr="000D70CB">
        <w:rPr>
          <w:rFonts w:hint="cs"/>
          <w:sz w:val="20"/>
          <w:rtl/>
        </w:rPr>
        <w:t xml:space="preserve"> מיום 15.4.1980 עמ' 1334</w:t>
      </w:r>
      <w:r w:rsidR="003F2CDD">
        <w:rPr>
          <w:rFonts w:hint="cs"/>
          <w:sz w:val="20"/>
          <w:rtl/>
        </w:rPr>
        <w:t xml:space="preserve"> </w:t>
      </w:r>
      <w:r w:rsidR="003F2CDD">
        <w:rPr>
          <w:sz w:val="20"/>
          <w:rtl/>
        </w:rPr>
        <w:t>–</w:t>
      </w:r>
      <w:r w:rsidR="003F2CDD">
        <w:rPr>
          <w:rFonts w:hint="cs"/>
          <w:sz w:val="20"/>
          <w:rtl/>
        </w:rPr>
        <w:t xml:space="preserve"> תק' תש"ם-1980</w:t>
      </w:r>
      <w:r w:rsidRPr="000D70CB">
        <w:rPr>
          <w:rFonts w:hint="cs"/>
          <w:sz w:val="20"/>
          <w:rtl/>
        </w:rPr>
        <w:t xml:space="preserve">. </w:t>
      </w:r>
      <w:hyperlink r:id="rId5" w:history="1">
        <w:r w:rsidRPr="000D70CB">
          <w:rPr>
            <w:rStyle w:val="Hyperlink"/>
            <w:rFonts w:hint="cs"/>
            <w:sz w:val="20"/>
            <w:rtl/>
          </w:rPr>
          <w:t>מס' 4158</w:t>
        </w:r>
      </w:hyperlink>
      <w:r w:rsidRPr="000D70CB">
        <w:rPr>
          <w:rFonts w:hint="cs"/>
          <w:sz w:val="20"/>
          <w:rtl/>
        </w:rPr>
        <w:t xml:space="preserve"> מיום 25.8.1980 עמ' 2290</w:t>
      </w:r>
      <w:r w:rsidR="00D75462">
        <w:rPr>
          <w:rFonts w:hint="cs"/>
          <w:sz w:val="20"/>
          <w:rtl/>
        </w:rPr>
        <w:t xml:space="preserve"> </w:t>
      </w:r>
      <w:r w:rsidR="00D75462">
        <w:rPr>
          <w:sz w:val="20"/>
          <w:rtl/>
        </w:rPr>
        <w:t>–</w:t>
      </w:r>
      <w:r w:rsidR="00D75462">
        <w:rPr>
          <w:rFonts w:hint="cs"/>
          <w:sz w:val="20"/>
          <w:rtl/>
        </w:rPr>
        <w:t xml:space="preserve"> תק' (מס' 2) תש"ם-1980; תחילתן ביום 1.7.1980</w:t>
      </w:r>
      <w:r w:rsidRPr="000D70CB">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65A" w:rsidRDefault="0031565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(סדרי הדין לפני בית הדין לעניני מים ובערעורים על החלטותיו), תשכ"ו–1966</w:t>
    </w:r>
  </w:p>
  <w:p w:rsidR="0031565A" w:rsidRDefault="0031565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565A" w:rsidRDefault="0031565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565A" w:rsidRDefault="0031565A" w:rsidP="00C75B9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המים (סדרי הדין לפני בית הדין לעניני מים ובערעורים על החלטותיו), </w:t>
    </w:r>
    <w:r w:rsidR="00C75B9A">
      <w:rPr>
        <w:rFonts w:hAnsi="FrankRuehl" w:cs="FrankRuehl" w:hint="cs"/>
        <w:color w:val="000000"/>
        <w:sz w:val="28"/>
        <w:szCs w:val="28"/>
        <w:rtl/>
      </w:rPr>
      <w:br/>
    </w:r>
    <w:r>
      <w:rPr>
        <w:rFonts w:hAnsi="FrankRuehl" w:cs="FrankRuehl"/>
        <w:color w:val="000000"/>
        <w:sz w:val="28"/>
        <w:szCs w:val="28"/>
        <w:rtl/>
      </w:rPr>
      <w:t>תשכ"ו</w:t>
    </w:r>
    <w:r w:rsidR="00C75B9A">
      <w:rPr>
        <w:rFonts w:hAnsi="FrankRuehl" w:cs="FrankRuehl" w:hint="cs"/>
        <w:color w:val="000000"/>
        <w:sz w:val="28"/>
        <w:szCs w:val="28"/>
        <w:rtl/>
      </w:rPr>
      <w:t>-</w:t>
    </w:r>
    <w:r>
      <w:rPr>
        <w:rFonts w:hAnsi="FrankRuehl" w:cs="FrankRuehl"/>
        <w:color w:val="000000"/>
        <w:sz w:val="28"/>
        <w:szCs w:val="28"/>
        <w:rtl/>
      </w:rPr>
      <w:t>1966</w:t>
    </w:r>
  </w:p>
  <w:p w:rsidR="0031565A" w:rsidRDefault="0031565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565A" w:rsidRDefault="0031565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504C"/>
    <w:rsid w:val="000449C2"/>
    <w:rsid w:val="000A65DE"/>
    <w:rsid w:val="000D70CB"/>
    <w:rsid w:val="000E15A5"/>
    <w:rsid w:val="000E718D"/>
    <w:rsid w:val="001640C7"/>
    <w:rsid w:val="00256BE4"/>
    <w:rsid w:val="00284A27"/>
    <w:rsid w:val="002C782B"/>
    <w:rsid w:val="0031565A"/>
    <w:rsid w:val="003F2CDD"/>
    <w:rsid w:val="00460E05"/>
    <w:rsid w:val="004E32C4"/>
    <w:rsid w:val="0050504C"/>
    <w:rsid w:val="00511DB2"/>
    <w:rsid w:val="00540748"/>
    <w:rsid w:val="005B6CF8"/>
    <w:rsid w:val="005C033D"/>
    <w:rsid w:val="006218E5"/>
    <w:rsid w:val="00674B2D"/>
    <w:rsid w:val="006D499B"/>
    <w:rsid w:val="006D7262"/>
    <w:rsid w:val="00720A8F"/>
    <w:rsid w:val="008845A2"/>
    <w:rsid w:val="008B1497"/>
    <w:rsid w:val="009305BB"/>
    <w:rsid w:val="009B7530"/>
    <w:rsid w:val="00AA5229"/>
    <w:rsid w:val="00B115C7"/>
    <w:rsid w:val="00B7707E"/>
    <w:rsid w:val="00C75B9A"/>
    <w:rsid w:val="00CC07C7"/>
    <w:rsid w:val="00CE6185"/>
    <w:rsid w:val="00CF1AE1"/>
    <w:rsid w:val="00D75462"/>
    <w:rsid w:val="00E07494"/>
    <w:rsid w:val="00E45B2F"/>
    <w:rsid w:val="00E67F1E"/>
    <w:rsid w:val="00E873F7"/>
    <w:rsid w:val="00F0207D"/>
    <w:rsid w:val="00F95A1B"/>
    <w:rsid w:val="00FA64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D06429-487F-4B36-8DFE-4C9AFC3D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F95A1B"/>
    <w:rPr>
      <w:color w:val="800080"/>
      <w:u w:val="single"/>
    </w:rPr>
  </w:style>
  <w:style w:type="paragraph" w:styleId="a5">
    <w:name w:val="footnote text"/>
    <w:basedOn w:val="a"/>
    <w:semiHidden/>
    <w:rsid w:val="00C75B9A"/>
    <w:rPr>
      <w:sz w:val="20"/>
      <w:szCs w:val="20"/>
    </w:rPr>
  </w:style>
  <w:style w:type="character" w:styleId="a6">
    <w:name w:val="footnote reference"/>
    <w:basedOn w:val="a0"/>
    <w:semiHidden/>
    <w:rsid w:val="00C75B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158.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3858.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3497.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4110.pdf" TargetMode="External"/><Relationship Id="rId4" Type="http://schemas.openxmlformats.org/officeDocument/2006/relationships/footnotes" Target="footnotes.xml"/><Relationship Id="rId9" Type="http://schemas.openxmlformats.org/officeDocument/2006/relationships/hyperlink" Target="http://www.nevo.co.il/Law_word/law06/TAK-4110.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858.pdf" TargetMode="External"/><Relationship Id="rId2" Type="http://schemas.openxmlformats.org/officeDocument/2006/relationships/hyperlink" Target="http://www.nevo.co.il/Law_word/law06/TAK-3497.pdf" TargetMode="External"/><Relationship Id="rId1" Type="http://schemas.openxmlformats.org/officeDocument/2006/relationships/hyperlink" Target="http://www.nevo.co.il/Law_word/law06/TAK-1914.pdf" TargetMode="External"/><Relationship Id="rId5" Type="http://schemas.openxmlformats.org/officeDocument/2006/relationships/hyperlink" Target="http://www.nevo.co.il/Law_word/law06/TAK-4158.pdf" TargetMode="External"/><Relationship Id="rId4" Type="http://schemas.openxmlformats.org/officeDocument/2006/relationships/hyperlink" Target="http://www.nevo.co.il/Law_word/law06/TAK-41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12812</CharactersWithSpaces>
  <SharedDoc>false</SharedDoc>
  <HLinks>
    <vt:vector size="294" baseType="variant">
      <vt:variant>
        <vt:i4>8126473</vt:i4>
      </vt:variant>
      <vt:variant>
        <vt:i4>246</vt:i4>
      </vt:variant>
      <vt:variant>
        <vt:i4>0</vt:i4>
      </vt:variant>
      <vt:variant>
        <vt:i4>5</vt:i4>
      </vt:variant>
      <vt:variant>
        <vt:lpwstr>http://www.nevo.co.il/Law_word/law06/TAK-4110.pdf</vt:lpwstr>
      </vt:variant>
      <vt:variant>
        <vt:lpwstr/>
      </vt:variant>
      <vt:variant>
        <vt:i4>8126473</vt:i4>
      </vt:variant>
      <vt:variant>
        <vt:i4>243</vt:i4>
      </vt:variant>
      <vt:variant>
        <vt:i4>0</vt:i4>
      </vt:variant>
      <vt:variant>
        <vt:i4>5</vt:i4>
      </vt:variant>
      <vt:variant>
        <vt:lpwstr>http://www.nevo.co.il/Law_word/law06/TAK-4110.pdf</vt:lpwstr>
      </vt:variant>
      <vt:variant>
        <vt:lpwstr/>
      </vt:variant>
      <vt:variant>
        <vt:i4>7864321</vt:i4>
      </vt:variant>
      <vt:variant>
        <vt:i4>240</vt:i4>
      </vt:variant>
      <vt:variant>
        <vt:i4>0</vt:i4>
      </vt:variant>
      <vt:variant>
        <vt:i4>5</vt:i4>
      </vt:variant>
      <vt:variant>
        <vt:lpwstr>http://www.nevo.co.il/Law_word/law06/TAK-4158.pdf</vt:lpwstr>
      </vt:variant>
      <vt:variant>
        <vt:lpwstr/>
      </vt:variant>
      <vt:variant>
        <vt:i4>8323080</vt:i4>
      </vt:variant>
      <vt:variant>
        <vt:i4>237</vt:i4>
      </vt:variant>
      <vt:variant>
        <vt:i4>0</vt:i4>
      </vt:variant>
      <vt:variant>
        <vt:i4>5</vt:i4>
      </vt:variant>
      <vt:variant>
        <vt:lpwstr>http://www.nevo.co.il/Law_word/law06/TAK-3858.pdf</vt:lpwstr>
      </vt:variant>
      <vt:variant>
        <vt:lpwstr/>
      </vt:variant>
      <vt:variant>
        <vt:i4>7536651</vt:i4>
      </vt:variant>
      <vt:variant>
        <vt:i4>234</vt:i4>
      </vt:variant>
      <vt:variant>
        <vt:i4>0</vt:i4>
      </vt:variant>
      <vt:variant>
        <vt:i4>5</vt:i4>
      </vt:variant>
      <vt:variant>
        <vt:lpwstr>http://www.nevo.co.il/Law_word/law06/TAK-3497.pdf</vt:lpwstr>
      </vt:variant>
      <vt:variant>
        <vt:lpwstr/>
      </vt:variant>
      <vt:variant>
        <vt:i4>5570569</vt:i4>
      </vt:variant>
      <vt:variant>
        <vt:i4>231</vt:i4>
      </vt:variant>
      <vt:variant>
        <vt:i4>0</vt:i4>
      </vt:variant>
      <vt:variant>
        <vt:i4>5</vt:i4>
      </vt:variant>
      <vt:variant>
        <vt:lpwstr/>
      </vt:variant>
      <vt:variant>
        <vt:lpwstr>med0</vt:lpwstr>
      </vt:variant>
      <vt:variant>
        <vt:i4>3407913</vt:i4>
      </vt:variant>
      <vt:variant>
        <vt:i4>225</vt:i4>
      </vt:variant>
      <vt:variant>
        <vt:i4>0</vt:i4>
      </vt:variant>
      <vt:variant>
        <vt:i4>5</vt:i4>
      </vt:variant>
      <vt:variant>
        <vt:lpwstr/>
      </vt:variant>
      <vt:variant>
        <vt:lpwstr>Seif37</vt:lpwstr>
      </vt:variant>
      <vt:variant>
        <vt:i4>3473449</vt:i4>
      </vt:variant>
      <vt:variant>
        <vt:i4>219</vt:i4>
      </vt:variant>
      <vt:variant>
        <vt:i4>0</vt:i4>
      </vt:variant>
      <vt:variant>
        <vt:i4>5</vt:i4>
      </vt:variant>
      <vt:variant>
        <vt:lpwstr/>
      </vt:variant>
      <vt:variant>
        <vt:lpwstr>Seif36</vt:lpwstr>
      </vt:variant>
      <vt:variant>
        <vt:i4>3538985</vt:i4>
      </vt:variant>
      <vt:variant>
        <vt:i4>213</vt:i4>
      </vt:variant>
      <vt:variant>
        <vt:i4>0</vt:i4>
      </vt:variant>
      <vt:variant>
        <vt:i4>5</vt:i4>
      </vt:variant>
      <vt:variant>
        <vt:lpwstr/>
      </vt:variant>
      <vt:variant>
        <vt:lpwstr>Seif35</vt:lpwstr>
      </vt:variant>
      <vt:variant>
        <vt:i4>3604521</vt:i4>
      </vt:variant>
      <vt:variant>
        <vt:i4>207</vt:i4>
      </vt:variant>
      <vt:variant>
        <vt:i4>0</vt:i4>
      </vt:variant>
      <vt:variant>
        <vt:i4>5</vt:i4>
      </vt:variant>
      <vt:variant>
        <vt:lpwstr/>
      </vt:variant>
      <vt:variant>
        <vt:lpwstr>Seif34</vt:lpwstr>
      </vt:variant>
      <vt:variant>
        <vt:i4>3145769</vt:i4>
      </vt:variant>
      <vt:variant>
        <vt:i4>201</vt:i4>
      </vt:variant>
      <vt:variant>
        <vt:i4>0</vt:i4>
      </vt:variant>
      <vt:variant>
        <vt:i4>5</vt:i4>
      </vt:variant>
      <vt:variant>
        <vt:lpwstr/>
      </vt:variant>
      <vt:variant>
        <vt:lpwstr>Seif33</vt:lpwstr>
      </vt:variant>
      <vt:variant>
        <vt:i4>3211305</vt:i4>
      </vt:variant>
      <vt:variant>
        <vt:i4>195</vt:i4>
      </vt:variant>
      <vt:variant>
        <vt:i4>0</vt:i4>
      </vt:variant>
      <vt:variant>
        <vt:i4>5</vt:i4>
      </vt:variant>
      <vt:variant>
        <vt:lpwstr/>
      </vt:variant>
      <vt:variant>
        <vt:lpwstr>Seif32</vt:lpwstr>
      </vt:variant>
      <vt:variant>
        <vt:i4>3276841</vt:i4>
      </vt:variant>
      <vt:variant>
        <vt:i4>189</vt:i4>
      </vt:variant>
      <vt:variant>
        <vt:i4>0</vt:i4>
      </vt:variant>
      <vt:variant>
        <vt:i4>5</vt:i4>
      </vt:variant>
      <vt:variant>
        <vt:lpwstr/>
      </vt:variant>
      <vt:variant>
        <vt:lpwstr>Seif31</vt:lpwstr>
      </vt: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7864321</vt:i4>
      </vt:variant>
      <vt:variant>
        <vt:i4>12</vt:i4>
      </vt:variant>
      <vt:variant>
        <vt:i4>0</vt:i4>
      </vt:variant>
      <vt:variant>
        <vt:i4>5</vt:i4>
      </vt:variant>
      <vt:variant>
        <vt:lpwstr>http://www.nevo.co.il/Law_word/law06/TAK-4158.pdf</vt:lpwstr>
      </vt:variant>
      <vt:variant>
        <vt:lpwstr/>
      </vt:variant>
      <vt:variant>
        <vt:i4>8126473</vt:i4>
      </vt:variant>
      <vt:variant>
        <vt:i4>9</vt:i4>
      </vt:variant>
      <vt:variant>
        <vt:i4>0</vt:i4>
      </vt:variant>
      <vt:variant>
        <vt:i4>5</vt:i4>
      </vt:variant>
      <vt:variant>
        <vt:lpwstr>http://www.nevo.co.il/Law_word/law06/TAK-4110.pdf</vt:lpwstr>
      </vt:variant>
      <vt:variant>
        <vt:lpwstr/>
      </vt:variant>
      <vt:variant>
        <vt:i4>8323080</vt:i4>
      </vt:variant>
      <vt:variant>
        <vt:i4>6</vt:i4>
      </vt:variant>
      <vt:variant>
        <vt:i4>0</vt:i4>
      </vt:variant>
      <vt:variant>
        <vt:i4>5</vt:i4>
      </vt:variant>
      <vt:variant>
        <vt:lpwstr>http://www.nevo.co.il/Law_word/law06/TAK-3858.pdf</vt:lpwstr>
      </vt:variant>
      <vt:variant>
        <vt:lpwstr/>
      </vt:variant>
      <vt:variant>
        <vt:i4>7536651</vt:i4>
      </vt:variant>
      <vt:variant>
        <vt:i4>3</vt:i4>
      </vt:variant>
      <vt:variant>
        <vt:i4>0</vt:i4>
      </vt:variant>
      <vt:variant>
        <vt:i4>5</vt:i4>
      </vt:variant>
      <vt:variant>
        <vt:lpwstr>http://www.nevo.co.il/Law_word/law06/TAK-3497.pdf</vt:lpwstr>
      </vt:variant>
      <vt:variant>
        <vt:lpwstr/>
      </vt:variant>
      <vt:variant>
        <vt:i4>7929861</vt:i4>
      </vt:variant>
      <vt:variant>
        <vt:i4>0</vt:i4>
      </vt:variant>
      <vt:variant>
        <vt:i4>0</vt:i4>
      </vt:variant>
      <vt:variant>
        <vt:i4>5</vt:i4>
      </vt:variant>
      <vt:variant>
        <vt:lpwstr>http://www.nevo.co.il/Law_word/law06/TAK-1914.pdf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(סדרי הדין לפני בית הדין לעניני מים ובערעורים על החלטותיו), תשכ"ו-1966</vt:lpwstr>
  </property>
  <property fmtid="{D5CDD505-2E9C-101B-9397-08002B2CF9AE}" pid="5" name="LAWNUMBER">
    <vt:lpwstr>0016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סדר דין בבי"ד שונים</vt:lpwstr>
  </property>
  <property fmtid="{D5CDD505-2E9C-101B-9397-08002B2CF9AE}" pid="18" name="NOSE43">
    <vt:lpwstr/>
  </property>
  <property fmtid="{D5CDD505-2E9C-101B-9397-08002B2CF9AE}" pid="19" name="NOSE14">
    <vt:lpwstr>בתי משפט וסדרי דין</vt:lpwstr>
  </property>
  <property fmtid="{D5CDD505-2E9C-101B-9397-08002B2CF9AE}" pid="20" name="NOSE24">
    <vt:lpwstr>סדר דין אזרחי</vt:lpwstr>
  </property>
  <property fmtid="{D5CDD505-2E9C-101B-9397-08002B2CF9AE}" pid="21" name="NOSE34">
    <vt:lpwstr>ערעור על החלטות</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המים</vt:lpwstr>
  </property>
  <property fmtid="{D5CDD505-2E9C-101B-9397-08002B2CF9AE}" pid="48" name="MEKOR_SAIF1">
    <vt:lpwstr>147X</vt:lpwstr>
  </property>
</Properties>
</file>