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2A4E" w:rsidRDefault="00202A4E" w:rsidP="004E0F13">
      <w:pPr>
        <w:pStyle w:val="big-header"/>
        <w:ind w:left="0" w:right="1134"/>
        <w:rPr>
          <w:rFonts w:cs="FrankRuehl"/>
          <w:sz w:val="32"/>
        </w:rPr>
      </w:pPr>
      <w:r>
        <w:rPr>
          <w:rFonts w:cs="FrankRuehl"/>
          <w:sz w:val="32"/>
          <w:rtl/>
        </w:rPr>
        <w:t>תקנות המכס (פטור למכונית שהועברה על ידי ראש נציגות ונציג מדינת חוץ), תשנ"א</w:t>
      </w:r>
      <w:r w:rsidR="004E0F13">
        <w:rPr>
          <w:rFonts w:cs="FrankRuehl" w:hint="cs"/>
          <w:sz w:val="32"/>
          <w:rtl/>
        </w:rPr>
        <w:t>-</w:t>
      </w:r>
      <w:r>
        <w:rPr>
          <w:rFonts w:cs="FrankRuehl"/>
          <w:sz w:val="32"/>
          <w:rtl/>
        </w:rPr>
        <w:t>1991</w:t>
      </w:r>
    </w:p>
    <w:p w:rsidR="0054699C" w:rsidRDefault="0054699C" w:rsidP="0054699C">
      <w:pPr>
        <w:spacing w:line="320" w:lineRule="auto"/>
        <w:jc w:val="left"/>
        <w:rPr>
          <w:rtl/>
        </w:rPr>
      </w:pPr>
    </w:p>
    <w:p w:rsidR="0054699C" w:rsidRDefault="0054699C" w:rsidP="0054699C">
      <w:pPr>
        <w:spacing w:line="320" w:lineRule="auto"/>
        <w:jc w:val="left"/>
        <w:rPr>
          <w:rFonts w:cs="FrankRuehl"/>
          <w:szCs w:val="26"/>
          <w:rtl/>
        </w:rPr>
      </w:pPr>
      <w:r w:rsidRPr="0054699C">
        <w:rPr>
          <w:rFonts w:cs="Miriam"/>
          <w:szCs w:val="22"/>
          <w:rtl/>
        </w:rPr>
        <w:t>מסים</w:t>
      </w:r>
      <w:r w:rsidRPr="0054699C">
        <w:rPr>
          <w:rFonts w:cs="FrankRuehl"/>
          <w:szCs w:val="26"/>
          <w:rtl/>
        </w:rPr>
        <w:t xml:space="preserve"> – מכס – תעריף ופטורים</w:t>
      </w:r>
    </w:p>
    <w:p w:rsidR="0054699C" w:rsidRPr="0054699C" w:rsidRDefault="0054699C" w:rsidP="0054699C">
      <w:pPr>
        <w:spacing w:line="320" w:lineRule="auto"/>
        <w:jc w:val="left"/>
        <w:rPr>
          <w:rFonts w:cs="Miriam"/>
          <w:szCs w:val="22"/>
          <w:rtl/>
        </w:rPr>
      </w:pPr>
      <w:r w:rsidRPr="0054699C">
        <w:rPr>
          <w:rFonts w:cs="Miriam"/>
          <w:szCs w:val="22"/>
          <w:rtl/>
        </w:rPr>
        <w:t>מסים</w:t>
      </w:r>
      <w:r w:rsidRPr="0054699C">
        <w:rPr>
          <w:rFonts w:cs="FrankRuehl"/>
          <w:szCs w:val="26"/>
          <w:rtl/>
        </w:rPr>
        <w:t xml:space="preserve"> – בלו</w:t>
      </w:r>
    </w:p>
    <w:p w:rsidR="00202A4E" w:rsidRDefault="00202A4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F2FDF" w:rsidRPr="00EF2FDF">
        <w:tblPrEx>
          <w:tblCellMar>
            <w:top w:w="0" w:type="dxa"/>
            <w:bottom w:w="0" w:type="dxa"/>
          </w:tblCellMar>
        </w:tblPrEx>
        <w:tc>
          <w:tcPr>
            <w:tcW w:w="1247" w:type="dxa"/>
          </w:tcPr>
          <w:p w:rsidR="00EF2FDF" w:rsidRPr="00EF2FDF" w:rsidRDefault="00EF2FDF" w:rsidP="00EF2FDF">
            <w:pPr>
              <w:spacing w:line="240" w:lineRule="auto"/>
              <w:jc w:val="left"/>
              <w:rPr>
                <w:rFonts w:cs="Frankruhel"/>
                <w:sz w:val="24"/>
                <w:rtl/>
              </w:rPr>
            </w:pPr>
          </w:p>
        </w:tc>
        <w:tc>
          <w:tcPr>
            <w:tcW w:w="5669" w:type="dxa"/>
          </w:tcPr>
          <w:p w:rsidR="00EF2FDF" w:rsidRPr="00EF2FDF" w:rsidRDefault="00EF2FDF" w:rsidP="00EF2FDF">
            <w:pPr>
              <w:spacing w:line="240" w:lineRule="auto"/>
              <w:jc w:val="left"/>
              <w:rPr>
                <w:rFonts w:cs="Frankruhel"/>
                <w:sz w:val="24"/>
                <w:rtl/>
              </w:rPr>
            </w:pPr>
            <w:r>
              <w:rPr>
                <w:sz w:val="24"/>
                <w:rtl/>
              </w:rPr>
              <w:t>פרק א': פרשנות</w:t>
            </w:r>
          </w:p>
        </w:tc>
        <w:tc>
          <w:tcPr>
            <w:tcW w:w="567" w:type="dxa"/>
          </w:tcPr>
          <w:p w:rsidR="00EF2FDF" w:rsidRPr="00EF2FDF" w:rsidRDefault="00EF2FDF" w:rsidP="00EF2FDF">
            <w:pPr>
              <w:spacing w:line="240" w:lineRule="auto"/>
              <w:jc w:val="left"/>
              <w:rPr>
                <w:rStyle w:val="Hyperlink"/>
                <w:rtl/>
              </w:rPr>
            </w:pPr>
            <w:hyperlink w:anchor="med0" w:tooltip="פרק א: פרשנות" w:history="1">
              <w:r w:rsidRPr="00EF2FDF">
                <w:rPr>
                  <w:rStyle w:val="Hyperlink"/>
                </w:rPr>
                <w:t>Go</w:t>
              </w:r>
            </w:hyperlink>
          </w:p>
        </w:tc>
        <w:tc>
          <w:tcPr>
            <w:tcW w:w="850" w:type="dxa"/>
          </w:tcPr>
          <w:p w:rsidR="00EF2FDF" w:rsidRPr="00EF2FDF" w:rsidRDefault="00EF2FDF" w:rsidP="00EF2FD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F2FDF" w:rsidRPr="00EF2FDF">
        <w:tblPrEx>
          <w:tblCellMar>
            <w:top w:w="0" w:type="dxa"/>
            <w:bottom w:w="0" w:type="dxa"/>
          </w:tblCellMar>
        </w:tblPrEx>
        <w:tc>
          <w:tcPr>
            <w:tcW w:w="1247" w:type="dxa"/>
          </w:tcPr>
          <w:p w:rsidR="00EF2FDF" w:rsidRPr="00EF2FDF" w:rsidRDefault="00EF2FDF" w:rsidP="00EF2FDF">
            <w:pPr>
              <w:spacing w:line="240" w:lineRule="auto"/>
              <w:jc w:val="left"/>
              <w:rPr>
                <w:rFonts w:cs="Frankruhel"/>
                <w:sz w:val="24"/>
                <w:rtl/>
              </w:rPr>
            </w:pPr>
            <w:r>
              <w:rPr>
                <w:sz w:val="24"/>
                <w:rtl/>
              </w:rPr>
              <w:t xml:space="preserve">סעיף 1 </w:t>
            </w:r>
          </w:p>
        </w:tc>
        <w:tc>
          <w:tcPr>
            <w:tcW w:w="5669" w:type="dxa"/>
          </w:tcPr>
          <w:p w:rsidR="00EF2FDF" w:rsidRPr="00EF2FDF" w:rsidRDefault="00EF2FDF" w:rsidP="00EF2FDF">
            <w:pPr>
              <w:spacing w:line="240" w:lineRule="auto"/>
              <w:jc w:val="left"/>
              <w:rPr>
                <w:rFonts w:cs="Frankruhel"/>
                <w:sz w:val="24"/>
                <w:rtl/>
              </w:rPr>
            </w:pPr>
            <w:r>
              <w:rPr>
                <w:sz w:val="24"/>
                <w:rtl/>
              </w:rPr>
              <w:t>הגדרות</w:t>
            </w:r>
          </w:p>
        </w:tc>
        <w:tc>
          <w:tcPr>
            <w:tcW w:w="567" w:type="dxa"/>
          </w:tcPr>
          <w:p w:rsidR="00EF2FDF" w:rsidRPr="00EF2FDF" w:rsidRDefault="00EF2FDF" w:rsidP="00EF2FDF">
            <w:pPr>
              <w:spacing w:line="240" w:lineRule="auto"/>
              <w:jc w:val="left"/>
              <w:rPr>
                <w:rStyle w:val="Hyperlink"/>
                <w:rtl/>
              </w:rPr>
            </w:pPr>
            <w:hyperlink w:anchor="Seif1" w:tooltip="הגדרות" w:history="1">
              <w:r w:rsidRPr="00EF2FDF">
                <w:rPr>
                  <w:rStyle w:val="Hyperlink"/>
                </w:rPr>
                <w:t>Go</w:t>
              </w:r>
            </w:hyperlink>
          </w:p>
        </w:tc>
        <w:tc>
          <w:tcPr>
            <w:tcW w:w="850" w:type="dxa"/>
          </w:tcPr>
          <w:p w:rsidR="00EF2FDF" w:rsidRPr="00EF2FDF" w:rsidRDefault="00EF2FDF" w:rsidP="00EF2FD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F2FDF" w:rsidRPr="00EF2FDF">
        <w:tblPrEx>
          <w:tblCellMar>
            <w:top w:w="0" w:type="dxa"/>
            <w:bottom w:w="0" w:type="dxa"/>
          </w:tblCellMar>
        </w:tblPrEx>
        <w:tc>
          <w:tcPr>
            <w:tcW w:w="1247" w:type="dxa"/>
          </w:tcPr>
          <w:p w:rsidR="00EF2FDF" w:rsidRPr="00EF2FDF" w:rsidRDefault="00EF2FDF" w:rsidP="00EF2FDF">
            <w:pPr>
              <w:spacing w:line="240" w:lineRule="auto"/>
              <w:jc w:val="left"/>
              <w:rPr>
                <w:rFonts w:cs="Frankruhel"/>
                <w:sz w:val="24"/>
                <w:rtl/>
              </w:rPr>
            </w:pPr>
          </w:p>
        </w:tc>
        <w:tc>
          <w:tcPr>
            <w:tcW w:w="5669" w:type="dxa"/>
          </w:tcPr>
          <w:p w:rsidR="00EF2FDF" w:rsidRPr="00EF2FDF" w:rsidRDefault="00EF2FDF" w:rsidP="00EF2FDF">
            <w:pPr>
              <w:spacing w:line="240" w:lineRule="auto"/>
              <w:jc w:val="left"/>
              <w:rPr>
                <w:rFonts w:cs="Frankruhel"/>
                <w:sz w:val="24"/>
                <w:rtl/>
              </w:rPr>
            </w:pPr>
            <w:r>
              <w:rPr>
                <w:sz w:val="24"/>
                <w:rtl/>
              </w:rPr>
              <w:t>פרק ב': פטור לראש נציגות ולנציגות מדינת חוץ</w:t>
            </w:r>
          </w:p>
        </w:tc>
        <w:tc>
          <w:tcPr>
            <w:tcW w:w="567" w:type="dxa"/>
          </w:tcPr>
          <w:p w:rsidR="00EF2FDF" w:rsidRPr="00EF2FDF" w:rsidRDefault="00EF2FDF" w:rsidP="00EF2FDF">
            <w:pPr>
              <w:spacing w:line="240" w:lineRule="auto"/>
              <w:jc w:val="left"/>
              <w:rPr>
                <w:rStyle w:val="Hyperlink"/>
                <w:rtl/>
              </w:rPr>
            </w:pPr>
            <w:hyperlink w:anchor="med1" w:tooltip="פרק ב: פטור לראש נציגות ולנציגות מדינת חוץ" w:history="1">
              <w:r w:rsidRPr="00EF2FDF">
                <w:rPr>
                  <w:rStyle w:val="Hyperlink"/>
                </w:rPr>
                <w:t>Go</w:t>
              </w:r>
            </w:hyperlink>
          </w:p>
        </w:tc>
        <w:tc>
          <w:tcPr>
            <w:tcW w:w="850" w:type="dxa"/>
          </w:tcPr>
          <w:p w:rsidR="00EF2FDF" w:rsidRPr="00EF2FDF" w:rsidRDefault="00EF2FDF" w:rsidP="00EF2FD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F2FDF" w:rsidRPr="00EF2FDF">
        <w:tblPrEx>
          <w:tblCellMar>
            <w:top w:w="0" w:type="dxa"/>
            <w:bottom w:w="0" w:type="dxa"/>
          </w:tblCellMar>
        </w:tblPrEx>
        <w:tc>
          <w:tcPr>
            <w:tcW w:w="1247" w:type="dxa"/>
          </w:tcPr>
          <w:p w:rsidR="00EF2FDF" w:rsidRPr="00EF2FDF" w:rsidRDefault="00EF2FDF" w:rsidP="00EF2FDF">
            <w:pPr>
              <w:spacing w:line="240" w:lineRule="auto"/>
              <w:jc w:val="left"/>
              <w:rPr>
                <w:rFonts w:cs="Frankruhel"/>
                <w:sz w:val="24"/>
                <w:rtl/>
              </w:rPr>
            </w:pPr>
            <w:r>
              <w:rPr>
                <w:sz w:val="24"/>
                <w:rtl/>
              </w:rPr>
              <w:t xml:space="preserve">סעיף 2 </w:t>
            </w:r>
          </w:p>
        </w:tc>
        <w:tc>
          <w:tcPr>
            <w:tcW w:w="5669" w:type="dxa"/>
          </w:tcPr>
          <w:p w:rsidR="00EF2FDF" w:rsidRPr="00EF2FDF" w:rsidRDefault="00EF2FDF" w:rsidP="00EF2FDF">
            <w:pPr>
              <w:spacing w:line="240" w:lineRule="auto"/>
              <w:jc w:val="left"/>
              <w:rPr>
                <w:rFonts w:cs="Frankruhel"/>
                <w:sz w:val="24"/>
                <w:rtl/>
              </w:rPr>
            </w:pPr>
            <w:r>
              <w:rPr>
                <w:sz w:val="24"/>
                <w:rtl/>
              </w:rPr>
              <w:t>פטור לראש נציגות</w:t>
            </w:r>
          </w:p>
        </w:tc>
        <w:tc>
          <w:tcPr>
            <w:tcW w:w="567" w:type="dxa"/>
          </w:tcPr>
          <w:p w:rsidR="00EF2FDF" w:rsidRPr="00EF2FDF" w:rsidRDefault="00EF2FDF" w:rsidP="00EF2FDF">
            <w:pPr>
              <w:spacing w:line="240" w:lineRule="auto"/>
              <w:jc w:val="left"/>
              <w:rPr>
                <w:rStyle w:val="Hyperlink"/>
                <w:rtl/>
              </w:rPr>
            </w:pPr>
            <w:hyperlink w:anchor="Seif2" w:tooltip="פטור לראש נציגות" w:history="1">
              <w:r w:rsidRPr="00EF2FDF">
                <w:rPr>
                  <w:rStyle w:val="Hyperlink"/>
                </w:rPr>
                <w:t>Go</w:t>
              </w:r>
            </w:hyperlink>
          </w:p>
        </w:tc>
        <w:tc>
          <w:tcPr>
            <w:tcW w:w="850" w:type="dxa"/>
          </w:tcPr>
          <w:p w:rsidR="00EF2FDF" w:rsidRPr="00EF2FDF" w:rsidRDefault="00EF2FDF" w:rsidP="00EF2FD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F2FDF" w:rsidRPr="00EF2FDF">
        <w:tblPrEx>
          <w:tblCellMar>
            <w:top w:w="0" w:type="dxa"/>
            <w:bottom w:w="0" w:type="dxa"/>
          </w:tblCellMar>
        </w:tblPrEx>
        <w:tc>
          <w:tcPr>
            <w:tcW w:w="1247" w:type="dxa"/>
          </w:tcPr>
          <w:p w:rsidR="00EF2FDF" w:rsidRPr="00EF2FDF" w:rsidRDefault="00EF2FDF" w:rsidP="00EF2FDF">
            <w:pPr>
              <w:spacing w:line="240" w:lineRule="auto"/>
              <w:jc w:val="left"/>
              <w:rPr>
                <w:rFonts w:cs="Frankruhel"/>
                <w:sz w:val="24"/>
                <w:rtl/>
              </w:rPr>
            </w:pPr>
            <w:r>
              <w:rPr>
                <w:sz w:val="24"/>
                <w:rtl/>
              </w:rPr>
              <w:t xml:space="preserve">סעיף 3 </w:t>
            </w:r>
          </w:p>
        </w:tc>
        <w:tc>
          <w:tcPr>
            <w:tcW w:w="5669" w:type="dxa"/>
          </w:tcPr>
          <w:p w:rsidR="00EF2FDF" w:rsidRPr="00EF2FDF" w:rsidRDefault="00EF2FDF" w:rsidP="00EF2FDF">
            <w:pPr>
              <w:spacing w:line="240" w:lineRule="auto"/>
              <w:jc w:val="left"/>
              <w:rPr>
                <w:rFonts w:cs="Frankruhel"/>
                <w:sz w:val="24"/>
                <w:rtl/>
              </w:rPr>
            </w:pPr>
            <w:r>
              <w:rPr>
                <w:sz w:val="24"/>
                <w:rtl/>
              </w:rPr>
              <w:t>פטור לנציגות מדינת חוץ</w:t>
            </w:r>
          </w:p>
        </w:tc>
        <w:tc>
          <w:tcPr>
            <w:tcW w:w="567" w:type="dxa"/>
          </w:tcPr>
          <w:p w:rsidR="00EF2FDF" w:rsidRPr="00EF2FDF" w:rsidRDefault="00EF2FDF" w:rsidP="00EF2FDF">
            <w:pPr>
              <w:spacing w:line="240" w:lineRule="auto"/>
              <w:jc w:val="left"/>
              <w:rPr>
                <w:rStyle w:val="Hyperlink"/>
                <w:rtl/>
              </w:rPr>
            </w:pPr>
            <w:hyperlink w:anchor="Seif3" w:tooltip="פטור לנציגות מדינת חוץ" w:history="1">
              <w:r w:rsidRPr="00EF2FDF">
                <w:rPr>
                  <w:rStyle w:val="Hyperlink"/>
                </w:rPr>
                <w:t>Go</w:t>
              </w:r>
            </w:hyperlink>
          </w:p>
        </w:tc>
        <w:tc>
          <w:tcPr>
            <w:tcW w:w="850" w:type="dxa"/>
          </w:tcPr>
          <w:p w:rsidR="00EF2FDF" w:rsidRPr="00EF2FDF" w:rsidRDefault="00EF2FDF" w:rsidP="00EF2FD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F2FDF" w:rsidRPr="00EF2FDF">
        <w:tblPrEx>
          <w:tblCellMar>
            <w:top w:w="0" w:type="dxa"/>
            <w:bottom w:w="0" w:type="dxa"/>
          </w:tblCellMar>
        </w:tblPrEx>
        <w:tc>
          <w:tcPr>
            <w:tcW w:w="1247" w:type="dxa"/>
          </w:tcPr>
          <w:p w:rsidR="00EF2FDF" w:rsidRPr="00EF2FDF" w:rsidRDefault="00EF2FDF" w:rsidP="00EF2FDF">
            <w:pPr>
              <w:spacing w:line="240" w:lineRule="auto"/>
              <w:jc w:val="left"/>
              <w:rPr>
                <w:rFonts w:cs="Frankruhel"/>
                <w:sz w:val="24"/>
                <w:rtl/>
              </w:rPr>
            </w:pPr>
            <w:r>
              <w:rPr>
                <w:sz w:val="24"/>
                <w:rtl/>
              </w:rPr>
              <w:t xml:space="preserve">סעיף 4 </w:t>
            </w:r>
          </w:p>
        </w:tc>
        <w:tc>
          <w:tcPr>
            <w:tcW w:w="5669" w:type="dxa"/>
          </w:tcPr>
          <w:p w:rsidR="00EF2FDF" w:rsidRPr="00EF2FDF" w:rsidRDefault="00EF2FDF" w:rsidP="00EF2FDF">
            <w:pPr>
              <w:spacing w:line="240" w:lineRule="auto"/>
              <w:jc w:val="left"/>
              <w:rPr>
                <w:rFonts w:cs="Frankruhel"/>
                <w:sz w:val="24"/>
                <w:rtl/>
              </w:rPr>
            </w:pPr>
            <w:r>
              <w:rPr>
                <w:sz w:val="24"/>
                <w:rtl/>
              </w:rPr>
              <w:t>קיצור תקופת השימוש</w:t>
            </w:r>
          </w:p>
        </w:tc>
        <w:tc>
          <w:tcPr>
            <w:tcW w:w="567" w:type="dxa"/>
          </w:tcPr>
          <w:p w:rsidR="00EF2FDF" w:rsidRPr="00EF2FDF" w:rsidRDefault="00EF2FDF" w:rsidP="00EF2FDF">
            <w:pPr>
              <w:spacing w:line="240" w:lineRule="auto"/>
              <w:jc w:val="left"/>
              <w:rPr>
                <w:rStyle w:val="Hyperlink"/>
                <w:rtl/>
              </w:rPr>
            </w:pPr>
            <w:hyperlink w:anchor="Seif4" w:tooltip="קיצור תקופת השימוש" w:history="1">
              <w:r w:rsidRPr="00EF2FDF">
                <w:rPr>
                  <w:rStyle w:val="Hyperlink"/>
                </w:rPr>
                <w:t>Go</w:t>
              </w:r>
            </w:hyperlink>
          </w:p>
        </w:tc>
        <w:tc>
          <w:tcPr>
            <w:tcW w:w="850" w:type="dxa"/>
          </w:tcPr>
          <w:p w:rsidR="00EF2FDF" w:rsidRPr="00EF2FDF" w:rsidRDefault="00EF2FDF" w:rsidP="00EF2FD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F2FDF" w:rsidRPr="00EF2FDF">
        <w:tblPrEx>
          <w:tblCellMar>
            <w:top w:w="0" w:type="dxa"/>
            <w:bottom w:w="0" w:type="dxa"/>
          </w:tblCellMar>
        </w:tblPrEx>
        <w:tc>
          <w:tcPr>
            <w:tcW w:w="1247" w:type="dxa"/>
          </w:tcPr>
          <w:p w:rsidR="00EF2FDF" w:rsidRPr="00EF2FDF" w:rsidRDefault="00EF2FDF" w:rsidP="00EF2FDF">
            <w:pPr>
              <w:spacing w:line="240" w:lineRule="auto"/>
              <w:jc w:val="left"/>
              <w:rPr>
                <w:rFonts w:cs="Frankruhel"/>
                <w:sz w:val="24"/>
                <w:rtl/>
              </w:rPr>
            </w:pPr>
          </w:p>
        </w:tc>
        <w:tc>
          <w:tcPr>
            <w:tcW w:w="5669" w:type="dxa"/>
          </w:tcPr>
          <w:p w:rsidR="00EF2FDF" w:rsidRPr="00EF2FDF" w:rsidRDefault="00EF2FDF" w:rsidP="00EF2FDF">
            <w:pPr>
              <w:spacing w:line="240" w:lineRule="auto"/>
              <w:jc w:val="left"/>
              <w:rPr>
                <w:rFonts w:cs="Frankruhel"/>
                <w:sz w:val="24"/>
                <w:rtl/>
              </w:rPr>
            </w:pPr>
            <w:r>
              <w:rPr>
                <w:sz w:val="24"/>
                <w:rtl/>
              </w:rPr>
              <w:t>פרק ג': פטור לנציג מדינת חוץ</w:t>
            </w:r>
          </w:p>
        </w:tc>
        <w:tc>
          <w:tcPr>
            <w:tcW w:w="567" w:type="dxa"/>
          </w:tcPr>
          <w:p w:rsidR="00EF2FDF" w:rsidRPr="00EF2FDF" w:rsidRDefault="00EF2FDF" w:rsidP="00EF2FDF">
            <w:pPr>
              <w:spacing w:line="240" w:lineRule="auto"/>
              <w:jc w:val="left"/>
              <w:rPr>
                <w:rStyle w:val="Hyperlink"/>
                <w:rtl/>
              </w:rPr>
            </w:pPr>
            <w:hyperlink w:anchor="med2" w:tooltip="פרק ג: פטור לנציג מדינת חוץ" w:history="1">
              <w:r w:rsidRPr="00EF2FDF">
                <w:rPr>
                  <w:rStyle w:val="Hyperlink"/>
                </w:rPr>
                <w:t>Go</w:t>
              </w:r>
            </w:hyperlink>
          </w:p>
        </w:tc>
        <w:tc>
          <w:tcPr>
            <w:tcW w:w="850" w:type="dxa"/>
          </w:tcPr>
          <w:p w:rsidR="00EF2FDF" w:rsidRPr="00EF2FDF" w:rsidRDefault="00EF2FDF" w:rsidP="00EF2FD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F2FDF" w:rsidRPr="00EF2FDF">
        <w:tblPrEx>
          <w:tblCellMar>
            <w:top w:w="0" w:type="dxa"/>
            <w:bottom w:w="0" w:type="dxa"/>
          </w:tblCellMar>
        </w:tblPrEx>
        <w:tc>
          <w:tcPr>
            <w:tcW w:w="1247" w:type="dxa"/>
          </w:tcPr>
          <w:p w:rsidR="00EF2FDF" w:rsidRPr="00EF2FDF" w:rsidRDefault="00EF2FDF" w:rsidP="00EF2FDF">
            <w:pPr>
              <w:spacing w:line="240" w:lineRule="auto"/>
              <w:jc w:val="left"/>
              <w:rPr>
                <w:rFonts w:cs="Frankruhel"/>
                <w:sz w:val="24"/>
                <w:rtl/>
              </w:rPr>
            </w:pPr>
            <w:r>
              <w:rPr>
                <w:sz w:val="24"/>
                <w:rtl/>
              </w:rPr>
              <w:t xml:space="preserve">סעיף 5 </w:t>
            </w:r>
          </w:p>
        </w:tc>
        <w:tc>
          <w:tcPr>
            <w:tcW w:w="5669" w:type="dxa"/>
          </w:tcPr>
          <w:p w:rsidR="00EF2FDF" w:rsidRPr="00EF2FDF" w:rsidRDefault="00EF2FDF" w:rsidP="00EF2FDF">
            <w:pPr>
              <w:spacing w:line="240" w:lineRule="auto"/>
              <w:jc w:val="left"/>
              <w:rPr>
                <w:rFonts w:cs="Frankruhel"/>
                <w:sz w:val="24"/>
                <w:rtl/>
              </w:rPr>
            </w:pPr>
            <w:r>
              <w:rPr>
                <w:sz w:val="24"/>
                <w:rtl/>
              </w:rPr>
              <w:t>פטור לנציג מדינת חוץ</w:t>
            </w:r>
          </w:p>
        </w:tc>
        <w:tc>
          <w:tcPr>
            <w:tcW w:w="567" w:type="dxa"/>
          </w:tcPr>
          <w:p w:rsidR="00EF2FDF" w:rsidRPr="00EF2FDF" w:rsidRDefault="00EF2FDF" w:rsidP="00EF2FDF">
            <w:pPr>
              <w:spacing w:line="240" w:lineRule="auto"/>
              <w:jc w:val="left"/>
              <w:rPr>
                <w:rStyle w:val="Hyperlink"/>
                <w:rtl/>
              </w:rPr>
            </w:pPr>
            <w:hyperlink w:anchor="Seif5" w:tooltip="פטור לנציג מדינת חוץ" w:history="1">
              <w:r w:rsidRPr="00EF2FDF">
                <w:rPr>
                  <w:rStyle w:val="Hyperlink"/>
                </w:rPr>
                <w:t>Go</w:t>
              </w:r>
            </w:hyperlink>
          </w:p>
        </w:tc>
        <w:tc>
          <w:tcPr>
            <w:tcW w:w="850" w:type="dxa"/>
          </w:tcPr>
          <w:p w:rsidR="00EF2FDF" w:rsidRPr="00EF2FDF" w:rsidRDefault="00EF2FDF" w:rsidP="00EF2FD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F2FDF" w:rsidRPr="00EF2FDF">
        <w:tblPrEx>
          <w:tblCellMar>
            <w:top w:w="0" w:type="dxa"/>
            <w:bottom w:w="0" w:type="dxa"/>
          </w:tblCellMar>
        </w:tblPrEx>
        <w:tc>
          <w:tcPr>
            <w:tcW w:w="1247" w:type="dxa"/>
          </w:tcPr>
          <w:p w:rsidR="00EF2FDF" w:rsidRPr="00EF2FDF" w:rsidRDefault="00EF2FDF" w:rsidP="00EF2FDF">
            <w:pPr>
              <w:spacing w:line="240" w:lineRule="auto"/>
              <w:jc w:val="left"/>
              <w:rPr>
                <w:rFonts w:cs="Frankruhel"/>
                <w:sz w:val="24"/>
                <w:rtl/>
              </w:rPr>
            </w:pPr>
            <w:r>
              <w:rPr>
                <w:sz w:val="24"/>
                <w:rtl/>
              </w:rPr>
              <w:t xml:space="preserve">סעיף 6 </w:t>
            </w:r>
          </w:p>
        </w:tc>
        <w:tc>
          <w:tcPr>
            <w:tcW w:w="5669" w:type="dxa"/>
          </w:tcPr>
          <w:p w:rsidR="00EF2FDF" w:rsidRPr="00EF2FDF" w:rsidRDefault="00EF2FDF" w:rsidP="00EF2FDF">
            <w:pPr>
              <w:spacing w:line="240" w:lineRule="auto"/>
              <w:jc w:val="left"/>
              <w:rPr>
                <w:rFonts w:cs="Frankruhel"/>
                <w:sz w:val="24"/>
                <w:rtl/>
              </w:rPr>
            </w:pPr>
            <w:r>
              <w:rPr>
                <w:sz w:val="24"/>
                <w:rtl/>
              </w:rPr>
              <w:t>פטור על מכונית משומשת</w:t>
            </w:r>
          </w:p>
        </w:tc>
        <w:tc>
          <w:tcPr>
            <w:tcW w:w="567" w:type="dxa"/>
          </w:tcPr>
          <w:p w:rsidR="00EF2FDF" w:rsidRPr="00EF2FDF" w:rsidRDefault="00EF2FDF" w:rsidP="00EF2FDF">
            <w:pPr>
              <w:spacing w:line="240" w:lineRule="auto"/>
              <w:jc w:val="left"/>
              <w:rPr>
                <w:rStyle w:val="Hyperlink"/>
                <w:rtl/>
              </w:rPr>
            </w:pPr>
            <w:hyperlink w:anchor="Seif6" w:tooltip="פטור על מכונית משומשת" w:history="1">
              <w:r w:rsidRPr="00EF2FDF">
                <w:rPr>
                  <w:rStyle w:val="Hyperlink"/>
                </w:rPr>
                <w:t>Go</w:t>
              </w:r>
            </w:hyperlink>
          </w:p>
        </w:tc>
        <w:tc>
          <w:tcPr>
            <w:tcW w:w="850" w:type="dxa"/>
          </w:tcPr>
          <w:p w:rsidR="00EF2FDF" w:rsidRPr="00EF2FDF" w:rsidRDefault="00EF2FDF" w:rsidP="00EF2FD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F2FDF" w:rsidRPr="00EF2FDF">
        <w:tblPrEx>
          <w:tblCellMar>
            <w:top w:w="0" w:type="dxa"/>
            <w:bottom w:w="0" w:type="dxa"/>
          </w:tblCellMar>
        </w:tblPrEx>
        <w:tc>
          <w:tcPr>
            <w:tcW w:w="1247" w:type="dxa"/>
          </w:tcPr>
          <w:p w:rsidR="00EF2FDF" w:rsidRPr="00EF2FDF" w:rsidRDefault="00EF2FDF" w:rsidP="00EF2FDF">
            <w:pPr>
              <w:spacing w:line="240" w:lineRule="auto"/>
              <w:jc w:val="left"/>
              <w:rPr>
                <w:rFonts w:cs="Frankruhel"/>
                <w:sz w:val="24"/>
                <w:rtl/>
              </w:rPr>
            </w:pPr>
            <w:r>
              <w:rPr>
                <w:sz w:val="24"/>
                <w:rtl/>
              </w:rPr>
              <w:t xml:space="preserve">סעיף 7 </w:t>
            </w:r>
          </w:p>
        </w:tc>
        <w:tc>
          <w:tcPr>
            <w:tcW w:w="5669" w:type="dxa"/>
          </w:tcPr>
          <w:p w:rsidR="00EF2FDF" w:rsidRPr="00EF2FDF" w:rsidRDefault="00EF2FDF" w:rsidP="00EF2FDF">
            <w:pPr>
              <w:spacing w:line="240" w:lineRule="auto"/>
              <w:jc w:val="left"/>
              <w:rPr>
                <w:rFonts w:cs="Frankruhel"/>
                <w:sz w:val="24"/>
                <w:rtl/>
              </w:rPr>
            </w:pPr>
            <w:r>
              <w:rPr>
                <w:sz w:val="24"/>
                <w:rtl/>
              </w:rPr>
              <w:t>קיצור תקופת השימוש</w:t>
            </w:r>
          </w:p>
        </w:tc>
        <w:tc>
          <w:tcPr>
            <w:tcW w:w="567" w:type="dxa"/>
          </w:tcPr>
          <w:p w:rsidR="00EF2FDF" w:rsidRPr="00EF2FDF" w:rsidRDefault="00EF2FDF" w:rsidP="00EF2FDF">
            <w:pPr>
              <w:spacing w:line="240" w:lineRule="auto"/>
              <w:jc w:val="left"/>
              <w:rPr>
                <w:rStyle w:val="Hyperlink"/>
                <w:rtl/>
              </w:rPr>
            </w:pPr>
            <w:hyperlink w:anchor="Seif7" w:tooltip="קיצור תקופת השימוש" w:history="1">
              <w:r w:rsidRPr="00EF2FDF">
                <w:rPr>
                  <w:rStyle w:val="Hyperlink"/>
                </w:rPr>
                <w:t>Go</w:t>
              </w:r>
            </w:hyperlink>
          </w:p>
        </w:tc>
        <w:tc>
          <w:tcPr>
            <w:tcW w:w="850" w:type="dxa"/>
          </w:tcPr>
          <w:p w:rsidR="00EF2FDF" w:rsidRPr="00EF2FDF" w:rsidRDefault="00EF2FDF" w:rsidP="00EF2FD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F2FDF" w:rsidRPr="00EF2FDF">
        <w:tblPrEx>
          <w:tblCellMar>
            <w:top w:w="0" w:type="dxa"/>
            <w:bottom w:w="0" w:type="dxa"/>
          </w:tblCellMar>
        </w:tblPrEx>
        <w:tc>
          <w:tcPr>
            <w:tcW w:w="1247" w:type="dxa"/>
          </w:tcPr>
          <w:p w:rsidR="00EF2FDF" w:rsidRPr="00EF2FDF" w:rsidRDefault="00EF2FDF" w:rsidP="00EF2FDF">
            <w:pPr>
              <w:spacing w:line="240" w:lineRule="auto"/>
              <w:jc w:val="left"/>
              <w:rPr>
                <w:rFonts w:cs="Frankruhel"/>
                <w:sz w:val="24"/>
                <w:rtl/>
              </w:rPr>
            </w:pPr>
            <w:r>
              <w:rPr>
                <w:sz w:val="24"/>
                <w:rtl/>
              </w:rPr>
              <w:t xml:space="preserve">סעיף 8 </w:t>
            </w:r>
          </w:p>
        </w:tc>
        <w:tc>
          <w:tcPr>
            <w:tcW w:w="5669" w:type="dxa"/>
          </w:tcPr>
          <w:p w:rsidR="00EF2FDF" w:rsidRPr="00EF2FDF" w:rsidRDefault="00EF2FDF" w:rsidP="00EF2FDF">
            <w:pPr>
              <w:spacing w:line="240" w:lineRule="auto"/>
              <w:jc w:val="left"/>
              <w:rPr>
                <w:rFonts w:cs="Frankruhel"/>
                <w:sz w:val="24"/>
                <w:rtl/>
              </w:rPr>
            </w:pPr>
            <w:r>
              <w:rPr>
                <w:sz w:val="24"/>
                <w:rtl/>
              </w:rPr>
              <w:t>ביטול</w:t>
            </w:r>
          </w:p>
        </w:tc>
        <w:tc>
          <w:tcPr>
            <w:tcW w:w="567" w:type="dxa"/>
          </w:tcPr>
          <w:p w:rsidR="00EF2FDF" w:rsidRPr="00EF2FDF" w:rsidRDefault="00EF2FDF" w:rsidP="00EF2FDF">
            <w:pPr>
              <w:spacing w:line="240" w:lineRule="auto"/>
              <w:jc w:val="left"/>
              <w:rPr>
                <w:rStyle w:val="Hyperlink"/>
                <w:rtl/>
              </w:rPr>
            </w:pPr>
            <w:hyperlink w:anchor="Seif8" w:tooltip="ביטול" w:history="1">
              <w:r w:rsidRPr="00EF2FDF">
                <w:rPr>
                  <w:rStyle w:val="Hyperlink"/>
                </w:rPr>
                <w:t>Go</w:t>
              </w:r>
            </w:hyperlink>
          </w:p>
        </w:tc>
        <w:tc>
          <w:tcPr>
            <w:tcW w:w="850" w:type="dxa"/>
          </w:tcPr>
          <w:p w:rsidR="00EF2FDF" w:rsidRPr="00EF2FDF" w:rsidRDefault="00EF2FDF" w:rsidP="00EF2FD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F2FDF" w:rsidRPr="00EF2FDF">
        <w:tblPrEx>
          <w:tblCellMar>
            <w:top w:w="0" w:type="dxa"/>
            <w:bottom w:w="0" w:type="dxa"/>
          </w:tblCellMar>
        </w:tblPrEx>
        <w:tc>
          <w:tcPr>
            <w:tcW w:w="1247" w:type="dxa"/>
          </w:tcPr>
          <w:p w:rsidR="00EF2FDF" w:rsidRPr="00EF2FDF" w:rsidRDefault="00EF2FDF" w:rsidP="00EF2FDF">
            <w:pPr>
              <w:spacing w:line="240" w:lineRule="auto"/>
              <w:jc w:val="left"/>
              <w:rPr>
                <w:rFonts w:cs="Frankruhel"/>
                <w:sz w:val="24"/>
                <w:rtl/>
              </w:rPr>
            </w:pPr>
          </w:p>
        </w:tc>
        <w:tc>
          <w:tcPr>
            <w:tcW w:w="5669" w:type="dxa"/>
          </w:tcPr>
          <w:p w:rsidR="00EF2FDF" w:rsidRPr="00EF2FDF" w:rsidRDefault="00EF2FDF" w:rsidP="00EF2FDF">
            <w:pPr>
              <w:spacing w:line="240" w:lineRule="auto"/>
              <w:jc w:val="left"/>
              <w:rPr>
                <w:rFonts w:cs="Frankruhel"/>
                <w:sz w:val="24"/>
                <w:rtl/>
              </w:rPr>
            </w:pPr>
            <w:r>
              <w:rPr>
                <w:sz w:val="24"/>
                <w:rtl/>
              </w:rPr>
              <w:t>תוספת א'</w:t>
            </w:r>
          </w:p>
        </w:tc>
        <w:tc>
          <w:tcPr>
            <w:tcW w:w="567" w:type="dxa"/>
          </w:tcPr>
          <w:p w:rsidR="00EF2FDF" w:rsidRPr="00EF2FDF" w:rsidRDefault="00EF2FDF" w:rsidP="00EF2FDF">
            <w:pPr>
              <w:spacing w:line="240" w:lineRule="auto"/>
              <w:jc w:val="left"/>
              <w:rPr>
                <w:rStyle w:val="Hyperlink"/>
                <w:rtl/>
              </w:rPr>
            </w:pPr>
            <w:hyperlink w:anchor="med3" w:tooltip="תוספת א" w:history="1">
              <w:r w:rsidRPr="00EF2FDF">
                <w:rPr>
                  <w:rStyle w:val="Hyperlink"/>
                </w:rPr>
                <w:t>Go</w:t>
              </w:r>
            </w:hyperlink>
          </w:p>
        </w:tc>
        <w:tc>
          <w:tcPr>
            <w:tcW w:w="850" w:type="dxa"/>
          </w:tcPr>
          <w:p w:rsidR="00EF2FDF" w:rsidRPr="00EF2FDF" w:rsidRDefault="00EF2FDF" w:rsidP="00EF2FD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F2FDF" w:rsidRPr="00EF2FDF">
        <w:tblPrEx>
          <w:tblCellMar>
            <w:top w:w="0" w:type="dxa"/>
            <w:bottom w:w="0" w:type="dxa"/>
          </w:tblCellMar>
        </w:tblPrEx>
        <w:tc>
          <w:tcPr>
            <w:tcW w:w="1247" w:type="dxa"/>
          </w:tcPr>
          <w:p w:rsidR="00EF2FDF" w:rsidRPr="00EF2FDF" w:rsidRDefault="00EF2FDF" w:rsidP="00EF2FDF">
            <w:pPr>
              <w:spacing w:line="240" w:lineRule="auto"/>
              <w:jc w:val="left"/>
              <w:rPr>
                <w:rFonts w:cs="Frankruhel"/>
                <w:sz w:val="24"/>
                <w:rtl/>
              </w:rPr>
            </w:pPr>
          </w:p>
        </w:tc>
        <w:tc>
          <w:tcPr>
            <w:tcW w:w="5669" w:type="dxa"/>
          </w:tcPr>
          <w:p w:rsidR="00EF2FDF" w:rsidRPr="00EF2FDF" w:rsidRDefault="00EF2FDF" w:rsidP="00EF2FDF">
            <w:pPr>
              <w:spacing w:line="240" w:lineRule="auto"/>
              <w:jc w:val="left"/>
              <w:rPr>
                <w:rFonts w:cs="Frankruhel"/>
                <w:sz w:val="24"/>
                <w:rtl/>
              </w:rPr>
            </w:pPr>
            <w:r>
              <w:rPr>
                <w:sz w:val="24"/>
                <w:rtl/>
              </w:rPr>
              <w:t>תוספת ב'</w:t>
            </w:r>
          </w:p>
        </w:tc>
        <w:tc>
          <w:tcPr>
            <w:tcW w:w="567" w:type="dxa"/>
          </w:tcPr>
          <w:p w:rsidR="00EF2FDF" w:rsidRPr="00EF2FDF" w:rsidRDefault="00EF2FDF" w:rsidP="00EF2FDF">
            <w:pPr>
              <w:spacing w:line="240" w:lineRule="auto"/>
              <w:jc w:val="left"/>
              <w:rPr>
                <w:rStyle w:val="Hyperlink"/>
                <w:rtl/>
              </w:rPr>
            </w:pPr>
            <w:hyperlink w:anchor="med4" w:tooltip="תוספת ב" w:history="1">
              <w:r w:rsidRPr="00EF2FDF">
                <w:rPr>
                  <w:rStyle w:val="Hyperlink"/>
                </w:rPr>
                <w:t>Go</w:t>
              </w:r>
            </w:hyperlink>
          </w:p>
        </w:tc>
        <w:tc>
          <w:tcPr>
            <w:tcW w:w="850" w:type="dxa"/>
          </w:tcPr>
          <w:p w:rsidR="00EF2FDF" w:rsidRPr="00EF2FDF" w:rsidRDefault="00EF2FDF" w:rsidP="00EF2FD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202A4E" w:rsidRDefault="00202A4E">
      <w:pPr>
        <w:pStyle w:val="big-header"/>
        <w:ind w:left="0" w:right="1134"/>
        <w:rPr>
          <w:rFonts w:cs="FrankRuehl"/>
          <w:sz w:val="32"/>
          <w:rtl/>
        </w:rPr>
      </w:pPr>
    </w:p>
    <w:p w:rsidR="00202A4E" w:rsidRDefault="00202A4E" w:rsidP="0054699C">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המכס (פטור ל</w:t>
      </w:r>
      <w:r>
        <w:rPr>
          <w:rFonts w:cs="FrankRuehl"/>
          <w:sz w:val="32"/>
          <w:rtl/>
        </w:rPr>
        <w:t>מ</w:t>
      </w:r>
      <w:r>
        <w:rPr>
          <w:rFonts w:cs="FrankRuehl" w:hint="cs"/>
          <w:sz w:val="32"/>
          <w:rtl/>
        </w:rPr>
        <w:t>כונית שהועברה על ידי ראש נציגות ונציג מדינת חוץ), תשנ"א</w:t>
      </w:r>
      <w:r w:rsidR="004E0F13">
        <w:rPr>
          <w:rFonts w:cs="FrankRuehl" w:hint="cs"/>
          <w:sz w:val="32"/>
          <w:rtl/>
        </w:rPr>
        <w:t>-</w:t>
      </w:r>
      <w:r>
        <w:rPr>
          <w:rFonts w:cs="FrankRuehl"/>
          <w:sz w:val="32"/>
          <w:rtl/>
        </w:rPr>
        <w:t>1991</w:t>
      </w:r>
      <w:r w:rsidR="004E0F13">
        <w:rPr>
          <w:rStyle w:val="a6"/>
          <w:rFonts w:cs="FrankRuehl"/>
          <w:sz w:val="32"/>
          <w:rtl/>
        </w:rPr>
        <w:footnoteReference w:customMarkFollows="1" w:id="1"/>
        <w:t>*</w:t>
      </w:r>
    </w:p>
    <w:p w:rsidR="00202A4E" w:rsidRDefault="00202A4E" w:rsidP="004E0F13">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הסמכות לפי סעיפים 141(ג) ו-232 לפקודת המכס (להלן </w:t>
      </w:r>
      <w:r w:rsidR="004E0F13">
        <w:rPr>
          <w:rStyle w:val="default"/>
          <w:rFonts w:cs="FrankRuehl" w:hint="cs"/>
          <w:rtl/>
        </w:rPr>
        <w:t>-</w:t>
      </w:r>
      <w:r>
        <w:rPr>
          <w:rStyle w:val="default"/>
          <w:rFonts w:cs="FrankRuehl"/>
          <w:rtl/>
        </w:rPr>
        <w:t xml:space="preserve"> </w:t>
      </w:r>
      <w:r>
        <w:rPr>
          <w:rStyle w:val="default"/>
          <w:rFonts w:cs="FrankRuehl" w:hint="cs"/>
          <w:rtl/>
        </w:rPr>
        <w:t>הפקודה), אני מתקין תקנות אלה:</w:t>
      </w:r>
    </w:p>
    <w:p w:rsidR="00202A4E" w:rsidRDefault="00202A4E">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rsidR="00202A4E" w:rsidRDefault="00202A4E">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0.05pt;z-index:251654144" o:allowincell="f" filled="f" stroked="f" strokecolor="lime" strokeweight=".25pt">
            <v:textbox style="mso-next-textbox:#_x0000_s1026" inset="0,0,0,0">
              <w:txbxContent>
                <w:p w:rsidR="00202A4E" w:rsidRDefault="00202A4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4E0F13">
        <w:rPr>
          <w:rStyle w:val="default"/>
          <w:rFonts w:cs="FrankRuehl"/>
          <w:rtl/>
        </w:rPr>
        <w:t>–</w:t>
      </w:r>
    </w:p>
    <w:p w:rsidR="00202A4E" w:rsidRDefault="00202A4E" w:rsidP="004E0F1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כונית" </w:t>
      </w:r>
      <w:r w:rsidR="004E0F13">
        <w:rPr>
          <w:rStyle w:val="default"/>
          <w:rFonts w:cs="FrankRuehl" w:hint="cs"/>
          <w:rtl/>
        </w:rPr>
        <w:t>-</w:t>
      </w:r>
      <w:r>
        <w:rPr>
          <w:rStyle w:val="default"/>
          <w:rFonts w:cs="FrankRuehl"/>
          <w:rtl/>
        </w:rPr>
        <w:t xml:space="preserve"> </w:t>
      </w:r>
      <w:r>
        <w:rPr>
          <w:rStyle w:val="default"/>
          <w:rFonts w:cs="FrankRuehl" w:hint="cs"/>
          <w:rtl/>
        </w:rPr>
        <w:t xml:space="preserve">רכב פרטי כמשמעותו </w:t>
      </w:r>
      <w:r>
        <w:rPr>
          <w:rStyle w:val="default"/>
          <w:rFonts w:cs="FrankRuehl"/>
          <w:rtl/>
        </w:rPr>
        <w:t>בפ</w:t>
      </w:r>
      <w:r>
        <w:rPr>
          <w:rStyle w:val="default"/>
          <w:rFonts w:cs="FrankRuehl" w:hint="cs"/>
          <w:rtl/>
        </w:rPr>
        <w:t>קודת התעבורה;</w:t>
      </w:r>
    </w:p>
    <w:p w:rsidR="00202A4E" w:rsidRDefault="00202A4E" w:rsidP="004E0F13">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ציג מדינת חוץ" </w:t>
      </w:r>
      <w:r w:rsidR="004E0F13">
        <w:rPr>
          <w:rStyle w:val="default"/>
          <w:rFonts w:cs="FrankRuehl" w:hint="cs"/>
          <w:rtl/>
        </w:rPr>
        <w:t>-</w:t>
      </w:r>
      <w:r>
        <w:rPr>
          <w:rStyle w:val="default"/>
          <w:rFonts w:cs="FrankRuehl"/>
          <w:rtl/>
        </w:rPr>
        <w:t xml:space="preserve"> </w:t>
      </w:r>
      <w:r>
        <w:rPr>
          <w:rStyle w:val="default"/>
          <w:rFonts w:cs="FrankRuehl" w:hint="cs"/>
          <w:rtl/>
        </w:rPr>
        <w:t>ממונה על ענייני צירות, יועץ לשגרירות או לצירות, מזכיר לשגרירות או לצירות, פקיד המועסק בידי שגרירות או צירות, קונסול כללי, קונסול, סגן קונסול, קונסול כללי בפועל, קונסול בפועל או סוכן קונסולרי של מדינת חוץ או פקיד המועסק ב</w:t>
      </w:r>
      <w:r>
        <w:rPr>
          <w:rStyle w:val="default"/>
          <w:rFonts w:cs="FrankRuehl"/>
          <w:rtl/>
        </w:rPr>
        <w:t>יד</w:t>
      </w:r>
      <w:r>
        <w:rPr>
          <w:rStyle w:val="default"/>
          <w:rFonts w:cs="FrankRuehl" w:hint="cs"/>
          <w:rtl/>
        </w:rPr>
        <w:t>י קונסוליה של מדינת חוץ, שנתק</w:t>
      </w:r>
      <w:r>
        <w:rPr>
          <w:rStyle w:val="default"/>
          <w:rFonts w:cs="FrankRuehl"/>
          <w:rtl/>
        </w:rPr>
        <w:t>י</w:t>
      </w:r>
      <w:r>
        <w:rPr>
          <w:rStyle w:val="default"/>
          <w:rFonts w:cs="FrankRuehl" w:hint="cs"/>
          <w:rtl/>
        </w:rPr>
        <w:t>ימו לגביהם התנאים הבאים:</w:t>
      </w:r>
    </w:p>
    <w:p w:rsidR="00202A4E" w:rsidRDefault="00202A4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ם הוכרו ככאלה בידי שר החוץ;</w:t>
      </w:r>
    </w:p>
    <w:p w:rsidR="00202A4E" w:rsidRDefault="00202A4E">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ם אזרחי חוץ ואינם עוסקים בכל עסק או מקצוע אחר בישראל;</w:t>
      </w:r>
    </w:p>
    <w:p w:rsidR="00202A4E" w:rsidRDefault="00202A4E">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ם משמשים בתפקידים בישראל.</w:t>
      </w:r>
    </w:p>
    <w:p w:rsidR="00202A4E" w:rsidRDefault="00202A4E" w:rsidP="004E0F13">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ציגות מדינת חוץ" </w:t>
      </w:r>
      <w:r w:rsidR="004E0F13">
        <w:rPr>
          <w:rStyle w:val="default"/>
          <w:rFonts w:cs="FrankRuehl" w:hint="cs"/>
          <w:rtl/>
        </w:rPr>
        <w:t>-</w:t>
      </w:r>
      <w:r>
        <w:rPr>
          <w:rStyle w:val="default"/>
          <w:rFonts w:cs="FrankRuehl"/>
          <w:rtl/>
        </w:rPr>
        <w:t xml:space="preserve"> </w:t>
      </w:r>
      <w:r>
        <w:rPr>
          <w:rStyle w:val="default"/>
          <w:rFonts w:cs="FrankRuehl" w:hint="cs"/>
          <w:rtl/>
        </w:rPr>
        <w:t>שגרירות, צירות, קונסוליה כללית,</w:t>
      </w:r>
      <w:r>
        <w:rPr>
          <w:rStyle w:val="default"/>
          <w:rFonts w:cs="FrankRuehl"/>
          <w:rtl/>
        </w:rPr>
        <w:t xml:space="preserve"> ק</w:t>
      </w:r>
      <w:r>
        <w:rPr>
          <w:rStyle w:val="default"/>
          <w:rFonts w:cs="FrankRuehl" w:hint="cs"/>
          <w:rtl/>
        </w:rPr>
        <w:t>ונסוליה או סוכנות קו</w:t>
      </w:r>
      <w:r>
        <w:rPr>
          <w:rStyle w:val="default"/>
          <w:rFonts w:cs="FrankRuehl"/>
          <w:rtl/>
        </w:rPr>
        <w:t>נס</w:t>
      </w:r>
      <w:r>
        <w:rPr>
          <w:rStyle w:val="default"/>
          <w:rFonts w:cs="FrankRuehl" w:hint="cs"/>
          <w:rtl/>
        </w:rPr>
        <w:t>ולרית של מדינת חוץ;</w:t>
      </w:r>
    </w:p>
    <w:p w:rsidR="00202A4E" w:rsidRDefault="00202A4E" w:rsidP="004E0F13">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אש נצי</w:t>
      </w:r>
      <w:r>
        <w:rPr>
          <w:rStyle w:val="default"/>
          <w:rFonts w:cs="FrankRuehl"/>
          <w:rtl/>
        </w:rPr>
        <w:t>ג</w:t>
      </w:r>
      <w:r>
        <w:rPr>
          <w:rStyle w:val="default"/>
          <w:rFonts w:cs="FrankRuehl" w:hint="cs"/>
          <w:rtl/>
        </w:rPr>
        <w:t xml:space="preserve">ות" </w:t>
      </w:r>
      <w:r w:rsidR="004E0F13">
        <w:rPr>
          <w:rStyle w:val="default"/>
          <w:rFonts w:cs="FrankRuehl" w:hint="cs"/>
          <w:rtl/>
        </w:rPr>
        <w:t>-</w:t>
      </w:r>
      <w:r>
        <w:rPr>
          <w:rStyle w:val="default"/>
          <w:rFonts w:cs="FrankRuehl"/>
          <w:rtl/>
        </w:rPr>
        <w:t xml:space="preserve"> </w:t>
      </w:r>
      <w:r>
        <w:rPr>
          <w:rStyle w:val="default"/>
          <w:rFonts w:cs="FrankRuehl" w:hint="cs"/>
          <w:rtl/>
        </w:rPr>
        <w:t>שגריר, ציר, מיופה כוח העומדים בראש נציגות של מדינת חוץ בישראל.</w:t>
      </w:r>
    </w:p>
    <w:p w:rsidR="00202A4E" w:rsidRDefault="00202A4E">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ק ב': פטור לראש נציגות ולנציגות מדינת חוץ</w:t>
      </w:r>
    </w:p>
    <w:p w:rsidR="00202A4E" w:rsidRDefault="00202A4E">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16pt;z-index:251655168" o:allowincell="f" filled="f" stroked="f" strokecolor="lime" strokeweight=".25pt">
            <v:textbox style="mso-next-textbox:#_x0000_s1027" inset="0,0,0,0">
              <w:txbxContent>
                <w:p w:rsidR="00202A4E" w:rsidRDefault="00202A4E" w:rsidP="004E0F13">
                  <w:pPr>
                    <w:spacing w:line="160" w:lineRule="exact"/>
                    <w:jc w:val="left"/>
                    <w:rPr>
                      <w:rFonts w:cs="Miriam"/>
                      <w:noProof/>
                      <w:sz w:val="18"/>
                      <w:szCs w:val="18"/>
                      <w:rtl/>
                    </w:rPr>
                  </w:pPr>
                  <w:r>
                    <w:rPr>
                      <w:rFonts w:cs="Miriam"/>
                      <w:sz w:val="18"/>
                      <w:szCs w:val="18"/>
                      <w:rtl/>
                    </w:rPr>
                    <w:t>פט</w:t>
                  </w:r>
                  <w:r>
                    <w:rPr>
                      <w:rFonts w:cs="Miriam" w:hint="cs"/>
                      <w:sz w:val="18"/>
                      <w:szCs w:val="18"/>
                      <w:rtl/>
                    </w:rPr>
                    <w:t>ור לראש</w:t>
                  </w:r>
                  <w:r w:rsidR="004E0F13">
                    <w:rPr>
                      <w:rFonts w:cs="Miriam" w:hint="cs"/>
                      <w:sz w:val="18"/>
                      <w:szCs w:val="18"/>
                      <w:rtl/>
                    </w:rPr>
                    <w:t xml:space="preserve"> </w:t>
                  </w:r>
                  <w:r>
                    <w:rPr>
                      <w:rFonts w:cs="Miriam"/>
                      <w:sz w:val="18"/>
                      <w:szCs w:val="18"/>
                      <w:rtl/>
                    </w:rPr>
                    <w:t>נצ</w:t>
                  </w:r>
                  <w:r>
                    <w:rPr>
                      <w:rFonts w:cs="Miriam" w:hint="cs"/>
                      <w:sz w:val="18"/>
                      <w:szCs w:val="18"/>
                      <w:rtl/>
                    </w:rPr>
                    <w:t>יגות</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כונית שראש נציגות מעביר אותה לזולתו לאחר שהשתמש בה במשך התקופה הנקובה בתוספת א' בטור א' תהיה פטורה מהמ</w:t>
      </w:r>
      <w:r>
        <w:rPr>
          <w:rStyle w:val="default"/>
          <w:rFonts w:cs="FrankRuehl"/>
          <w:rtl/>
        </w:rPr>
        <w:t>כס</w:t>
      </w:r>
      <w:r>
        <w:rPr>
          <w:rStyle w:val="default"/>
          <w:rFonts w:cs="FrankRuehl" w:hint="cs"/>
          <w:rtl/>
        </w:rPr>
        <w:t xml:space="preserve"> החל לפי סעיף 141 לפקודה בשיעור הנקוב שם בטור ב' לצד התקופה, אם נתמלאו תנאים אלה:</w:t>
      </w:r>
    </w:p>
    <w:p w:rsidR="00202A4E" w:rsidRDefault="00202A4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מדינה שבראש נציגותה עומד מבקש הפטור גומלת פטור דומה למדינת ישראל;</w:t>
      </w:r>
    </w:p>
    <w:p w:rsidR="00202A4E" w:rsidRDefault="00202A4E">
      <w:pPr>
        <w:pStyle w:val="P22"/>
        <w:spacing w:before="72"/>
        <w:ind w:left="1021" w:right="1134"/>
        <w:rPr>
          <w:rStyle w:val="default"/>
          <w:rFonts w:cs="FrankRuehl"/>
          <w:rtl/>
        </w:rPr>
      </w:pPr>
      <w:r>
        <w:rPr>
          <w:rStyle w:val="default"/>
          <w:rFonts w:cs="FrankRuehl"/>
          <w:rtl/>
        </w:rPr>
        <w:t>(2)</w:t>
      </w:r>
      <w:r>
        <w:rPr>
          <w:rStyle w:val="default"/>
          <w:rFonts w:cs="FrankRuehl"/>
          <w:rtl/>
        </w:rPr>
        <w:tab/>
        <w:t>ש</w:t>
      </w:r>
      <w:r>
        <w:rPr>
          <w:rStyle w:val="default"/>
          <w:rFonts w:cs="FrankRuehl" w:hint="cs"/>
          <w:rtl/>
        </w:rPr>
        <w:t>ר</w:t>
      </w:r>
      <w:r>
        <w:rPr>
          <w:rStyle w:val="default"/>
          <w:rFonts w:cs="FrankRuehl"/>
          <w:rtl/>
        </w:rPr>
        <w:t xml:space="preserve"> ה</w:t>
      </w:r>
      <w:r>
        <w:rPr>
          <w:rStyle w:val="default"/>
          <w:rFonts w:cs="FrankRuehl" w:hint="cs"/>
          <w:rtl/>
        </w:rPr>
        <w:t xml:space="preserve">חוץ או מי </w:t>
      </w:r>
      <w:r>
        <w:rPr>
          <w:rStyle w:val="default"/>
          <w:rFonts w:cs="FrankRuehl"/>
          <w:rtl/>
        </w:rPr>
        <w:t>ש</w:t>
      </w:r>
      <w:r>
        <w:rPr>
          <w:rStyle w:val="default"/>
          <w:rFonts w:cs="FrankRuehl" w:hint="cs"/>
          <w:rtl/>
        </w:rPr>
        <w:t>הוא הסמיכו לענין תקנות אלה המליץ על הפטור;</w:t>
      </w:r>
    </w:p>
    <w:p w:rsidR="00202A4E" w:rsidRDefault="00202A4E">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מכונית היתה בישראל בשימושו העצמי של ראש הנציגות, בתפקידו זה, שנתיים לפחות;</w:t>
      </w:r>
    </w:p>
    <w:p w:rsidR="00202A4E" w:rsidRDefault="00202A4E">
      <w:pPr>
        <w:pStyle w:val="P22"/>
        <w:spacing w:before="72"/>
        <w:ind w:left="1021" w:right="1134"/>
        <w:rPr>
          <w:rStyle w:val="default"/>
          <w:rFonts w:cs="FrankRuehl"/>
          <w:rtl/>
        </w:rPr>
      </w:pPr>
      <w:r>
        <w:rPr>
          <w:rStyle w:val="default"/>
          <w:rFonts w:cs="FrankRuehl" w:hint="cs"/>
          <w:rtl/>
        </w:rPr>
        <w:t>(4)</w:t>
      </w:r>
      <w:r>
        <w:rPr>
          <w:rStyle w:val="default"/>
          <w:rFonts w:cs="FrankRuehl"/>
          <w:rtl/>
        </w:rPr>
        <w:tab/>
        <w:t>ר</w:t>
      </w:r>
      <w:r>
        <w:rPr>
          <w:rStyle w:val="default"/>
          <w:rFonts w:cs="FrankRuehl" w:hint="cs"/>
          <w:rtl/>
        </w:rPr>
        <w:t>אש הנציגות לא נהנה מפטור לפי תקנות אלה במשך השנתיים שלפני ההעברה.</w:t>
      </w:r>
    </w:p>
    <w:p w:rsidR="00202A4E" w:rsidRDefault="00202A4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חישוב התקופות האמורות בתקנת משנה (א) י</w:t>
      </w:r>
      <w:r>
        <w:rPr>
          <w:rStyle w:val="default"/>
          <w:rFonts w:cs="FrankRuehl"/>
          <w:rtl/>
        </w:rPr>
        <w:t>רא</w:t>
      </w:r>
      <w:r>
        <w:rPr>
          <w:rStyle w:val="default"/>
          <w:rFonts w:cs="FrankRuehl" w:hint="cs"/>
          <w:rtl/>
        </w:rPr>
        <w:t>ו את ראש הנציגות כאילו הוא נהנה מהפטור אם נהנתה נציגות מדינת החוץ מפטור.</w:t>
      </w:r>
    </w:p>
    <w:p w:rsidR="00202A4E" w:rsidRDefault="00202A4E">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20.85pt;z-index:251656192" o:allowincell="f" filled="f" stroked="f" strokecolor="lime" strokeweight=".25pt">
            <v:textbox style="mso-next-textbox:#_x0000_s1028" inset="0,0,0,0">
              <w:txbxContent>
                <w:p w:rsidR="00202A4E" w:rsidRDefault="00202A4E" w:rsidP="004E0F13">
                  <w:pPr>
                    <w:spacing w:line="160" w:lineRule="exact"/>
                    <w:jc w:val="left"/>
                    <w:rPr>
                      <w:rFonts w:cs="Miriam"/>
                      <w:noProof/>
                      <w:sz w:val="18"/>
                      <w:szCs w:val="18"/>
                      <w:rtl/>
                    </w:rPr>
                  </w:pPr>
                  <w:r>
                    <w:rPr>
                      <w:rFonts w:cs="Miriam"/>
                      <w:sz w:val="18"/>
                      <w:szCs w:val="18"/>
                      <w:rtl/>
                    </w:rPr>
                    <w:t>פט</w:t>
                  </w:r>
                  <w:r>
                    <w:rPr>
                      <w:rFonts w:cs="Miriam" w:hint="cs"/>
                      <w:sz w:val="18"/>
                      <w:szCs w:val="18"/>
                      <w:rtl/>
                    </w:rPr>
                    <w:t>ור לנציגות</w:t>
                  </w:r>
                  <w:r w:rsidR="004E0F13">
                    <w:rPr>
                      <w:rFonts w:cs="Miriam" w:hint="cs"/>
                      <w:sz w:val="18"/>
                      <w:szCs w:val="18"/>
                      <w:rtl/>
                    </w:rPr>
                    <w:t xml:space="preserve"> </w:t>
                  </w:r>
                  <w:r>
                    <w:rPr>
                      <w:rFonts w:cs="Miriam"/>
                      <w:sz w:val="18"/>
                      <w:szCs w:val="18"/>
                      <w:rtl/>
                    </w:rPr>
                    <w:t>מד</w:t>
                  </w:r>
                  <w:r>
                    <w:rPr>
                      <w:rFonts w:cs="Miriam" w:hint="cs"/>
                      <w:sz w:val="18"/>
                      <w:szCs w:val="18"/>
                      <w:rtl/>
                    </w:rPr>
                    <w:t>ינת חוץ</w:t>
                  </w:r>
                </w:p>
              </w:txbxContent>
            </v:textbox>
            <w10:anchorlock/>
          </v:rect>
        </w:pict>
      </w:r>
      <w:r>
        <w:rPr>
          <w:rStyle w:val="big-number"/>
          <w:rFonts w:cs="Miriam"/>
          <w:rtl/>
        </w:rPr>
        <w:t>3.</w:t>
      </w:r>
      <w:r>
        <w:rPr>
          <w:rStyle w:val="big-number"/>
          <w:rFonts w:cs="Miriam"/>
          <w:rtl/>
        </w:rPr>
        <w:tab/>
      </w:r>
      <w:r>
        <w:rPr>
          <w:rStyle w:val="default"/>
          <w:rFonts w:cs="FrankRuehl"/>
          <w:rtl/>
        </w:rPr>
        <w:t>נצ</w:t>
      </w:r>
      <w:r>
        <w:rPr>
          <w:rStyle w:val="default"/>
          <w:rFonts w:cs="FrankRuehl" w:hint="cs"/>
          <w:rtl/>
        </w:rPr>
        <w:t xml:space="preserve">יגות מדינת חוץ שעל שמה היתה רשומה מכונית תהיה זכאית לפטור המוענק לראש נציגות לפי תקנות אלה אם מילאה אחר כל התנאים שבתקנה 2, בשינויים המחוייבים לפי הענין, וראש הנציגות לא מימש </w:t>
      </w:r>
      <w:r>
        <w:rPr>
          <w:rStyle w:val="default"/>
          <w:rFonts w:cs="FrankRuehl"/>
          <w:rtl/>
        </w:rPr>
        <w:t>זכ</w:t>
      </w:r>
      <w:r>
        <w:rPr>
          <w:rStyle w:val="default"/>
          <w:rFonts w:cs="FrankRuehl" w:hint="cs"/>
          <w:rtl/>
        </w:rPr>
        <w:t>ותו לפטור לפי תקנה 2 במשך השנתיים שלפני ההעברה.</w:t>
      </w:r>
    </w:p>
    <w:p w:rsidR="00202A4E" w:rsidRDefault="00202A4E">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19.75pt;z-index:251657216" o:allowincell="f" filled="f" stroked="f" strokecolor="lime" strokeweight=".25pt">
            <v:textbox style="mso-next-textbox:#_x0000_s1029" inset="0,0,0,0">
              <w:txbxContent>
                <w:p w:rsidR="00202A4E" w:rsidRDefault="00202A4E" w:rsidP="004E0F13">
                  <w:pPr>
                    <w:spacing w:line="160" w:lineRule="exact"/>
                    <w:jc w:val="left"/>
                    <w:rPr>
                      <w:rFonts w:cs="Miriam"/>
                      <w:noProof/>
                      <w:sz w:val="18"/>
                      <w:szCs w:val="18"/>
                      <w:rtl/>
                    </w:rPr>
                  </w:pPr>
                  <w:r>
                    <w:rPr>
                      <w:rFonts w:cs="Miriam"/>
                      <w:sz w:val="18"/>
                      <w:szCs w:val="18"/>
                      <w:rtl/>
                    </w:rPr>
                    <w:t>קי</w:t>
                  </w:r>
                  <w:r>
                    <w:rPr>
                      <w:rFonts w:cs="Miriam" w:hint="cs"/>
                      <w:sz w:val="18"/>
                      <w:szCs w:val="18"/>
                      <w:rtl/>
                    </w:rPr>
                    <w:t>צור תקופת</w:t>
                  </w:r>
                  <w:r w:rsidR="004E0F13">
                    <w:rPr>
                      <w:rFonts w:cs="Miriam" w:hint="cs"/>
                      <w:sz w:val="18"/>
                      <w:szCs w:val="18"/>
                      <w:rtl/>
                    </w:rPr>
                    <w:t xml:space="preserve"> </w:t>
                  </w:r>
                  <w:r>
                    <w:rPr>
                      <w:rFonts w:cs="Miriam"/>
                      <w:sz w:val="18"/>
                      <w:szCs w:val="18"/>
                      <w:rtl/>
                    </w:rPr>
                    <w:t>הש</w:t>
                  </w:r>
                  <w:r>
                    <w:rPr>
                      <w:rFonts w:cs="Miriam" w:hint="cs"/>
                      <w:sz w:val="18"/>
                      <w:szCs w:val="18"/>
                      <w:rtl/>
                    </w:rPr>
                    <w:t>ימוש</w:t>
                  </w:r>
                </w:p>
              </w:txbxContent>
            </v:textbox>
            <w10:anchorlock/>
          </v:rect>
        </w:pict>
      </w:r>
      <w:r>
        <w:rPr>
          <w:rStyle w:val="big-number"/>
          <w:rFonts w:cs="Miriam"/>
          <w:rtl/>
        </w:rPr>
        <w:t>4.</w:t>
      </w:r>
      <w:r>
        <w:rPr>
          <w:rStyle w:val="big-number"/>
          <w:rFonts w:cs="Miriam"/>
          <w:rtl/>
        </w:rPr>
        <w:tab/>
      </w:r>
      <w:r>
        <w:rPr>
          <w:rStyle w:val="default"/>
          <w:rFonts w:cs="FrankRuehl"/>
          <w:rtl/>
        </w:rPr>
        <w:t>על</w:t>
      </w:r>
      <w:r>
        <w:rPr>
          <w:rStyle w:val="default"/>
          <w:rFonts w:cs="FrankRuehl" w:hint="cs"/>
          <w:rtl/>
        </w:rPr>
        <w:t xml:space="preserve"> אף האמור בתקנה 2(א)(3) רשאי גובה המכס לאשר פטור על פי הוראת תקנה 2, בשיעור הנקוב בתוספת א', לראש נציגות המסיים שירותו בישראל לגבי מכונית שהיתה בשימושו העצמי בישראל ל</w:t>
      </w:r>
      <w:r>
        <w:rPr>
          <w:rStyle w:val="default"/>
          <w:rFonts w:cs="FrankRuehl"/>
          <w:rtl/>
        </w:rPr>
        <w:t>פ</w:t>
      </w:r>
      <w:r>
        <w:rPr>
          <w:rStyle w:val="default"/>
          <w:rFonts w:cs="FrankRuehl" w:hint="cs"/>
          <w:rtl/>
        </w:rPr>
        <w:t>חות שנה אחת עד ליום העברתה.</w:t>
      </w:r>
    </w:p>
    <w:p w:rsidR="00202A4E" w:rsidRDefault="00202A4E">
      <w:pPr>
        <w:pStyle w:val="medium2-header"/>
        <w:keepLines w:val="0"/>
        <w:spacing w:before="72"/>
        <w:ind w:left="0" w:right="1134"/>
        <w:rPr>
          <w:rFonts w:cs="FrankRuehl"/>
          <w:noProof/>
          <w:rtl/>
        </w:rPr>
      </w:pPr>
      <w:bookmarkStart w:id="6" w:name="med2"/>
      <w:bookmarkEnd w:id="6"/>
      <w:r>
        <w:rPr>
          <w:rFonts w:cs="FrankRuehl"/>
          <w:noProof/>
          <w:rtl/>
        </w:rPr>
        <w:t>פר</w:t>
      </w:r>
      <w:r>
        <w:rPr>
          <w:rFonts w:cs="FrankRuehl" w:hint="cs"/>
          <w:noProof/>
          <w:rtl/>
        </w:rPr>
        <w:t>ק ג</w:t>
      </w:r>
      <w:r>
        <w:rPr>
          <w:rFonts w:cs="FrankRuehl"/>
          <w:noProof/>
          <w:rtl/>
        </w:rPr>
        <w:t>': פ</w:t>
      </w:r>
      <w:r>
        <w:rPr>
          <w:rFonts w:cs="FrankRuehl" w:hint="cs"/>
          <w:noProof/>
          <w:rtl/>
        </w:rPr>
        <w:t>טור לנציג מדינת חוץ</w:t>
      </w:r>
    </w:p>
    <w:p w:rsidR="00202A4E" w:rsidRDefault="00202A4E">
      <w:pPr>
        <w:pStyle w:val="P00"/>
        <w:spacing w:before="72"/>
        <w:ind w:left="0" w:right="1134"/>
        <w:rPr>
          <w:rStyle w:val="default"/>
          <w:rFonts w:cs="FrankRuehl"/>
          <w:rtl/>
        </w:rPr>
      </w:pPr>
      <w:bookmarkStart w:id="7" w:name="Seif5"/>
      <w:bookmarkEnd w:id="7"/>
      <w:r>
        <w:rPr>
          <w:lang w:val="he-IL"/>
        </w:rPr>
        <w:pict>
          <v:rect id="_x0000_s1030" style="position:absolute;left:0;text-align:left;margin-left:464.5pt;margin-top:8.05pt;width:75.05pt;height:27.4pt;z-index:251658240" o:allowincell="f" filled="f" stroked="f" strokecolor="lime" strokeweight=".25pt">
            <v:textbox style="mso-next-textbox:#_x0000_s1030" inset="0,0,0,0">
              <w:txbxContent>
                <w:p w:rsidR="00202A4E" w:rsidRDefault="00202A4E" w:rsidP="004E0F13">
                  <w:pPr>
                    <w:spacing w:line="160" w:lineRule="exact"/>
                    <w:jc w:val="left"/>
                    <w:rPr>
                      <w:rFonts w:cs="Miriam"/>
                      <w:noProof/>
                      <w:sz w:val="18"/>
                      <w:szCs w:val="18"/>
                      <w:rtl/>
                    </w:rPr>
                  </w:pPr>
                  <w:r>
                    <w:rPr>
                      <w:rFonts w:cs="Miriam"/>
                      <w:sz w:val="18"/>
                      <w:szCs w:val="18"/>
                      <w:rtl/>
                    </w:rPr>
                    <w:t>פט</w:t>
                  </w:r>
                  <w:r>
                    <w:rPr>
                      <w:rFonts w:cs="Miriam" w:hint="cs"/>
                      <w:sz w:val="18"/>
                      <w:szCs w:val="18"/>
                      <w:rtl/>
                    </w:rPr>
                    <w:t>ור לנציג</w:t>
                  </w:r>
                  <w:r w:rsidR="004E0F13">
                    <w:rPr>
                      <w:rFonts w:cs="Miriam" w:hint="cs"/>
                      <w:sz w:val="18"/>
                      <w:szCs w:val="18"/>
                      <w:rtl/>
                    </w:rPr>
                    <w:t xml:space="preserve"> </w:t>
                  </w:r>
                  <w:r>
                    <w:rPr>
                      <w:rFonts w:cs="Miriam"/>
                      <w:sz w:val="18"/>
                      <w:szCs w:val="18"/>
                      <w:rtl/>
                    </w:rPr>
                    <w:t>מד</w:t>
                  </w:r>
                  <w:r>
                    <w:rPr>
                      <w:rFonts w:cs="Miriam" w:hint="cs"/>
                      <w:sz w:val="18"/>
                      <w:szCs w:val="18"/>
                      <w:rtl/>
                    </w:rPr>
                    <w:t>ינת חוץ</w:t>
                  </w:r>
                </w:p>
              </w:txbxContent>
            </v:textbox>
            <w10:anchorlock/>
          </v:rect>
        </w:pict>
      </w:r>
      <w:r>
        <w:rPr>
          <w:rStyle w:val="big-number"/>
          <w:rFonts w:cs="Miriam"/>
          <w:rtl/>
        </w:rPr>
        <w:t>5.</w:t>
      </w:r>
      <w:r>
        <w:rPr>
          <w:rStyle w:val="big-number"/>
          <w:rFonts w:cs="Miriam"/>
          <w:rtl/>
        </w:rPr>
        <w:tab/>
      </w:r>
      <w:r>
        <w:rPr>
          <w:rStyle w:val="default"/>
          <w:rFonts w:cs="FrankRuehl"/>
          <w:rtl/>
        </w:rPr>
        <w:t>מכ</w:t>
      </w:r>
      <w:r>
        <w:rPr>
          <w:rStyle w:val="default"/>
          <w:rFonts w:cs="FrankRuehl" w:hint="cs"/>
          <w:rtl/>
        </w:rPr>
        <w:t xml:space="preserve">ונית שנציג מדינת חוץ מעביר אותה לזולתו לאחר שהשתמש בה במשך התקופה הנקובה בתוספת ב' בטור א', תהיה פטורה מהמכס החל לפי סעיף 141 לפקודה, בשיעור הנקוב שם בטור ב' לצד התקופה </w:t>
      </w:r>
      <w:r>
        <w:rPr>
          <w:rStyle w:val="default"/>
          <w:rFonts w:cs="FrankRuehl"/>
          <w:rtl/>
        </w:rPr>
        <w:t>א</w:t>
      </w:r>
      <w:r>
        <w:rPr>
          <w:rStyle w:val="default"/>
          <w:rFonts w:cs="FrankRuehl" w:hint="cs"/>
          <w:rtl/>
        </w:rPr>
        <w:t>ם נתמלאו כל אלה:</w:t>
      </w:r>
    </w:p>
    <w:p w:rsidR="00202A4E" w:rsidRDefault="00202A4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מדינה של נציג מדינת חוץ מבקש הפטור</w:t>
      </w:r>
      <w:r>
        <w:rPr>
          <w:rStyle w:val="default"/>
          <w:rFonts w:cs="FrankRuehl"/>
          <w:rtl/>
        </w:rPr>
        <w:t xml:space="preserve"> ג</w:t>
      </w:r>
      <w:r>
        <w:rPr>
          <w:rStyle w:val="default"/>
          <w:rFonts w:cs="FrankRuehl" w:hint="cs"/>
          <w:rtl/>
        </w:rPr>
        <w:t>ומלת פטור דומה למדינת ישראל;</w:t>
      </w:r>
    </w:p>
    <w:p w:rsidR="00202A4E" w:rsidRDefault="00202A4E">
      <w:pPr>
        <w:pStyle w:val="P22"/>
        <w:spacing w:before="72"/>
        <w:ind w:left="1021" w:right="1134"/>
        <w:rPr>
          <w:rStyle w:val="default"/>
          <w:rFonts w:cs="FrankRuehl"/>
          <w:rtl/>
        </w:rPr>
      </w:pPr>
      <w:r>
        <w:rPr>
          <w:rStyle w:val="default"/>
          <w:rFonts w:cs="FrankRuehl" w:hint="cs"/>
          <w:rtl/>
        </w:rPr>
        <w:lastRenderedPageBreak/>
        <w:t>(2)</w:t>
      </w:r>
      <w:r>
        <w:rPr>
          <w:rStyle w:val="default"/>
          <w:rFonts w:cs="FrankRuehl"/>
          <w:rtl/>
        </w:rPr>
        <w:tab/>
        <w:t>ש</w:t>
      </w:r>
      <w:r>
        <w:rPr>
          <w:rStyle w:val="default"/>
          <w:rFonts w:cs="FrankRuehl" w:hint="cs"/>
          <w:rtl/>
        </w:rPr>
        <w:t>ר החוץ או מי שהוא הסמיכו לענין תקנות אלה המליץ על הפטור.</w:t>
      </w:r>
    </w:p>
    <w:p w:rsidR="00202A4E" w:rsidRDefault="00202A4E">
      <w:pPr>
        <w:pStyle w:val="P00"/>
        <w:spacing w:before="72"/>
        <w:ind w:left="0" w:right="1134"/>
        <w:rPr>
          <w:rStyle w:val="default"/>
          <w:rFonts w:cs="FrankRuehl"/>
          <w:rtl/>
        </w:rPr>
      </w:pPr>
      <w:bookmarkStart w:id="8" w:name="Seif6"/>
      <w:bookmarkEnd w:id="8"/>
      <w:r>
        <w:rPr>
          <w:lang w:val="he-IL"/>
        </w:rPr>
        <w:pict>
          <v:rect id="_x0000_s1031" style="position:absolute;left:0;text-align:left;margin-left:464.5pt;margin-top:8.05pt;width:75.05pt;height:21.05pt;z-index:251659264" o:allowincell="f" filled="f" stroked="f" strokecolor="lime" strokeweight=".25pt">
            <v:textbox style="mso-next-textbox:#_x0000_s1031" inset="0,0,0,0">
              <w:txbxContent>
                <w:p w:rsidR="00202A4E" w:rsidRDefault="00202A4E" w:rsidP="004E0F13">
                  <w:pPr>
                    <w:spacing w:line="160" w:lineRule="exact"/>
                    <w:jc w:val="left"/>
                    <w:rPr>
                      <w:rFonts w:cs="Miriam"/>
                      <w:noProof/>
                      <w:sz w:val="18"/>
                      <w:szCs w:val="18"/>
                      <w:rtl/>
                    </w:rPr>
                  </w:pPr>
                  <w:r>
                    <w:rPr>
                      <w:rFonts w:cs="Miriam"/>
                      <w:sz w:val="18"/>
                      <w:szCs w:val="18"/>
                      <w:rtl/>
                    </w:rPr>
                    <w:t>פט</w:t>
                  </w:r>
                  <w:r>
                    <w:rPr>
                      <w:rFonts w:cs="Miriam" w:hint="cs"/>
                      <w:sz w:val="18"/>
                      <w:szCs w:val="18"/>
                      <w:rtl/>
                    </w:rPr>
                    <w:t>ור על</w:t>
                  </w:r>
                  <w:r w:rsidR="004E0F13">
                    <w:rPr>
                      <w:rFonts w:cs="Miriam" w:hint="cs"/>
                      <w:sz w:val="18"/>
                      <w:szCs w:val="18"/>
                      <w:rtl/>
                    </w:rPr>
                    <w:t xml:space="preserve"> </w:t>
                  </w:r>
                  <w:r>
                    <w:rPr>
                      <w:rFonts w:cs="Miriam"/>
                      <w:sz w:val="18"/>
                      <w:szCs w:val="18"/>
                      <w:rtl/>
                    </w:rPr>
                    <w:t>מכ</w:t>
                  </w:r>
                  <w:r>
                    <w:rPr>
                      <w:rFonts w:cs="Miriam" w:hint="cs"/>
                      <w:sz w:val="18"/>
                      <w:szCs w:val="18"/>
                      <w:rtl/>
                    </w:rPr>
                    <w:t>ונית משומשת</w:t>
                  </w:r>
                </w:p>
              </w:txbxContent>
            </v:textbox>
            <w10:anchorlock/>
          </v:rect>
        </w:pict>
      </w:r>
      <w:r>
        <w:rPr>
          <w:rStyle w:val="big-number"/>
          <w:rFonts w:cs="Miriam"/>
          <w:rtl/>
        </w:rPr>
        <w:t>6.</w:t>
      </w:r>
      <w:r>
        <w:rPr>
          <w:rStyle w:val="big-number"/>
          <w:rFonts w:cs="Miriam"/>
          <w:rtl/>
        </w:rPr>
        <w:tab/>
      </w:r>
      <w:r>
        <w:rPr>
          <w:rStyle w:val="default"/>
          <w:rFonts w:cs="FrankRuehl"/>
          <w:rtl/>
        </w:rPr>
        <w:t>על</w:t>
      </w:r>
      <w:r>
        <w:rPr>
          <w:rStyle w:val="default"/>
          <w:rFonts w:cs="FrankRuehl" w:hint="cs"/>
          <w:rtl/>
        </w:rPr>
        <w:t xml:space="preserve"> אף האמור בתקנה 5, תהיה העברתה של מכונית שיובאה בידי נציג מדינת חוץ כמשומשת מהנציג לזולתו, פטורה ממכס כאמור בתקנה 5 אם בנוסף לתנאים הנקובים בפסקאות 5(1) ו-5(</w:t>
      </w:r>
      <w:r>
        <w:rPr>
          <w:rStyle w:val="default"/>
          <w:rFonts w:cs="FrankRuehl"/>
          <w:rtl/>
        </w:rPr>
        <w:t>2), י</w:t>
      </w:r>
      <w:r>
        <w:rPr>
          <w:rStyle w:val="default"/>
          <w:rFonts w:cs="FrankRuehl" w:hint="cs"/>
          <w:rtl/>
        </w:rPr>
        <w:t>וכח להנחת דעתו של גובה המכס כי המכונית היתה בישראל בשימושו של הנציג תקופה של שנתיים לפחות מיום ייבואה.</w:t>
      </w:r>
    </w:p>
    <w:p w:rsidR="00202A4E" w:rsidRDefault="00202A4E">
      <w:pPr>
        <w:pStyle w:val="P00"/>
        <w:spacing w:before="72"/>
        <w:ind w:left="0" w:right="1134"/>
        <w:rPr>
          <w:rStyle w:val="default"/>
          <w:rFonts w:cs="FrankRuehl"/>
          <w:rtl/>
        </w:rPr>
      </w:pPr>
      <w:bookmarkStart w:id="9" w:name="Seif7"/>
      <w:bookmarkEnd w:id="9"/>
      <w:r>
        <w:rPr>
          <w:lang w:val="he-IL"/>
        </w:rPr>
        <w:pict>
          <v:rect id="_x0000_s1032" style="position:absolute;left:0;text-align:left;margin-left:464.5pt;margin-top:8.05pt;width:75.05pt;height:18.35pt;z-index:251660288" o:allowincell="f" filled="f" stroked="f" strokecolor="lime" strokeweight=".25pt">
            <v:textbox style="mso-next-textbox:#_x0000_s1032" inset="0,0,0,0">
              <w:txbxContent>
                <w:p w:rsidR="00202A4E" w:rsidRDefault="00202A4E" w:rsidP="004E0F13">
                  <w:pPr>
                    <w:spacing w:line="160" w:lineRule="exact"/>
                    <w:jc w:val="left"/>
                    <w:rPr>
                      <w:rFonts w:cs="Miriam"/>
                      <w:noProof/>
                      <w:sz w:val="18"/>
                      <w:szCs w:val="18"/>
                      <w:rtl/>
                    </w:rPr>
                  </w:pPr>
                  <w:r>
                    <w:rPr>
                      <w:rFonts w:cs="Miriam"/>
                      <w:sz w:val="18"/>
                      <w:szCs w:val="18"/>
                      <w:rtl/>
                    </w:rPr>
                    <w:t>קי</w:t>
                  </w:r>
                  <w:r>
                    <w:rPr>
                      <w:rFonts w:cs="Miriam" w:hint="cs"/>
                      <w:sz w:val="18"/>
                      <w:szCs w:val="18"/>
                      <w:rtl/>
                    </w:rPr>
                    <w:t>צור תקופת</w:t>
                  </w:r>
                  <w:r w:rsidR="004E0F13">
                    <w:rPr>
                      <w:rFonts w:cs="Miriam" w:hint="cs"/>
                      <w:sz w:val="18"/>
                      <w:szCs w:val="18"/>
                      <w:rtl/>
                    </w:rPr>
                    <w:t xml:space="preserve"> </w:t>
                  </w:r>
                  <w:r>
                    <w:rPr>
                      <w:rFonts w:cs="Miriam"/>
                      <w:sz w:val="18"/>
                      <w:szCs w:val="18"/>
                      <w:rtl/>
                    </w:rPr>
                    <w:t>הש</w:t>
                  </w:r>
                  <w:r>
                    <w:rPr>
                      <w:rFonts w:cs="Miriam" w:hint="cs"/>
                      <w:sz w:val="18"/>
                      <w:szCs w:val="18"/>
                      <w:rtl/>
                    </w:rPr>
                    <w:t>ימוש</w:t>
                  </w:r>
                </w:p>
              </w:txbxContent>
            </v:textbox>
            <w10:anchorlock/>
          </v:rect>
        </w:pict>
      </w:r>
      <w:r>
        <w:rPr>
          <w:rStyle w:val="big-number"/>
          <w:rFonts w:cs="Miriam"/>
          <w:rtl/>
        </w:rPr>
        <w:t>7.</w:t>
      </w:r>
      <w:r>
        <w:rPr>
          <w:rStyle w:val="big-number"/>
          <w:rFonts w:cs="Miriam"/>
          <w:rtl/>
        </w:rPr>
        <w:tab/>
      </w:r>
      <w:r>
        <w:rPr>
          <w:rStyle w:val="default"/>
          <w:rFonts w:cs="FrankRuehl"/>
          <w:rtl/>
        </w:rPr>
        <w:t>על</w:t>
      </w:r>
      <w:r>
        <w:rPr>
          <w:rStyle w:val="default"/>
          <w:rFonts w:cs="FrankRuehl" w:hint="cs"/>
          <w:rtl/>
        </w:rPr>
        <w:t xml:space="preserve"> אף האמור בתקנה 6, רשאי גובה המכס לאשר פטור על פי הוראות תקנה 5 אם הוכח להנחת דעתו כי נתקיימו כל אלה:</w:t>
      </w:r>
    </w:p>
    <w:p w:rsidR="00202A4E" w:rsidRDefault="00202A4E">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ציג מדינ</w:t>
      </w:r>
      <w:r>
        <w:rPr>
          <w:rStyle w:val="default"/>
          <w:rFonts w:cs="FrankRuehl"/>
          <w:rtl/>
        </w:rPr>
        <w:t xml:space="preserve">ת </w:t>
      </w:r>
      <w:r>
        <w:rPr>
          <w:rStyle w:val="default"/>
          <w:rFonts w:cs="FrankRuehl" w:hint="cs"/>
          <w:rtl/>
        </w:rPr>
        <w:t>החוץ מסיים את שירותו בישראל לפני תום שנתיים מיום ייבואה של המכונית;</w:t>
      </w:r>
    </w:p>
    <w:p w:rsidR="00202A4E" w:rsidRDefault="00202A4E">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ציג מדינת החוץ השתמש במכונית בישראל לפחות שנה אחת עד ליום העברתה לזולתו;</w:t>
      </w:r>
    </w:p>
    <w:p w:rsidR="00202A4E" w:rsidRDefault="00202A4E">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ת</w:t>
      </w:r>
      <w:r>
        <w:rPr>
          <w:rStyle w:val="default"/>
          <w:rFonts w:cs="FrankRuehl"/>
          <w:rtl/>
        </w:rPr>
        <w:t>ק</w:t>
      </w:r>
      <w:r>
        <w:rPr>
          <w:rStyle w:val="default"/>
          <w:rFonts w:cs="FrankRuehl" w:hint="cs"/>
          <w:rtl/>
        </w:rPr>
        <w:t>יימו התנאים הנקובים בתקנות 5(1) ו-(2).</w:t>
      </w:r>
    </w:p>
    <w:p w:rsidR="00202A4E" w:rsidRDefault="00202A4E" w:rsidP="004E0F13">
      <w:pPr>
        <w:pStyle w:val="P00"/>
        <w:spacing w:before="72"/>
        <w:ind w:left="0" w:right="1134"/>
        <w:rPr>
          <w:rStyle w:val="default"/>
          <w:rFonts w:cs="FrankRuehl" w:hint="cs"/>
          <w:rtl/>
        </w:rPr>
      </w:pPr>
      <w:bookmarkStart w:id="10" w:name="Seif8"/>
      <w:bookmarkEnd w:id="10"/>
      <w:r>
        <w:rPr>
          <w:lang w:val="he-IL"/>
        </w:rPr>
        <w:pict>
          <v:rect id="_x0000_s1033" style="position:absolute;left:0;text-align:left;margin-left:464.5pt;margin-top:8.05pt;width:75.05pt;height:16.05pt;z-index:251661312" o:allowincell="f" filled="f" stroked="f" strokecolor="lime" strokeweight=".25pt">
            <v:textbox style="mso-next-textbox:#_x0000_s1033" inset="0,0,0,0">
              <w:txbxContent>
                <w:p w:rsidR="00202A4E" w:rsidRDefault="00202A4E">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8.</w:t>
      </w:r>
      <w:r>
        <w:rPr>
          <w:rStyle w:val="big-number"/>
          <w:rFonts w:cs="Miriam"/>
          <w:rtl/>
        </w:rPr>
        <w:tab/>
      </w:r>
      <w:r>
        <w:rPr>
          <w:rStyle w:val="default"/>
          <w:rFonts w:cs="FrankRuehl"/>
          <w:rtl/>
        </w:rPr>
        <w:t>תק</w:t>
      </w:r>
      <w:r>
        <w:rPr>
          <w:rStyle w:val="default"/>
          <w:rFonts w:cs="FrankRuehl" w:hint="cs"/>
          <w:rtl/>
        </w:rPr>
        <w:t>נות המכס (פטור למכונית שהועברה על ידי ראש נציגות),</w:t>
      </w:r>
      <w:r>
        <w:rPr>
          <w:rStyle w:val="default"/>
          <w:rFonts w:cs="FrankRuehl"/>
          <w:rtl/>
        </w:rPr>
        <w:t xml:space="preserve"> ת</w:t>
      </w:r>
      <w:r>
        <w:rPr>
          <w:rStyle w:val="default"/>
          <w:rFonts w:cs="FrankRuehl" w:hint="cs"/>
          <w:rtl/>
        </w:rPr>
        <w:t>שכ"</w:t>
      </w:r>
      <w:r>
        <w:rPr>
          <w:rStyle w:val="default"/>
          <w:rFonts w:cs="FrankRuehl"/>
          <w:rtl/>
        </w:rPr>
        <w:t>ט</w:t>
      </w:r>
      <w:r w:rsidR="004E0F13">
        <w:rPr>
          <w:rStyle w:val="default"/>
          <w:rFonts w:cs="FrankRuehl" w:hint="cs"/>
          <w:rtl/>
        </w:rPr>
        <w:t>-</w:t>
      </w:r>
      <w:r>
        <w:rPr>
          <w:rStyle w:val="default"/>
          <w:rFonts w:cs="FrankRuehl"/>
          <w:rtl/>
        </w:rPr>
        <w:t xml:space="preserve">1969 </w:t>
      </w:r>
      <w:r w:rsidR="004E0F13">
        <w:rPr>
          <w:rStyle w:val="default"/>
          <w:rFonts w:cs="FrankRuehl" w:hint="cs"/>
          <w:rtl/>
        </w:rPr>
        <w:t>-</w:t>
      </w:r>
      <w:r>
        <w:rPr>
          <w:rStyle w:val="default"/>
          <w:rFonts w:cs="FrankRuehl"/>
          <w:rtl/>
        </w:rPr>
        <w:t xml:space="preserve"> </w:t>
      </w:r>
      <w:r>
        <w:rPr>
          <w:rStyle w:val="default"/>
          <w:rFonts w:cs="FrankRuehl" w:hint="cs"/>
          <w:rtl/>
        </w:rPr>
        <w:t>בטלות.</w:t>
      </w:r>
    </w:p>
    <w:p w:rsidR="004E0F13" w:rsidRDefault="004E0F13">
      <w:pPr>
        <w:pStyle w:val="P00"/>
        <w:spacing w:before="72"/>
        <w:ind w:left="0" w:right="1134"/>
        <w:rPr>
          <w:rStyle w:val="default"/>
          <w:rFonts w:cs="FrankRuehl"/>
          <w:rtl/>
        </w:rPr>
      </w:pPr>
    </w:p>
    <w:p w:rsidR="00202A4E" w:rsidRPr="004E0F13" w:rsidRDefault="00202A4E">
      <w:pPr>
        <w:pStyle w:val="medium2-header"/>
        <w:keepLines w:val="0"/>
        <w:spacing w:before="72"/>
        <w:ind w:left="0" w:right="1134"/>
        <w:rPr>
          <w:rFonts w:cs="FrankRuehl"/>
          <w:noProof/>
          <w:sz w:val="26"/>
          <w:szCs w:val="26"/>
          <w:rtl/>
        </w:rPr>
      </w:pPr>
      <w:bookmarkStart w:id="11" w:name="med3"/>
      <w:bookmarkEnd w:id="11"/>
      <w:r w:rsidRPr="004E0F13">
        <w:rPr>
          <w:rFonts w:cs="FrankRuehl"/>
          <w:noProof/>
          <w:sz w:val="26"/>
          <w:szCs w:val="26"/>
          <w:rtl/>
        </w:rPr>
        <w:t>תו</w:t>
      </w:r>
      <w:r w:rsidRPr="004E0F13">
        <w:rPr>
          <w:rFonts w:cs="FrankRuehl" w:hint="cs"/>
          <w:noProof/>
          <w:sz w:val="26"/>
          <w:szCs w:val="26"/>
          <w:rtl/>
        </w:rPr>
        <w:t>ספת א'</w:t>
      </w:r>
    </w:p>
    <w:p w:rsidR="00202A4E" w:rsidRPr="004E0F13" w:rsidRDefault="00202A4E">
      <w:pPr>
        <w:pStyle w:val="medium-header"/>
        <w:keepNext w:val="0"/>
        <w:keepLines w:val="0"/>
        <w:ind w:left="0" w:right="1134"/>
        <w:rPr>
          <w:rFonts w:cs="FrankRuehl"/>
          <w:sz w:val="24"/>
          <w:szCs w:val="24"/>
          <w:rtl/>
        </w:rPr>
      </w:pPr>
      <w:r w:rsidRPr="004E0F13">
        <w:rPr>
          <w:rFonts w:cs="FrankRuehl"/>
          <w:sz w:val="24"/>
          <w:szCs w:val="24"/>
          <w:rtl/>
        </w:rPr>
        <w:t>(ת</w:t>
      </w:r>
      <w:r w:rsidRPr="004E0F13">
        <w:rPr>
          <w:rFonts w:cs="FrankRuehl" w:hint="cs"/>
          <w:sz w:val="24"/>
          <w:szCs w:val="24"/>
          <w:rtl/>
        </w:rPr>
        <w:t>קנות 2(א) ו-4)</w:t>
      </w:r>
    </w:p>
    <w:p w:rsidR="00202A4E" w:rsidRPr="004E0F13" w:rsidRDefault="00621C3F" w:rsidP="00621C3F">
      <w:pPr>
        <w:pStyle w:val="P33"/>
        <w:tabs>
          <w:tab w:val="clear" w:pos="1928"/>
          <w:tab w:val="clear" w:pos="2381"/>
          <w:tab w:val="clear" w:pos="2835"/>
          <w:tab w:val="clear" w:pos="6259"/>
          <w:tab w:val="center" w:pos="2665"/>
          <w:tab w:val="center" w:pos="4763"/>
        </w:tabs>
        <w:spacing w:before="72"/>
        <w:ind w:left="2268" w:right="1134"/>
        <w:rPr>
          <w:rStyle w:val="default"/>
          <w:rFonts w:cs="FrankRuehl"/>
          <w:sz w:val="22"/>
          <w:szCs w:val="22"/>
          <w:u w:val="single"/>
          <w:rtl/>
        </w:rPr>
      </w:pPr>
      <w:r w:rsidRPr="00621C3F">
        <w:rPr>
          <w:rStyle w:val="default"/>
          <w:rFonts w:cs="FrankRuehl" w:hint="cs"/>
          <w:sz w:val="22"/>
          <w:szCs w:val="22"/>
          <w:rtl/>
        </w:rPr>
        <w:tab/>
      </w:r>
      <w:r w:rsidR="00202A4E" w:rsidRPr="004E0F13">
        <w:rPr>
          <w:rStyle w:val="default"/>
          <w:rFonts w:cs="FrankRuehl"/>
          <w:sz w:val="22"/>
          <w:szCs w:val="22"/>
          <w:u w:val="single"/>
          <w:rtl/>
        </w:rPr>
        <w:t>טו</w:t>
      </w:r>
      <w:r w:rsidR="00202A4E" w:rsidRPr="004E0F13">
        <w:rPr>
          <w:rStyle w:val="default"/>
          <w:rFonts w:cs="FrankRuehl" w:hint="cs"/>
          <w:sz w:val="22"/>
          <w:szCs w:val="22"/>
          <w:u w:val="single"/>
          <w:rtl/>
        </w:rPr>
        <w:t>ר א'</w:t>
      </w:r>
      <w:r w:rsidR="00202A4E" w:rsidRPr="004E0F13">
        <w:rPr>
          <w:rStyle w:val="default"/>
          <w:rFonts w:cs="FrankRuehl"/>
          <w:sz w:val="22"/>
          <w:szCs w:val="22"/>
          <w:rtl/>
        </w:rPr>
        <w:tab/>
      </w:r>
      <w:r w:rsidR="00202A4E" w:rsidRPr="004E0F13">
        <w:rPr>
          <w:rStyle w:val="default"/>
          <w:rFonts w:cs="FrankRuehl"/>
          <w:sz w:val="22"/>
          <w:szCs w:val="22"/>
          <w:u w:val="single"/>
          <w:rtl/>
        </w:rPr>
        <w:t>טו</w:t>
      </w:r>
      <w:r w:rsidR="00202A4E" w:rsidRPr="004E0F13">
        <w:rPr>
          <w:rStyle w:val="default"/>
          <w:rFonts w:cs="FrankRuehl" w:hint="cs"/>
          <w:sz w:val="22"/>
          <w:szCs w:val="22"/>
          <w:u w:val="single"/>
          <w:rtl/>
        </w:rPr>
        <w:t>ר ב'</w:t>
      </w:r>
    </w:p>
    <w:p w:rsidR="00202A4E" w:rsidRDefault="00202A4E" w:rsidP="00621C3F">
      <w:pPr>
        <w:pStyle w:val="P33"/>
        <w:tabs>
          <w:tab w:val="clear" w:pos="1928"/>
          <w:tab w:val="clear" w:pos="2381"/>
          <w:tab w:val="clear" w:pos="2835"/>
          <w:tab w:val="clear" w:pos="6259"/>
          <w:tab w:val="left" w:pos="4536"/>
        </w:tabs>
        <w:spacing w:before="72"/>
        <w:ind w:left="2268" w:right="1134"/>
        <w:rPr>
          <w:rStyle w:val="default"/>
          <w:rFonts w:cs="FrankRuehl"/>
          <w:rtl/>
        </w:rPr>
      </w:pPr>
      <w:r>
        <w:rPr>
          <w:rStyle w:val="default"/>
          <w:rFonts w:cs="FrankRuehl"/>
          <w:rtl/>
        </w:rPr>
        <w:t>שנ</w:t>
      </w:r>
      <w:r>
        <w:rPr>
          <w:rStyle w:val="default"/>
          <w:rFonts w:cs="FrankRuehl" w:hint="cs"/>
          <w:rtl/>
        </w:rPr>
        <w:t>ה אחת</w:t>
      </w:r>
      <w:r>
        <w:rPr>
          <w:rStyle w:val="default"/>
          <w:rFonts w:cs="FrankRuehl"/>
          <w:rtl/>
        </w:rPr>
        <w:tab/>
        <w:t>25%</w:t>
      </w:r>
    </w:p>
    <w:p w:rsidR="00202A4E" w:rsidRDefault="00202A4E" w:rsidP="00621C3F">
      <w:pPr>
        <w:pStyle w:val="P33"/>
        <w:tabs>
          <w:tab w:val="clear" w:pos="1928"/>
          <w:tab w:val="clear" w:pos="2381"/>
          <w:tab w:val="clear" w:pos="2835"/>
          <w:tab w:val="clear" w:pos="6259"/>
          <w:tab w:val="left" w:pos="4536"/>
        </w:tabs>
        <w:spacing w:before="72"/>
        <w:ind w:left="2268" w:right="1134"/>
        <w:rPr>
          <w:rStyle w:val="default"/>
          <w:rFonts w:cs="FrankRuehl"/>
          <w:rtl/>
        </w:rPr>
      </w:pPr>
      <w:r>
        <w:rPr>
          <w:rStyle w:val="default"/>
          <w:rFonts w:cs="FrankRuehl" w:hint="cs"/>
          <w:rtl/>
        </w:rPr>
        <w:t>ש</w:t>
      </w:r>
      <w:r>
        <w:rPr>
          <w:rStyle w:val="default"/>
          <w:rFonts w:cs="FrankRuehl"/>
          <w:rtl/>
        </w:rPr>
        <w:t>נ</w:t>
      </w:r>
      <w:r>
        <w:rPr>
          <w:rStyle w:val="default"/>
          <w:rFonts w:cs="FrankRuehl" w:hint="cs"/>
          <w:rtl/>
        </w:rPr>
        <w:t>תיים</w:t>
      </w:r>
      <w:r>
        <w:rPr>
          <w:rStyle w:val="default"/>
          <w:rFonts w:cs="FrankRuehl"/>
          <w:rtl/>
        </w:rPr>
        <w:tab/>
        <w:t>50%</w:t>
      </w:r>
    </w:p>
    <w:p w:rsidR="00202A4E" w:rsidRDefault="00202A4E" w:rsidP="00621C3F">
      <w:pPr>
        <w:pStyle w:val="P33"/>
        <w:tabs>
          <w:tab w:val="clear" w:pos="1928"/>
          <w:tab w:val="clear" w:pos="2381"/>
          <w:tab w:val="clear" w:pos="2835"/>
          <w:tab w:val="clear" w:pos="6259"/>
          <w:tab w:val="left" w:pos="4536"/>
        </w:tabs>
        <w:spacing w:before="72"/>
        <w:ind w:left="2268" w:right="1134"/>
        <w:rPr>
          <w:rStyle w:val="default"/>
          <w:rFonts w:cs="FrankRuehl"/>
          <w:rtl/>
        </w:rPr>
      </w:pPr>
      <w:r>
        <w:rPr>
          <w:rStyle w:val="default"/>
          <w:rFonts w:cs="FrankRuehl" w:hint="cs"/>
          <w:rtl/>
        </w:rPr>
        <w:t>ש</w:t>
      </w:r>
      <w:r>
        <w:rPr>
          <w:rStyle w:val="default"/>
          <w:rFonts w:cs="FrankRuehl"/>
          <w:rtl/>
        </w:rPr>
        <w:t>ל</w:t>
      </w:r>
      <w:r>
        <w:rPr>
          <w:rStyle w:val="default"/>
          <w:rFonts w:cs="FrankRuehl" w:hint="cs"/>
          <w:rtl/>
        </w:rPr>
        <w:t>וש שנים</w:t>
      </w:r>
      <w:r>
        <w:rPr>
          <w:rStyle w:val="default"/>
          <w:rFonts w:cs="FrankRuehl"/>
          <w:rtl/>
        </w:rPr>
        <w:tab/>
        <w:t>75%</w:t>
      </w:r>
    </w:p>
    <w:p w:rsidR="00202A4E" w:rsidRDefault="00202A4E" w:rsidP="00621C3F">
      <w:pPr>
        <w:pStyle w:val="P33"/>
        <w:tabs>
          <w:tab w:val="clear" w:pos="1928"/>
          <w:tab w:val="clear" w:pos="2381"/>
          <w:tab w:val="clear" w:pos="2835"/>
          <w:tab w:val="clear" w:pos="6259"/>
          <w:tab w:val="left" w:pos="4536"/>
        </w:tabs>
        <w:spacing w:before="72"/>
        <w:ind w:left="2268" w:right="1134"/>
        <w:rPr>
          <w:rStyle w:val="default"/>
          <w:rFonts w:cs="FrankRuehl" w:hint="cs"/>
          <w:rtl/>
        </w:rPr>
      </w:pPr>
      <w:r>
        <w:rPr>
          <w:rStyle w:val="default"/>
          <w:rFonts w:cs="FrankRuehl" w:hint="cs"/>
          <w:rtl/>
        </w:rPr>
        <w:t>א</w:t>
      </w:r>
      <w:r>
        <w:rPr>
          <w:rStyle w:val="default"/>
          <w:rFonts w:cs="FrankRuehl"/>
          <w:rtl/>
        </w:rPr>
        <w:t>ר</w:t>
      </w:r>
      <w:r>
        <w:rPr>
          <w:rStyle w:val="default"/>
          <w:rFonts w:cs="FrankRuehl" w:hint="cs"/>
          <w:rtl/>
        </w:rPr>
        <w:t>בע שנים</w:t>
      </w:r>
      <w:r>
        <w:rPr>
          <w:rStyle w:val="default"/>
          <w:rFonts w:cs="FrankRuehl"/>
          <w:rtl/>
        </w:rPr>
        <w:tab/>
        <w:t>100%</w:t>
      </w:r>
    </w:p>
    <w:p w:rsidR="00621C3F" w:rsidRDefault="00621C3F" w:rsidP="00621C3F">
      <w:pPr>
        <w:pStyle w:val="P00"/>
        <w:spacing w:before="72"/>
        <w:ind w:left="0" w:right="1134"/>
        <w:rPr>
          <w:rStyle w:val="default"/>
          <w:rFonts w:cs="FrankRuehl" w:hint="cs"/>
          <w:rtl/>
        </w:rPr>
      </w:pPr>
    </w:p>
    <w:p w:rsidR="00202A4E" w:rsidRDefault="00202A4E">
      <w:pPr>
        <w:pStyle w:val="medium2-header"/>
        <w:keepLines w:val="0"/>
        <w:spacing w:before="72"/>
        <w:ind w:left="0" w:right="1134"/>
        <w:rPr>
          <w:rFonts w:cs="FrankRuehl"/>
          <w:noProof/>
          <w:rtl/>
        </w:rPr>
      </w:pPr>
      <w:bookmarkStart w:id="12" w:name="med4"/>
      <w:bookmarkEnd w:id="12"/>
      <w:r>
        <w:rPr>
          <w:rFonts w:cs="FrankRuehl"/>
          <w:noProof/>
          <w:rtl/>
        </w:rPr>
        <w:t>תו</w:t>
      </w:r>
      <w:r>
        <w:rPr>
          <w:rFonts w:cs="FrankRuehl" w:hint="cs"/>
          <w:noProof/>
          <w:rtl/>
        </w:rPr>
        <w:t>ספת ב'</w:t>
      </w:r>
    </w:p>
    <w:p w:rsidR="00202A4E" w:rsidRDefault="00202A4E">
      <w:pPr>
        <w:pStyle w:val="medium-header"/>
        <w:keepNext w:val="0"/>
        <w:keepLines w:val="0"/>
        <w:ind w:left="0" w:right="1134"/>
        <w:rPr>
          <w:rFonts w:cs="FrankRuehl"/>
          <w:sz w:val="26"/>
          <w:rtl/>
        </w:rPr>
      </w:pPr>
      <w:r>
        <w:rPr>
          <w:rFonts w:cs="FrankRuehl"/>
          <w:sz w:val="26"/>
          <w:rtl/>
        </w:rPr>
        <w:t>(ת</w:t>
      </w:r>
      <w:r>
        <w:rPr>
          <w:rFonts w:cs="FrankRuehl" w:hint="cs"/>
          <w:sz w:val="26"/>
          <w:rtl/>
        </w:rPr>
        <w:t>קנה 5)</w:t>
      </w:r>
    </w:p>
    <w:p w:rsidR="00202A4E" w:rsidRDefault="00202A4E">
      <w:pPr>
        <w:pStyle w:val="medium-header"/>
        <w:keepNext w:val="0"/>
        <w:keepLines w:val="0"/>
        <w:tabs>
          <w:tab w:val="clear" w:pos="624"/>
          <w:tab w:val="clear" w:pos="1021"/>
          <w:tab w:val="clear" w:pos="1474"/>
          <w:tab w:val="clear" w:pos="1928"/>
          <w:tab w:val="clear" w:pos="2381"/>
          <w:tab w:val="clear" w:pos="2835"/>
          <w:tab w:val="left" w:pos="0"/>
          <w:tab w:val="right" w:pos="2552"/>
          <w:tab w:val="left" w:pos="3402"/>
          <w:tab w:val="right" w:pos="5670"/>
        </w:tabs>
        <w:ind w:left="0" w:right="1134"/>
        <w:jc w:val="left"/>
        <w:rPr>
          <w:rStyle w:val="default"/>
          <w:rFonts w:cs="FrankRuehl"/>
          <w:sz w:val="20"/>
          <w:szCs w:val="20"/>
          <w:rtl/>
        </w:rPr>
      </w:pPr>
      <w:r>
        <w:rPr>
          <w:rStyle w:val="default"/>
          <w:rFonts w:cs="FrankRuehl"/>
          <w:sz w:val="20"/>
          <w:szCs w:val="20"/>
          <w:u w:val="single"/>
          <w:rtl/>
        </w:rPr>
        <w:t>טו</w:t>
      </w:r>
      <w:r>
        <w:rPr>
          <w:rStyle w:val="default"/>
          <w:rFonts w:cs="FrankRuehl" w:hint="cs"/>
          <w:sz w:val="20"/>
          <w:szCs w:val="20"/>
          <w:u w:val="single"/>
          <w:rtl/>
        </w:rPr>
        <w:t>ר א'</w:t>
      </w:r>
      <w:r>
        <w:rPr>
          <w:rStyle w:val="default"/>
          <w:rFonts w:cs="FrankRuehl"/>
          <w:sz w:val="20"/>
          <w:szCs w:val="20"/>
          <w:rtl/>
        </w:rPr>
        <w:tab/>
      </w:r>
      <w:r>
        <w:rPr>
          <w:rStyle w:val="default"/>
          <w:rFonts w:cs="FrankRuehl"/>
          <w:sz w:val="20"/>
          <w:szCs w:val="20"/>
          <w:u w:val="single"/>
          <w:rtl/>
        </w:rPr>
        <w:t>טו</w:t>
      </w:r>
      <w:r>
        <w:rPr>
          <w:rStyle w:val="default"/>
          <w:rFonts w:cs="FrankRuehl" w:hint="cs"/>
          <w:sz w:val="20"/>
          <w:szCs w:val="20"/>
          <w:u w:val="single"/>
          <w:rtl/>
        </w:rPr>
        <w:t>ר ב'</w:t>
      </w:r>
      <w:r>
        <w:rPr>
          <w:rFonts w:cs="FrankRuehl"/>
          <w:szCs w:val="20"/>
          <w:rtl/>
        </w:rPr>
        <w:tab/>
      </w:r>
      <w:r>
        <w:rPr>
          <w:rStyle w:val="default"/>
          <w:rFonts w:cs="FrankRuehl"/>
          <w:sz w:val="20"/>
          <w:szCs w:val="20"/>
          <w:u w:val="single"/>
          <w:rtl/>
        </w:rPr>
        <w:t>טו</w:t>
      </w:r>
      <w:r>
        <w:rPr>
          <w:rStyle w:val="default"/>
          <w:rFonts w:cs="FrankRuehl" w:hint="cs"/>
          <w:sz w:val="20"/>
          <w:szCs w:val="20"/>
          <w:u w:val="single"/>
          <w:rtl/>
        </w:rPr>
        <w:t>ר א'</w:t>
      </w:r>
      <w:r>
        <w:rPr>
          <w:rStyle w:val="default"/>
          <w:rFonts w:cs="FrankRuehl"/>
          <w:sz w:val="20"/>
          <w:szCs w:val="20"/>
          <w:rtl/>
        </w:rPr>
        <w:tab/>
      </w:r>
      <w:r>
        <w:rPr>
          <w:rStyle w:val="default"/>
          <w:rFonts w:cs="FrankRuehl"/>
          <w:sz w:val="20"/>
          <w:szCs w:val="20"/>
          <w:u w:val="single"/>
          <w:rtl/>
        </w:rPr>
        <w:t>טו</w:t>
      </w:r>
      <w:r>
        <w:rPr>
          <w:rStyle w:val="default"/>
          <w:rFonts w:cs="FrankRuehl" w:hint="cs"/>
          <w:sz w:val="20"/>
          <w:szCs w:val="20"/>
          <w:u w:val="single"/>
          <w:rtl/>
        </w:rPr>
        <w:t>ר ב'</w:t>
      </w:r>
    </w:p>
    <w:p w:rsidR="00202A4E" w:rsidRDefault="00202A4E">
      <w:pPr>
        <w:pStyle w:val="medium-header"/>
        <w:keepNext w:val="0"/>
        <w:keepLines w:val="0"/>
        <w:tabs>
          <w:tab w:val="clear" w:pos="624"/>
          <w:tab w:val="clear" w:pos="1021"/>
          <w:tab w:val="clear" w:pos="1474"/>
          <w:tab w:val="clear" w:pos="1928"/>
          <w:tab w:val="clear" w:pos="2381"/>
          <w:tab w:val="clear" w:pos="2835"/>
          <w:tab w:val="left" w:pos="0"/>
          <w:tab w:val="right" w:pos="2552"/>
          <w:tab w:val="left" w:pos="3402"/>
          <w:tab w:val="right" w:pos="5670"/>
        </w:tabs>
        <w:ind w:left="0" w:right="1134"/>
        <w:jc w:val="left"/>
        <w:rPr>
          <w:rStyle w:val="default"/>
          <w:rFonts w:cs="FrankRuehl"/>
          <w:rtl/>
        </w:rPr>
      </w:pPr>
      <w:r>
        <w:rPr>
          <w:rStyle w:val="default"/>
          <w:rFonts w:cs="FrankRuehl"/>
          <w:rtl/>
        </w:rPr>
        <w:t>שנ</w:t>
      </w:r>
      <w:r>
        <w:rPr>
          <w:rStyle w:val="default"/>
          <w:rFonts w:cs="FrankRuehl" w:hint="cs"/>
          <w:rtl/>
        </w:rPr>
        <w:t>ה אחת</w:t>
      </w:r>
      <w:r>
        <w:rPr>
          <w:rStyle w:val="default"/>
          <w:rFonts w:cs="FrankRuehl"/>
          <w:rtl/>
        </w:rPr>
        <w:tab/>
        <w:t xml:space="preserve"> 20%</w:t>
      </w:r>
      <w:r>
        <w:rPr>
          <w:rStyle w:val="default"/>
          <w:rFonts w:cs="FrankRuehl"/>
          <w:rtl/>
        </w:rPr>
        <w:tab/>
        <w:t xml:space="preserve">3 </w:t>
      </w:r>
      <w:r>
        <w:rPr>
          <w:rStyle w:val="default"/>
          <w:rFonts w:cs="FrankRuehl" w:hint="cs"/>
          <w:rtl/>
        </w:rPr>
        <w:t xml:space="preserve">שנים </w:t>
      </w:r>
      <w:r>
        <w:rPr>
          <w:rStyle w:val="default"/>
          <w:rFonts w:cs="FrankRuehl"/>
          <w:rtl/>
        </w:rPr>
        <w:tab/>
        <w:t>40%</w:t>
      </w:r>
    </w:p>
    <w:p w:rsidR="00202A4E" w:rsidRDefault="00202A4E">
      <w:pPr>
        <w:pStyle w:val="medium-header"/>
        <w:keepNext w:val="0"/>
        <w:keepLines w:val="0"/>
        <w:tabs>
          <w:tab w:val="clear" w:pos="624"/>
          <w:tab w:val="clear" w:pos="1021"/>
          <w:tab w:val="clear" w:pos="1474"/>
          <w:tab w:val="clear" w:pos="1928"/>
          <w:tab w:val="clear" w:pos="2381"/>
          <w:tab w:val="clear" w:pos="2835"/>
          <w:tab w:val="left" w:pos="0"/>
          <w:tab w:val="right" w:pos="2552"/>
          <w:tab w:val="left" w:pos="3402"/>
          <w:tab w:val="right" w:pos="5670"/>
        </w:tabs>
        <w:ind w:left="0" w:right="1134"/>
        <w:jc w:val="left"/>
        <w:rPr>
          <w:rStyle w:val="default"/>
          <w:rFonts w:cs="FrankRuehl"/>
          <w:rtl/>
        </w:rPr>
      </w:pPr>
      <w:r>
        <w:rPr>
          <w:rStyle w:val="default"/>
          <w:rFonts w:cs="FrankRuehl" w:hint="cs"/>
          <w:rtl/>
        </w:rPr>
        <w:t>ש</w:t>
      </w:r>
      <w:r>
        <w:rPr>
          <w:rStyle w:val="default"/>
          <w:rFonts w:cs="FrankRuehl"/>
          <w:rtl/>
        </w:rPr>
        <w:t>נ</w:t>
      </w:r>
      <w:r>
        <w:rPr>
          <w:rStyle w:val="default"/>
          <w:rFonts w:cs="FrankRuehl" w:hint="cs"/>
          <w:rtl/>
        </w:rPr>
        <w:t xml:space="preserve">תיים </w:t>
      </w:r>
      <w:r>
        <w:rPr>
          <w:rStyle w:val="default"/>
          <w:rFonts w:cs="FrankRuehl"/>
          <w:rtl/>
        </w:rPr>
        <w:tab/>
        <w:t>30%</w:t>
      </w:r>
      <w:r>
        <w:rPr>
          <w:rFonts w:cs="FrankRuehl"/>
          <w:sz w:val="26"/>
          <w:rtl/>
        </w:rPr>
        <w:tab/>
      </w:r>
      <w:r>
        <w:rPr>
          <w:rStyle w:val="default"/>
          <w:rFonts w:cs="FrankRuehl"/>
          <w:rtl/>
        </w:rPr>
        <w:t>39 ח</w:t>
      </w:r>
      <w:r>
        <w:rPr>
          <w:rStyle w:val="default"/>
          <w:rFonts w:cs="FrankRuehl" w:hint="cs"/>
          <w:rtl/>
        </w:rPr>
        <w:t>ודשים</w:t>
      </w:r>
      <w:r>
        <w:rPr>
          <w:rStyle w:val="default"/>
          <w:rFonts w:cs="FrankRuehl"/>
          <w:rtl/>
        </w:rPr>
        <w:tab/>
        <w:t xml:space="preserve"> 42.5%</w:t>
      </w:r>
    </w:p>
    <w:p w:rsidR="00202A4E" w:rsidRDefault="00202A4E">
      <w:pPr>
        <w:pStyle w:val="medium-header"/>
        <w:keepNext w:val="0"/>
        <w:keepLines w:val="0"/>
        <w:tabs>
          <w:tab w:val="clear" w:pos="624"/>
          <w:tab w:val="clear" w:pos="1021"/>
          <w:tab w:val="clear" w:pos="1474"/>
          <w:tab w:val="clear" w:pos="1928"/>
          <w:tab w:val="clear" w:pos="2381"/>
          <w:tab w:val="clear" w:pos="2835"/>
          <w:tab w:val="left" w:pos="0"/>
          <w:tab w:val="right" w:pos="2552"/>
          <w:tab w:val="left" w:pos="3402"/>
          <w:tab w:val="right" w:pos="5670"/>
        </w:tabs>
        <w:ind w:left="0" w:right="1134"/>
        <w:jc w:val="left"/>
        <w:rPr>
          <w:rStyle w:val="default"/>
          <w:rFonts w:cs="FrankRuehl"/>
          <w:rtl/>
        </w:rPr>
      </w:pPr>
      <w:r>
        <w:rPr>
          <w:rStyle w:val="default"/>
          <w:rFonts w:cs="FrankRuehl" w:hint="cs"/>
          <w:rtl/>
        </w:rPr>
        <w:t xml:space="preserve">27 </w:t>
      </w:r>
      <w:r>
        <w:rPr>
          <w:rStyle w:val="default"/>
          <w:rFonts w:cs="FrankRuehl"/>
          <w:rtl/>
        </w:rPr>
        <w:t>ח</w:t>
      </w:r>
      <w:r>
        <w:rPr>
          <w:rStyle w:val="default"/>
          <w:rFonts w:cs="FrankRuehl" w:hint="cs"/>
          <w:rtl/>
        </w:rPr>
        <w:t xml:space="preserve">ודשים </w:t>
      </w:r>
      <w:r>
        <w:rPr>
          <w:rStyle w:val="default"/>
          <w:rFonts w:cs="FrankRuehl"/>
          <w:rtl/>
        </w:rPr>
        <w:tab/>
        <w:t>32.5%</w:t>
      </w:r>
      <w:r>
        <w:rPr>
          <w:rFonts w:cs="FrankRuehl"/>
          <w:sz w:val="26"/>
          <w:rtl/>
        </w:rPr>
        <w:tab/>
      </w:r>
      <w:r>
        <w:rPr>
          <w:rStyle w:val="default"/>
          <w:rFonts w:cs="FrankRuehl"/>
          <w:rtl/>
        </w:rPr>
        <w:t>42 ח</w:t>
      </w:r>
      <w:r>
        <w:rPr>
          <w:rStyle w:val="default"/>
          <w:rFonts w:cs="FrankRuehl" w:hint="cs"/>
          <w:rtl/>
        </w:rPr>
        <w:t xml:space="preserve">ודשים </w:t>
      </w:r>
      <w:r>
        <w:rPr>
          <w:rStyle w:val="default"/>
          <w:rFonts w:cs="FrankRuehl"/>
          <w:rtl/>
        </w:rPr>
        <w:tab/>
        <w:t>45%</w:t>
      </w:r>
    </w:p>
    <w:p w:rsidR="00202A4E" w:rsidRDefault="00202A4E">
      <w:pPr>
        <w:pStyle w:val="medium-header"/>
        <w:keepNext w:val="0"/>
        <w:keepLines w:val="0"/>
        <w:tabs>
          <w:tab w:val="clear" w:pos="624"/>
          <w:tab w:val="clear" w:pos="1021"/>
          <w:tab w:val="clear" w:pos="1474"/>
          <w:tab w:val="clear" w:pos="1928"/>
          <w:tab w:val="clear" w:pos="2381"/>
          <w:tab w:val="clear" w:pos="2835"/>
          <w:tab w:val="left" w:pos="0"/>
          <w:tab w:val="right" w:pos="2552"/>
          <w:tab w:val="left" w:pos="3402"/>
          <w:tab w:val="right" w:pos="5670"/>
        </w:tabs>
        <w:ind w:left="0" w:right="1134"/>
        <w:jc w:val="left"/>
        <w:rPr>
          <w:rStyle w:val="default"/>
          <w:rFonts w:cs="FrankRuehl"/>
          <w:rtl/>
        </w:rPr>
      </w:pPr>
      <w:r>
        <w:rPr>
          <w:rStyle w:val="default"/>
          <w:rFonts w:cs="FrankRuehl" w:hint="cs"/>
          <w:rtl/>
        </w:rPr>
        <w:t xml:space="preserve">30 </w:t>
      </w:r>
      <w:r>
        <w:rPr>
          <w:rStyle w:val="default"/>
          <w:rFonts w:cs="FrankRuehl"/>
          <w:rtl/>
        </w:rPr>
        <w:t>ח</w:t>
      </w:r>
      <w:r>
        <w:rPr>
          <w:rStyle w:val="default"/>
          <w:rFonts w:cs="FrankRuehl" w:hint="cs"/>
          <w:rtl/>
        </w:rPr>
        <w:t xml:space="preserve">ודשים </w:t>
      </w:r>
      <w:r>
        <w:rPr>
          <w:rStyle w:val="default"/>
          <w:rFonts w:cs="FrankRuehl"/>
          <w:rtl/>
        </w:rPr>
        <w:tab/>
        <w:t>35%</w:t>
      </w:r>
      <w:r w:rsidRPr="00621C3F">
        <w:rPr>
          <w:rStyle w:val="default"/>
          <w:rFonts w:cs="FrankRuehl"/>
          <w:rtl/>
        </w:rPr>
        <w:tab/>
      </w:r>
      <w:r>
        <w:rPr>
          <w:rStyle w:val="default"/>
          <w:rFonts w:cs="FrankRuehl"/>
          <w:rtl/>
        </w:rPr>
        <w:t>45 ח</w:t>
      </w:r>
      <w:r>
        <w:rPr>
          <w:rStyle w:val="default"/>
          <w:rFonts w:cs="FrankRuehl" w:hint="cs"/>
          <w:rtl/>
        </w:rPr>
        <w:t xml:space="preserve">ודשים </w:t>
      </w:r>
      <w:r>
        <w:rPr>
          <w:rStyle w:val="default"/>
          <w:rFonts w:cs="FrankRuehl"/>
          <w:rtl/>
        </w:rPr>
        <w:tab/>
        <w:t>47.5%</w:t>
      </w:r>
    </w:p>
    <w:p w:rsidR="00202A4E" w:rsidRDefault="00202A4E">
      <w:pPr>
        <w:pStyle w:val="medium-header"/>
        <w:keepNext w:val="0"/>
        <w:keepLines w:val="0"/>
        <w:tabs>
          <w:tab w:val="clear" w:pos="624"/>
          <w:tab w:val="clear" w:pos="1021"/>
          <w:tab w:val="clear" w:pos="1474"/>
          <w:tab w:val="clear" w:pos="1928"/>
          <w:tab w:val="clear" w:pos="2381"/>
          <w:tab w:val="clear" w:pos="2835"/>
          <w:tab w:val="left" w:pos="0"/>
          <w:tab w:val="right" w:pos="2552"/>
          <w:tab w:val="left" w:pos="3402"/>
          <w:tab w:val="right" w:pos="5670"/>
        </w:tabs>
        <w:ind w:left="0" w:right="1134"/>
        <w:jc w:val="left"/>
        <w:rPr>
          <w:rStyle w:val="default"/>
          <w:rFonts w:cs="FrankRuehl"/>
          <w:rtl/>
        </w:rPr>
      </w:pPr>
      <w:r>
        <w:rPr>
          <w:rStyle w:val="default"/>
          <w:rFonts w:cs="FrankRuehl" w:hint="cs"/>
          <w:rtl/>
        </w:rPr>
        <w:t xml:space="preserve">33 </w:t>
      </w:r>
      <w:r>
        <w:rPr>
          <w:rStyle w:val="default"/>
          <w:rFonts w:cs="FrankRuehl"/>
          <w:rtl/>
        </w:rPr>
        <w:t>ח</w:t>
      </w:r>
      <w:r>
        <w:rPr>
          <w:rStyle w:val="default"/>
          <w:rFonts w:cs="FrankRuehl" w:hint="cs"/>
          <w:rtl/>
        </w:rPr>
        <w:t>ודשים</w:t>
      </w:r>
      <w:r>
        <w:rPr>
          <w:rStyle w:val="default"/>
          <w:rFonts w:cs="FrankRuehl"/>
          <w:rtl/>
        </w:rPr>
        <w:tab/>
        <w:t xml:space="preserve"> 37.5%</w:t>
      </w:r>
      <w:r w:rsidRPr="00621C3F">
        <w:rPr>
          <w:rStyle w:val="default"/>
          <w:rFonts w:cs="FrankRuehl"/>
          <w:rtl/>
        </w:rPr>
        <w:tab/>
      </w:r>
      <w:r>
        <w:rPr>
          <w:rStyle w:val="default"/>
          <w:rFonts w:cs="FrankRuehl"/>
          <w:rtl/>
        </w:rPr>
        <w:t>4 ש</w:t>
      </w:r>
      <w:r>
        <w:rPr>
          <w:rStyle w:val="default"/>
          <w:rFonts w:cs="FrankRuehl" w:hint="cs"/>
          <w:rtl/>
        </w:rPr>
        <w:t xml:space="preserve">נים </w:t>
      </w:r>
      <w:r>
        <w:rPr>
          <w:rStyle w:val="default"/>
          <w:rFonts w:cs="FrankRuehl"/>
          <w:rtl/>
        </w:rPr>
        <w:tab/>
        <w:t>50%</w:t>
      </w:r>
    </w:p>
    <w:p w:rsidR="00202A4E" w:rsidRDefault="00202A4E" w:rsidP="00621C3F">
      <w:pPr>
        <w:pStyle w:val="medium-header"/>
        <w:keepNext w:val="0"/>
        <w:keepLines w:val="0"/>
        <w:tabs>
          <w:tab w:val="clear" w:pos="624"/>
          <w:tab w:val="clear" w:pos="1021"/>
          <w:tab w:val="clear" w:pos="1474"/>
          <w:tab w:val="clear" w:pos="1928"/>
          <w:tab w:val="clear" w:pos="2381"/>
          <w:tab w:val="clear" w:pos="2835"/>
          <w:tab w:val="left" w:pos="0"/>
          <w:tab w:val="right" w:pos="2552"/>
          <w:tab w:val="left" w:pos="3402"/>
          <w:tab w:val="right" w:pos="5670"/>
        </w:tabs>
        <w:ind w:left="0" w:right="1134"/>
        <w:jc w:val="left"/>
        <w:rPr>
          <w:rStyle w:val="default"/>
          <w:rFonts w:cs="FrankRuehl"/>
          <w:rtl/>
        </w:rPr>
      </w:pPr>
      <w:r>
        <w:rPr>
          <w:rStyle w:val="default"/>
          <w:rFonts w:cs="FrankRuehl"/>
          <w:rtl/>
        </w:rPr>
        <w:t>52 ח</w:t>
      </w:r>
      <w:r>
        <w:rPr>
          <w:rStyle w:val="default"/>
          <w:rFonts w:cs="FrankRuehl" w:hint="cs"/>
          <w:rtl/>
        </w:rPr>
        <w:t>ודשים</w:t>
      </w:r>
      <w:r>
        <w:rPr>
          <w:rStyle w:val="default"/>
          <w:rFonts w:cs="FrankRuehl"/>
          <w:rtl/>
        </w:rPr>
        <w:tab/>
        <w:t xml:space="preserve"> 52.5%</w:t>
      </w:r>
      <w:r w:rsidRPr="00621C3F">
        <w:rPr>
          <w:rStyle w:val="default"/>
          <w:rFonts w:cs="FrankRuehl"/>
          <w:rtl/>
        </w:rPr>
        <w:tab/>
      </w:r>
      <w:r>
        <w:rPr>
          <w:rStyle w:val="default"/>
          <w:rFonts w:cs="FrankRuehl"/>
          <w:rtl/>
        </w:rPr>
        <w:t>7 ש</w:t>
      </w:r>
      <w:r>
        <w:rPr>
          <w:rStyle w:val="default"/>
          <w:rFonts w:cs="FrankRuehl" w:hint="cs"/>
          <w:rtl/>
        </w:rPr>
        <w:t>נים</w:t>
      </w:r>
      <w:r>
        <w:rPr>
          <w:rStyle w:val="default"/>
          <w:rFonts w:cs="FrankRuehl"/>
          <w:rtl/>
        </w:rPr>
        <w:tab/>
        <w:t xml:space="preserve"> 72.5%</w:t>
      </w:r>
    </w:p>
    <w:p w:rsidR="00202A4E" w:rsidRDefault="00202A4E" w:rsidP="00621C3F">
      <w:pPr>
        <w:pStyle w:val="medium-header"/>
        <w:keepNext w:val="0"/>
        <w:keepLines w:val="0"/>
        <w:tabs>
          <w:tab w:val="clear" w:pos="624"/>
          <w:tab w:val="clear" w:pos="1021"/>
          <w:tab w:val="clear" w:pos="1474"/>
          <w:tab w:val="clear" w:pos="1928"/>
          <w:tab w:val="clear" w:pos="2381"/>
          <w:tab w:val="clear" w:pos="2835"/>
          <w:tab w:val="left" w:pos="0"/>
          <w:tab w:val="right" w:pos="2552"/>
          <w:tab w:val="left" w:pos="3402"/>
          <w:tab w:val="right" w:pos="5670"/>
        </w:tabs>
        <w:ind w:left="0" w:right="1134"/>
        <w:jc w:val="left"/>
        <w:rPr>
          <w:rStyle w:val="default"/>
          <w:rFonts w:cs="FrankRuehl"/>
          <w:rtl/>
        </w:rPr>
      </w:pPr>
      <w:r>
        <w:rPr>
          <w:rStyle w:val="default"/>
          <w:rFonts w:cs="FrankRuehl" w:hint="cs"/>
          <w:rtl/>
        </w:rPr>
        <w:t xml:space="preserve">56 </w:t>
      </w:r>
      <w:r>
        <w:rPr>
          <w:rStyle w:val="default"/>
          <w:rFonts w:cs="FrankRuehl"/>
          <w:rtl/>
        </w:rPr>
        <w:t>ח</w:t>
      </w:r>
      <w:r>
        <w:rPr>
          <w:rStyle w:val="default"/>
          <w:rFonts w:cs="FrankRuehl" w:hint="cs"/>
          <w:rtl/>
        </w:rPr>
        <w:t>ודשים</w:t>
      </w:r>
      <w:r>
        <w:rPr>
          <w:rStyle w:val="default"/>
          <w:rFonts w:cs="FrankRuehl"/>
          <w:rtl/>
        </w:rPr>
        <w:tab/>
        <w:t xml:space="preserve"> 55%</w:t>
      </w:r>
      <w:r w:rsidRPr="00621C3F">
        <w:rPr>
          <w:rStyle w:val="default"/>
          <w:rFonts w:cs="FrankRuehl"/>
          <w:rtl/>
        </w:rPr>
        <w:tab/>
      </w:r>
      <w:r>
        <w:rPr>
          <w:rStyle w:val="default"/>
          <w:rFonts w:cs="FrankRuehl"/>
          <w:rtl/>
        </w:rPr>
        <w:t>88 ח</w:t>
      </w:r>
      <w:r>
        <w:rPr>
          <w:rStyle w:val="default"/>
          <w:rFonts w:cs="FrankRuehl" w:hint="cs"/>
          <w:rtl/>
        </w:rPr>
        <w:t xml:space="preserve">ודשים </w:t>
      </w:r>
      <w:r>
        <w:rPr>
          <w:rStyle w:val="default"/>
          <w:rFonts w:cs="FrankRuehl"/>
          <w:rtl/>
        </w:rPr>
        <w:tab/>
        <w:t>75%</w:t>
      </w:r>
    </w:p>
    <w:p w:rsidR="00202A4E" w:rsidRDefault="00202A4E" w:rsidP="00621C3F">
      <w:pPr>
        <w:pStyle w:val="medium-header"/>
        <w:keepNext w:val="0"/>
        <w:keepLines w:val="0"/>
        <w:tabs>
          <w:tab w:val="clear" w:pos="624"/>
          <w:tab w:val="clear" w:pos="1021"/>
          <w:tab w:val="clear" w:pos="1474"/>
          <w:tab w:val="clear" w:pos="1928"/>
          <w:tab w:val="clear" w:pos="2381"/>
          <w:tab w:val="clear" w:pos="2835"/>
          <w:tab w:val="left" w:pos="0"/>
          <w:tab w:val="right" w:pos="2552"/>
          <w:tab w:val="left" w:pos="3402"/>
          <w:tab w:val="right" w:pos="5670"/>
        </w:tabs>
        <w:ind w:left="0" w:right="1134"/>
        <w:jc w:val="left"/>
        <w:rPr>
          <w:rStyle w:val="default"/>
          <w:rFonts w:cs="FrankRuehl"/>
          <w:rtl/>
        </w:rPr>
      </w:pPr>
      <w:r>
        <w:rPr>
          <w:rStyle w:val="default"/>
          <w:rFonts w:cs="FrankRuehl" w:hint="cs"/>
          <w:rtl/>
        </w:rPr>
        <w:t xml:space="preserve">5 </w:t>
      </w:r>
      <w:r>
        <w:rPr>
          <w:rStyle w:val="default"/>
          <w:rFonts w:cs="FrankRuehl"/>
          <w:rtl/>
        </w:rPr>
        <w:t>ש</w:t>
      </w:r>
      <w:r>
        <w:rPr>
          <w:rStyle w:val="default"/>
          <w:rFonts w:cs="FrankRuehl" w:hint="cs"/>
          <w:rtl/>
        </w:rPr>
        <w:t xml:space="preserve">נים </w:t>
      </w:r>
      <w:r>
        <w:rPr>
          <w:rStyle w:val="default"/>
          <w:rFonts w:cs="FrankRuehl"/>
          <w:rtl/>
        </w:rPr>
        <w:tab/>
        <w:t>57.5%</w:t>
      </w:r>
      <w:r>
        <w:rPr>
          <w:rStyle w:val="default"/>
          <w:rFonts w:cs="FrankRuehl"/>
          <w:rtl/>
        </w:rPr>
        <w:tab/>
        <w:t xml:space="preserve">92 </w:t>
      </w:r>
      <w:r>
        <w:rPr>
          <w:rStyle w:val="default"/>
          <w:rFonts w:cs="FrankRuehl" w:hint="cs"/>
          <w:rtl/>
        </w:rPr>
        <w:t>חודשים</w:t>
      </w:r>
      <w:r>
        <w:rPr>
          <w:rStyle w:val="default"/>
          <w:rFonts w:cs="FrankRuehl"/>
          <w:rtl/>
        </w:rPr>
        <w:tab/>
        <w:t xml:space="preserve"> 77.5%</w:t>
      </w:r>
    </w:p>
    <w:p w:rsidR="00202A4E" w:rsidRDefault="00202A4E" w:rsidP="00621C3F">
      <w:pPr>
        <w:pStyle w:val="medium-header"/>
        <w:keepNext w:val="0"/>
        <w:keepLines w:val="0"/>
        <w:tabs>
          <w:tab w:val="clear" w:pos="624"/>
          <w:tab w:val="clear" w:pos="1021"/>
          <w:tab w:val="clear" w:pos="1474"/>
          <w:tab w:val="clear" w:pos="1928"/>
          <w:tab w:val="clear" w:pos="2381"/>
          <w:tab w:val="clear" w:pos="2835"/>
          <w:tab w:val="left" w:pos="0"/>
          <w:tab w:val="right" w:pos="2552"/>
          <w:tab w:val="left" w:pos="3402"/>
          <w:tab w:val="right" w:pos="5670"/>
        </w:tabs>
        <w:ind w:left="0" w:right="1134"/>
        <w:jc w:val="left"/>
        <w:rPr>
          <w:rStyle w:val="default"/>
          <w:rFonts w:cs="FrankRuehl"/>
          <w:rtl/>
        </w:rPr>
      </w:pPr>
      <w:r>
        <w:rPr>
          <w:rStyle w:val="default"/>
          <w:rFonts w:cs="FrankRuehl" w:hint="cs"/>
          <w:rtl/>
        </w:rPr>
        <w:t xml:space="preserve">64 </w:t>
      </w:r>
      <w:r>
        <w:rPr>
          <w:rStyle w:val="default"/>
          <w:rFonts w:cs="FrankRuehl"/>
          <w:rtl/>
        </w:rPr>
        <w:t>ח</w:t>
      </w:r>
      <w:r>
        <w:rPr>
          <w:rStyle w:val="default"/>
          <w:rFonts w:cs="FrankRuehl" w:hint="cs"/>
          <w:rtl/>
        </w:rPr>
        <w:t>ודשים</w:t>
      </w:r>
      <w:r>
        <w:rPr>
          <w:rStyle w:val="default"/>
          <w:rFonts w:cs="FrankRuehl"/>
          <w:rtl/>
        </w:rPr>
        <w:tab/>
        <w:t xml:space="preserve"> 60%</w:t>
      </w:r>
      <w:r w:rsidRPr="00621C3F">
        <w:rPr>
          <w:rStyle w:val="default"/>
          <w:rFonts w:cs="FrankRuehl"/>
          <w:rtl/>
        </w:rPr>
        <w:tab/>
      </w:r>
      <w:r>
        <w:rPr>
          <w:rStyle w:val="default"/>
          <w:rFonts w:cs="FrankRuehl"/>
          <w:rtl/>
        </w:rPr>
        <w:t>8 ש</w:t>
      </w:r>
      <w:r>
        <w:rPr>
          <w:rStyle w:val="default"/>
          <w:rFonts w:cs="FrankRuehl" w:hint="cs"/>
          <w:rtl/>
        </w:rPr>
        <w:t>נים</w:t>
      </w:r>
      <w:r>
        <w:rPr>
          <w:rStyle w:val="default"/>
          <w:rFonts w:cs="FrankRuehl"/>
          <w:rtl/>
        </w:rPr>
        <w:tab/>
        <w:t xml:space="preserve"> 80%</w:t>
      </w:r>
    </w:p>
    <w:p w:rsidR="00202A4E" w:rsidRDefault="00202A4E" w:rsidP="00621C3F">
      <w:pPr>
        <w:pStyle w:val="medium-header"/>
        <w:keepNext w:val="0"/>
        <w:keepLines w:val="0"/>
        <w:tabs>
          <w:tab w:val="clear" w:pos="624"/>
          <w:tab w:val="clear" w:pos="1021"/>
          <w:tab w:val="clear" w:pos="1474"/>
          <w:tab w:val="clear" w:pos="1928"/>
          <w:tab w:val="clear" w:pos="2381"/>
          <w:tab w:val="clear" w:pos="2835"/>
          <w:tab w:val="left" w:pos="0"/>
          <w:tab w:val="right" w:pos="2552"/>
          <w:tab w:val="left" w:pos="3402"/>
          <w:tab w:val="right" w:pos="5670"/>
        </w:tabs>
        <w:ind w:left="0" w:right="1134"/>
        <w:jc w:val="left"/>
        <w:rPr>
          <w:rStyle w:val="default"/>
          <w:rFonts w:cs="FrankRuehl"/>
          <w:rtl/>
        </w:rPr>
      </w:pPr>
      <w:r>
        <w:rPr>
          <w:rStyle w:val="default"/>
          <w:rFonts w:cs="FrankRuehl" w:hint="cs"/>
          <w:rtl/>
        </w:rPr>
        <w:t xml:space="preserve">68 </w:t>
      </w:r>
      <w:r>
        <w:rPr>
          <w:rStyle w:val="default"/>
          <w:rFonts w:cs="FrankRuehl"/>
          <w:rtl/>
        </w:rPr>
        <w:t>ח</w:t>
      </w:r>
      <w:r>
        <w:rPr>
          <w:rStyle w:val="default"/>
          <w:rFonts w:cs="FrankRuehl" w:hint="cs"/>
          <w:rtl/>
        </w:rPr>
        <w:t>ודשים</w:t>
      </w:r>
      <w:r>
        <w:rPr>
          <w:rStyle w:val="default"/>
          <w:rFonts w:cs="FrankRuehl"/>
          <w:rtl/>
        </w:rPr>
        <w:tab/>
        <w:t xml:space="preserve"> 62.5%</w:t>
      </w:r>
      <w:r w:rsidRPr="00621C3F">
        <w:rPr>
          <w:rStyle w:val="default"/>
          <w:rFonts w:cs="FrankRuehl"/>
          <w:rtl/>
        </w:rPr>
        <w:tab/>
      </w:r>
      <w:r>
        <w:rPr>
          <w:rStyle w:val="default"/>
          <w:rFonts w:cs="FrankRuehl"/>
          <w:rtl/>
        </w:rPr>
        <w:t>102 ח</w:t>
      </w:r>
      <w:r>
        <w:rPr>
          <w:rStyle w:val="default"/>
          <w:rFonts w:cs="FrankRuehl" w:hint="cs"/>
          <w:rtl/>
        </w:rPr>
        <w:t>ודשים</w:t>
      </w:r>
      <w:r>
        <w:rPr>
          <w:rStyle w:val="default"/>
          <w:rFonts w:cs="FrankRuehl"/>
          <w:rtl/>
        </w:rPr>
        <w:tab/>
        <w:t xml:space="preserve"> 82.5%</w:t>
      </w:r>
    </w:p>
    <w:p w:rsidR="00202A4E" w:rsidRDefault="00202A4E" w:rsidP="00621C3F">
      <w:pPr>
        <w:pStyle w:val="medium-header"/>
        <w:keepNext w:val="0"/>
        <w:keepLines w:val="0"/>
        <w:tabs>
          <w:tab w:val="clear" w:pos="624"/>
          <w:tab w:val="clear" w:pos="1021"/>
          <w:tab w:val="clear" w:pos="1474"/>
          <w:tab w:val="clear" w:pos="1928"/>
          <w:tab w:val="clear" w:pos="2381"/>
          <w:tab w:val="clear" w:pos="2835"/>
          <w:tab w:val="left" w:pos="0"/>
          <w:tab w:val="right" w:pos="2552"/>
          <w:tab w:val="left" w:pos="3402"/>
          <w:tab w:val="right" w:pos="5670"/>
        </w:tabs>
        <w:ind w:left="0" w:right="1134"/>
        <w:jc w:val="left"/>
        <w:rPr>
          <w:rStyle w:val="default"/>
          <w:rFonts w:cs="FrankRuehl"/>
          <w:rtl/>
        </w:rPr>
      </w:pPr>
      <w:r>
        <w:rPr>
          <w:rStyle w:val="default"/>
          <w:rFonts w:cs="FrankRuehl" w:hint="cs"/>
          <w:rtl/>
        </w:rPr>
        <w:t xml:space="preserve">6 </w:t>
      </w:r>
      <w:r>
        <w:rPr>
          <w:rStyle w:val="default"/>
          <w:rFonts w:cs="FrankRuehl"/>
          <w:rtl/>
        </w:rPr>
        <w:t>ש</w:t>
      </w:r>
      <w:r>
        <w:rPr>
          <w:rStyle w:val="default"/>
          <w:rFonts w:cs="FrankRuehl" w:hint="cs"/>
          <w:rtl/>
        </w:rPr>
        <w:t>נים</w:t>
      </w:r>
      <w:r>
        <w:rPr>
          <w:rStyle w:val="default"/>
          <w:rFonts w:cs="FrankRuehl"/>
          <w:rtl/>
        </w:rPr>
        <w:tab/>
        <w:t xml:space="preserve"> 65%</w:t>
      </w:r>
      <w:r w:rsidRPr="00621C3F">
        <w:rPr>
          <w:rStyle w:val="default"/>
          <w:rFonts w:cs="FrankRuehl"/>
          <w:rtl/>
        </w:rPr>
        <w:tab/>
      </w:r>
      <w:r>
        <w:rPr>
          <w:rStyle w:val="default"/>
          <w:rFonts w:cs="FrankRuehl"/>
          <w:rtl/>
        </w:rPr>
        <w:t>9 ש</w:t>
      </w:r>
      <w:r>
        <w:rPr>
          <w:rStyle w:val="default"/>
          <w:rFonts w:cs="FrankRuehl" w:hint="cs"/>
          <w:rtl/>
        </w:rPr>
        <w:t>נים</w:t>
      </w:r>
      <w:r>
        <w:rPr>
          <w:rStyle w:val="default"/>
          <w:rFonts w:cs="FrankRuehl"/>
          <w:rtl/>
        </w:rPr>
        <w:tab/>
        <w:t xml:space="preserve"> 85%</w:t>
      </w:r>
    </w:p>
    <w:p w:rsidR="00202A4E" w:rsidRDefault="00202A4E" w:rsidP="00621C3F">
      <w:pPr>
        <w:pStyle w:val="medium-header"/>
        <w:keepNext w:val="0"/>
        <w:keepLines w:val="0"/>
        <w:tabs>
          <w:tab w:val="clear" w:pos="624"/>
          <w:tab w:val="clear" w:pos="1021"/>
          <w:tab w:val="clear" w:pos="1474"/>
          <w:tab w:val="clear" w:pos="1928"/>
          <w:tab w:val="clear" w:pos="2381"/>
          <w:tab w:val="clear" w:pos="2835"/>
          <w:tab w:val="left" w:pos="0"/>
          <w:tab w:val="right" w:pos="2552"/>
          <w:tab w:val="left" w:pos="3402"/>
          <w:tab w:val="right" w:pos="5670"/>
        </w:tabs>
        <w:ind w:left="0" w:right="1134"/>
        <w:jc w:val="left"/>
        <w:rPr>
          <w:rStyle w:val="default"/>
          <w:rFonts w:cs="FrankRuehl"/>
          <w:rtl/>
        </w:rPr>
      </w:pPr>
      <w:r>
        <w:rPr>
          <w:rStyle w:val="default"/>
          <w:rFonts w:cs="FrankRuehl" w:hint="cs"/>
          <w:rtl/>
        </w:rPr>
        <w:t xml:space="preserve">76 </w:t>
      </w:r>
      <w:r>
        <w:rPr>
          <w:rStyle w:val="default"/>
          <w:rFonts w:cs="FrankRuehl"/>
          <w:rtl/>
        </w:rPr>
        <w:t>ח</w:t>
      </w:r>
      <w:r>
        <w:rPr>
          <w:rStyle w:val="default"/>
          <w:rFonts w:cs="FrankRuehl" w:hint="cs"/>
          <w:rtl/>
        </w:rPr>
        <w:t>ודשים</w:t>
      </w:r>
      <w:r>
        <w:rPr>
          <w:rStyle w:val="default"/>
          <w:rFonts w:cs="FrankRuehl"/>
          <w:rtl/>
        </w:rPr>
        <w:tab/>
        <w:t xml:space="preserve"> 67.5%</w:t>
      </w:r>
      <w:r>
        <w:rPr>
          <w:rStyle w:val="default"/>
          <w:rFonts w:cs="FrankRuehl"/>
          <w:rtl/>
        </w:rPr>
        <w:tab/>
        <w:t xml:space="preserve">114 </w:t>
      </w:r>
      <w:r>
        <w:rPr>
          <w:rStyle w:val="default"/>
          <w:rFonts w:cs="FrankRuehl" w:hint="cs"/>
          <w:rtl/>
        </w:rPr>
        <w:t>חודשים</w:t>
      </w:r>
      <w:r>
        <w:rPr>
          <w:rStyle w:val="default"/>
          <w:rFonts w:cs="FrankRuehl"/>
          <w:rtl/>
        </w:rPr>
        <w:tab/>
        <w:t xml:space="preserve"> 87.5%</w:t>
      </w:r>
    </w:p>
    <w:p w:rsidR="00202A4E" w:rsidRDefault="00202A4E" w:rsidP="00621C3F">
      <w:pPr>
        <w:pStyle w:val="medium-header"/>
        <w:keepNext w:val="0"/>
        <w:keepLines w:val="0"/>
        <w:tabs>
          <w:tab w:val="clear" w:pos="624"/>
          <w:tab w:val="clear" w:pos="1021"/>
          <w:tab w:val="clear" w:pos="1474"/>
          <w:tab w:val="clear" w:pos="1928"/>
          <w:tab w:val="clear" w:pos="2381"/>
          <w:tab w:val="clear" w:pos="2835"/>
          <w:tab w:val="left" w:pos="0"/>
          <w:tab w:val="right" w:pos="2552"/>
          <w:tab w:val="left" w:pos="3402"/>
          <w:tab w:val="right" w:pos="5670"/>
        </w:tabs>
        <w:ind w:left="0" w:right="1134"/>
        <w:jc w:val="left"/>
        <w:rPr>
          <w:rStyle w:val="default"/>
          <w:rFonts w:cs="FrankRuehl"/>
          <w:rtl/>
        </w:rPr>
      </w:pPr>
      <w:r>
        <w:rPr>
          <w:rStyle w:val="default"/>
          <w:rFonts w:cs="FrankRuehl" w:hint="cs"/>
          <w:rtl/>
        </w:rPr>
        <w:t xml:space="preserve">80 </w:t>
      </w:r>
      <w:r>
        <w:rPr>
          <w:rStyle w:val="default"/>
          <w:rFonts w:cs="FrankRuehl"/>
          <w:rtl/>
        </w:rPr>
        <w:t>ח</w:t>
      </w:r>
      <w:r>
        <w:rPr>
          <w:rStyle w:val="default"/>
          <w:rFonts w:cs="FrankRuehl" w:hint="cs"/>
          <w:rtl/>
        </w:rPr>
        <w:t>ודשים</w:t>
      </w:r>
      <w:r>
        <w:rPr>
          <w:rStyle w:val="default"/>
          <w:rFonts w:cs="FrankRuehl"/>
          <w:rtl/>
        </w:rPr>
        <w:tab/>
        <w:t xml:space="preserve"> 70%</w:t>
      </w:r>
      <w:r w:rsidRPr="00621C3F">
        <w:rPr>
          <w:rStyle w:val="default"/>
          <w:rFonts w:cs="FrankRuehl"/>
          <w:rtl/>
        </w:rPr>
        <w:tab/>
      </w:r>
      <w:r>
        <w:rPr>
          <w:rStyle w:val="default"/>
          <w:rFonts w:cs="FrankRuehl"/>
          <w:rtl/>
        </w:rPr>
        <w:t>10 ש</w:t>
      </w:r>
      <w:r>
        <w:rPr>
          <w:rStyle w:val="default"/>
          <w:rFonts w:cs="FrankRuehl" w:hint="cs"/>
          <w:rtl/>
        </w:rPr>
        <w:t>נים</w:t>
      </w:r>
      <w:r>
        <w:rPr>
          <w:rStyle w:val="default"/>
          <w:rFonts w:cs="FrankRuehl"/>
          <w:rtl/>
        </w:rPr>
        <w:tab/>
        <w:t xml:space="preserve"> 90%</w:t>
      </w:r>
    </w:p>
    <w:p w:rsidR="00202A4E" w:rsidRDefault="00202A4E" w:rsidP="00621C3F">
      <w:pPr>
        <w:pStyle w:val="P00"/>
        <w:spacing w:before="72"/>
        <w:ind w:left="0" w:right="1134"/>
        <w:rPr>
          <w:rStyle w:val="default"/>
          <w:rFonts w:cs="FrankRuehl" w:hint="cs"/>
          <w:rtl/>
        </w:rPr>
      </w:pPr>
    </w:p>
    <w:p w:rsidR="00621C3F" w:rsidRDefault="00621C3F" w:rsidP="00621C3F">
      <w:pPr>
        <w:pStyle w:val="P00"/>
        <w:spacing w:before="72"/>
        <w:ind w:left="0" w:right="1134"/>
        <w:rPr>
          <w:rStyle w:val="default"/>
          <w:rFonts w:cs="FrankRuehl" w:hint="cs"/>
          <w:rtl/>
        </w:rPr>
      </w:pPr>
    </w:p>
    <w:p w:rsidR="00202A4E" w:rsidRDefault="00202A4E">
      <w:pPr>
        <w:pStyle w:val="sig-0"/>
        <w:tabs>
          <w:tab w:val="right" w:leader="dot" w:pos="6237"/>
          <w:tab w:val="left" w:pos="9923"/>
        </w:tabs>
        <w:ind w:left="0" w:right="1134"/>
        <w:rPr>
          <w:rFonts w:cs="FrankRuehl"/>
          <w:sz w:val="26"/>
          <w:rtl/>
        </w:rPr>
      </w:pPr>
      <w:r>
        <w:rPr>
          <w:rFonts w:cs="FrankRuehl"/>
          <w:sz w:val="26"/>
          <w:rtl/>
        </w:rPr>
        <w:t xml:space="preserve">ב' </w:t>
      </w:r>
      <w:r>
        <w:rPr>
          <w:rFonts w:cs="FrankRuehl" w:hint="cs"/>
          <w:sz w:val="26"/>
          <w:rtl/>
        </w:rPr>
        <w:t>בטבת תשנ"א (19 בדצמבר 1990)</w:t>
      </w:r>
      <w:r>
        <w:rPr>
          <w:rFonts w:cs="FrankRuehl"/>
          <w:sz w:val="26"/>
          <w:rtl/>
        </w:rPr>
        <w:tab/>
        <w:t>י</w:t>
      </w:r>
      <w:r>
        <w:rPr>
          <w:rFonts w:cs="FrankRuehl" w:hint="cs"/>
          <w:sz w:val="26"/>
          <w:rtl/>
        </w:rPr>
        <w:t>צחק מודעי</w:t>
      </w:r>
    </w:p>
    <w:p w:rsidR="00202A4E" w:rsidRDefault="00202A4E">
      <w:pPr>
        <w:pStyle w:val="sig-1"/>
        <w:widowControl/>
        <w:tabs>
          <w:tab w:val="right" w:leader="dot" w:pos="6237"/>
          <w:tab w:val="left" w:pos="9923"/>
        </w:tabs>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621C3F" w:rsidRPr="00621C3F" w:rsidRDefault="00621C3F" w:rsidP="00621C3F">
      <w:pPr>
        <w:pStyle w:val="P00"/>
        <w:spacing w:before="72"/>
        <w:ind w:left="0" w:right="1134"/>
        <w:rPr>
          <w:rStyle w:val="default"/>
          <w:rFonts w:cs="FrankRuehl" w:hint="cs"/>
          <w:rtl/>
        </w:rPr>
      </w:pPr>
    </w:p>
    <w:p w:rsidR="00621C3F" w:rsidRPr="00621C3F" w:rsidRDefault="00621C3F" w:rsidP="00621C3F">
      <w:pPr>
        <w:pStyle w:val="P00"/>
        <w:spacing w:before="72"/>
        <w:ind w:left="0" w:right="1134"/>
        <w:rPr>
          <w:rStyle w:val="default"/>
          <w:rFonts w:cs="FrankRuehl"/>
          <w:rtl/>
        </w:rPr>
      </w:pPr>
    </w:p>
    <w:p w:rsidR="00202A4E" w:rsidRPr="00621C3F" w:rsidRDefault="00202A4E" w:rsidP="00621C3F">
      <w:pPr>
        <w:pStyle w:val="P00"/>
        <w:spacing w:before="72"/>
        <w:ind w:left="0" w:right="1134"/>
        <w:rPr>
          <w:rStyle w:val="default"/>
          <w:rFonts w:cs="FrankRuehl"/>
          <w:rtl/>
        </w:rPr>
      </w:pPr>
      <w:bookmarkStart w:id="13" w:name="LawPartEnd"/>
    </w:p>
    <w:bookmarkEnd w:id="13"/>
    <w:p w:rsidR="00EF2FDF" w:rsidRDefault="00EF2FDF" w:rsidP="00621C3F">
      <w:pPr>
        <w:pStyle w:val="P00"/>
        <w:spacing w:before="72"/>
        <w:ind w:left="0" w:right="1134"/>
        <w:rPr>
          <w:rStyle w:val="default"/>
          <w:rFonts w:cs="FrankRuehl"/>
          <w:rtl/>
        </w:rPr>
      </w:pPr>
    </w:p>
    <w:p w:rsidR="00EF2FDF" w:rsidRDefault="00EF2FDF" w:rsidP="00621C3F">
      <w:pPr>
        <w:pStyle w:val="P00"/>
        <w:spacing w:before="72"/>
        <w:ind w:left="0" w:right="1134"/>
        <w:rPr>
          <w:rStyle w:val="default"/>
          <w:rFonts w:cs="FrankRuehl"/>
          <w:rtl/>
        </w:rPr>
      </w:pPr>
    </w:p>
    <w:p w:rsidR="00EF2FDF" w:rsidRDefault="00EF2FDF" w:rsidP="00EF2FDF">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202A4E" w:rsidRPr="00EF2FDF" w:rsidRDefault="00202A4E" w:rsidP="00EF2FDF">
      <w:pPr>
        <w:pStyle w:val="P00"/>
        <w:spacing w:before="72"/>
        <w:ind w:left="0" w:right="1134"/>
        <w:jc w:val="center"/>
        <w:rPr>
          <w:rStyle w:val="default"/>
          <w:rFonts w:cs="David"/>
          <w:color w:val="0000FF"/>
          <w:szCs w:val="24"/>
          <w:u w:val="single"/>
          <w:rtl/>
        </w:rPr>
      </w:pPr>
    </w:p>
    <w:sectPr w:rsidR="00202A4E" w:rsidRPr="00EF2FDF">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4D08" w:rsidRDefault="00A64D08">
      <w:pPr>
        <w:spacing w:line="240" w:lineRule="auto"/>
      </w:pPr>
      <w:r>
        <w:separator/>
      </w:r>
    </w:p>
  </w:endnote>
  <w:endnote w:type="continuationSeparator" w:id="0">
    <w:p w:rsidR="00A64D08" w:rsidRDefault="00A64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2A4E" w:rsidRDefault="00202A4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02A4E" w:rsidRDefault="00202A4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02A4E" w:rsidRDefault="00202A4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F2FDF">
      <w:rPr>
        <w:rFonts w:cs="TopType Jerushalmi"/>
        <w:noProof/>
        <w:color w:val="000000"/>
        <w:sz w:val="14"/>
        <w:szCs w:val="14"/>
      </w:rPr>
      <w:t>Z:\00000000000000000000000=2014------------------------\05-May\2014-05-28\LawsForHofit\01\265_060.doc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2A4E" w:rsidRDefault="00202A4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F2FDF">
      <w:rPr>
        <w:rFonts w:hAnsi="FrankRuehl" w:cs="FrankRuehl"/>
        <w:noProof/>
        <w:sz w:val="24"/>
        <w:szCs w:val="24"/>
        <w:rtl/>
      </w:rPr>
      <w:t>4</w:t>
    </w:r>
    <w:r>
      <w:rPr>
        <w:rFonts w:hAnsi="FrankRuehl" w:cs="FrankRuehl"/>
        <w:sz w:val="24"/>
        <w:szCs w:val="24"/>
        <w:rtl/>
      </w:rPr>
      <w:fldChar w:fldCharType="end"/>
    </w:r>
  </w:p>
  <w:p w:rsidR="00202A4E" w:rsidRDefault="00202A4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02A4E" w:rsidRDefault="00202A4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F2FDF">
      <w:rPr>
        <w:rFonts w:cs="TopType Jerushalmi"/>
        <w:noProof/>
        <w:color w:val="000000"/>
        <w:sz w:val="14"/>
        <w:szCs w:val="14"/>
      </w:rPr>
      <w:t>Z:\00000000000000000000000=2014------------------------\05-May\2014-05-28\LawsForHofit\01\265_060.doc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4D08" w:rsidRDefault="00A64D08" w:rsidP="004E0F13">
      <w:pPr>
        <w:spacing w:before="60" w:line="240" w:lineRule="auto"/>
        <w:ind w:right="1134"/>
      </w:pPr>
      <w:r>
        <w:separator/>
      </w:r>
    </w:p>
  </w:footnote>
  <w:footnote w:type="continuationSeparator" w:id="0">
    <w:p w:rsidR="00A64D08" w:rsidRDefault="00A64D08">
      <w:pPr>
        <w:spacing w:line="240" w:lineRule="auto"/>
      </w:pPr>
      <w:r>
        <w:continuationSeparator/>
      </w:r>
    </w:p>
  </w:footnote>
  <w:footnote w:id="1">
    <w:p w:rsidR="004E0F13" w:rsidRPr="004E0F13" w:rsidRDefault="004E0F13" w:rsidP="004E0F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4E0F13">
        <w:rPr>
          <w:rFonts w:cs="FrankRuehl"/>
          <w:rtl/>
        </w:rPr>
        <w:t xml:space="preserve">* </w:t>
      </w:r>
      <w:r>
        <w:rPr>
          <w:rFonts w:cs="FrankRuehl"/>
          <w:rtl/>
        </w:rPr>
        <w:t>פו</w:t>
      </w:r>
      <w:r>
        <w:rPr>
          <w:rFonts w:cs="FrankRuehl" w:hint="cs"/>
          <w:rtl/>
        </w:rPr>
        <w:t xml:space="preserve">רסמו </w:t>
      </w:r>
      <w:hyperlink r:id="rId1" w:history="1">
        <w:r w:rsidRPr="00810D34">
          <w:rPr>
            <w:rStyle w:val="Hyperlink"/>
            <w:rFonts w:cs="FrankRuehl" w:hint="cs"/>
            <w:rtl/>
          </w:rPr>
          <w:t>ק"ת תשנ"א מס' 5328</w:t>
        </w:r>
      </w:hyperlink>
      <w:r>
        <w:rPr>
          <w:rFonts w:cs="FrankRuehl" w:hint="cs"/>
          <w:rtl/>
        </w:rPr>
        <w:t xml:space="preserve"> מיום 31.1.1991 עמ' 472.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2A4E" w:rsidRDefault="00202A4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המכס (פטור למכונית שהועברה על ידי ראש נציגות ונציג מדינת חוץ), תשנ"א–1991</w:t>
    </w:r>
  </w:p>
  <w:p w:rsidR="00202A4E" w:rsidRDefault="00202A4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02A4E" w:rsidRDefault="00202A4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2A4E" w:rsidRDefault="00202A4E" w:rsidP="004E0F1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המכס (פטור למכונית שהועברה על ידי ראש נציגות ונציג מדינת חוץ), </w:t>
    </w:r>
    <w:r w:rsidR="004E0F13">
      <w:rPr>
        <w:rFonts w:hAnsi="FrankRuehl" w:cs="FrankRuehl" w:hint="cs"/>
        <w:color w:val="000000"/>
        <w:sz w:val="28"/>
        <w:szCs w:val="28"/>
        <w:rtl/>
      </w:rPr>
      <w:br/>
    </w:r>
    <w:r>
      <w:rPr>
        <w:rFonts w:hAnsi="FrankRuehl" w:cs="FrankRuehl"/>
        <w:color w:val="000000"/>
        <w:sz w:val="28"/>
        <w:szCs w:val="28"/>
        <w:rtl/>
      </w:rPr>
      <w:t>תשנ"א</w:t>
    </w:r>
    <w:r w:rsidR="004E0F13">
      <w:rPr>
        <w:rFonts w:hAnsi="FrankRuehl" w:cs="FrankRuehl" w:hint="cs"/>
        <w:color w:val="000000"/>
        <w:sz w:val="28"/>
        <w:szCs w:val="28"/>
        <w:rtl/>
      </w:rPr>
      <w:t>-</w:t>
    </w:r>
    <w:r>
      <w:rPr>
        <w:rFonts w:hAnsi="FrankRuehl" w:cs="FrankRuehl"/>
        <w:color w:val="000000"/>
        <w:sz w:val="28"/>
        <w:szCs w:val="28"/>
        <w:rtl/>
      </w:rPr>
      <w:t>1991</w:t>
    </w:r>
  </w:p>
  <w:p w:rsidR="00202A4E" w:rsidRDefault="00202A4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02A4E" w:rsidRDefault="00202A4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0D34"/>
    <w:rsid w:val="00202A4E"/>
    <w:rsid w:val="0042460E"/>
    <w:rsid w:val="004E0F13"/>
    <w:rsid w:val="0054699C"/>
    <w:rsid w:val="005D32A8"/>
    <w:rsid w:val="00621C3F"/>
    <w:rsid w:val="00810D34"/>
    <w:rsid w:val="008F263A"/>
    <w:rsid w:val="00A64D08"/>
    <w:rsid w:val="00BA3257"/>
    <w:rsid w:val="00E4026E"/>
    <w:rsid w:val="00EF2F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6AEFC9A-7E43-4F88-A481-D3E1ACAD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4E0F13"/>
    <w:rPr>
      <w:sz w:val="20"/>
      <w:szCs w:val="20"/>
    </w:rPr>
  </w:style>
  <w:style w:type="character" w:styleId="a6">
    <w:name w:val="footnote reference"/>
    <w:basedOn w:val="a0"/>
    <w:semiHidden/>
    <w:rsid w:val="004E0F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3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פרק 265</vt:lpstr>
    </vt:vector>
  </TitlesOfParts>
  <Company/>
  <LinksUpToDate>false</LinksUpToDate>
  <CharactersWithSpaces>5058</CharactersWithSpaces>
  <SharedDoc>false</SharedDoc>
  <HLinks>
    <vt:vector size="90" baseType="variant">
      <vt:variant>
        <vt:i4>393283</vt:i4>
      </vt:variant>
      <vt:variant>
        <vt:i4>78</vt:i4>
      </vt:variant>
      <vt:variant>
        <vt:i4>0</vt:i4>
      </vt:variant>
      <vt:variant>
        <vt:i4>5</vt:i4>
      </vt:variant>
      <vt:variant>
        <vt:lpwstr>http://www.nevo.co.il/advertisements/nevo-100.doc</vt:lpwstr>
      </vt:variant>
      <vt:variant>
        <vt:lpwstr/>
      </vt:variant>
      <vt:variant>
        <vt:i4>5308425</vt:i4>
      </vt:variant>
      <vt:variant>
        <vt:i4>72</vt:i4>
      </vt:variant>
      <vt:variant>
        <vt:i4>0</vt:i4>
      </vt:variant>
      <vt:variant>
        <vt:i4>5</vt:i4>
      </vt:variant>
      <vt:variant>
        <vt:lpwstr/>
      </vt:variant>
      <vt:variant>
        <vt:lpwstr>med4</vt:lpwstr>
      </vt:variant>
      <vt:variant>
        <vt:i4>5636105</vt:i4>
      </vt:variant>
      <vt:variant>
        <vt:i4>66</vt:i4>
      </vt:variant>
      <vt:variant>
        <vt:i4>0</vt:i4>
      </vt:variant>
      <vt:variant>
        <vt:i4>5</vt:i4>
      </vt:variant>
      <vt:variant>
        <vt:lpwstr/>
      </vt:variant>
      <vt:variant>
        <vt:lpwstr>med3</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8257539</vt:i4>
      </vt:variant>
      <vt:variant>
        <vt:i4>0</vt:i4>
      </vt:variant>
      <vt:variant>
        <vt:i4>0</vt:i4>
      </vt:variant>
      <vt:variant>
        <vt:i4>5</vt:i4>
      </vt:variant>
      <vt:variant>
        <vt:lpwstr>http://www.nevo.co.il/Law_word/law06/TAK-5328.pdf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0265</vt:lpwstr>
  </property>
  <property fmtid="{D5CDD505-2E9C-101B-9397-08002B2CF9AE}" pid="3" name="CHNAME">
    <vt:lpwstr>מסי מכס ובלו</vt:lpwstr>
  </property>
  <property fmtid="{D5CDD505-2E9C-101B-9397-08002B2CF9AE}" pid="4" name="LAWNAME">
    <vt:lpwstr>תקנות המכס (פטור למכונית שהועברה על ידי ראש נציגות ונציג מדינת חוץ), תשנ"א-1991</vt:lpwstr>
  </property>
  <property fmtid="{D5CDD505-2E9C-101B-9397-08002B2CF9AE}" pid="5" name="LAWNUMBER">
    <vt:lpwstr>0060</vt:lpwstr>
  </property>
  <property fmtid="{D5CDD505-2E9C-101B-9397-08002B2CF9AE}" pid="6" name="TYPE">
    <vt:lpwstr>01</vt:lpwstr>
  </property>
  <property fmtid="{D5CDD505-2E9C-101B-9397-08002B2CF9AE}" pid="7" name="MEKOR_NAME1">
    <vt:lpwstr>פקודת המכס </vt:lpwstr>
  </property>
  <property fmtid="{D5CDD505-2E9C-101B-9397-08002B2CF9AE}" pid="8" name="MEKOR_SAIF1">
    <vt:lpwstr>141XגX;232X</vt:lpwstr>
  </property>
  <property fmtid="{D5CDD505-2E9C-101B-9397-08002B2CF9AE}" pid="9" name="NOSE11">
    <vt:lpwstr>מסים</vt:lpwstr>
  </property>
  <property fmtid="{D5CDD505-2E9C-101B-9397-08002B2CF9AE}" pid="10" name="NOSE21">
    <vt:lpwstr>מכס</vt:lpwstr>
  </property>
  <property fmtid="{D5CDD505-2E9C-101B-9397-08002B2CF9AE}" pid="11" name="NOSE31">
    <vt:lpwstr>תעריף ופטורים</vt:lpwstr>
  </property>
  <property fmtid="{D5CDD505-2E9C-101B-9397-08002B2CF9AE}" pid="12" name="NOSE41">
    <vt:lpwstr/>
  </property>
  <property fmtid="{D5CDD505-2E9C-101B-9397-08002B2CF9AE}" pid="13" name="NOSE12">
    <vt:lpwstr>מסים</vt:lpwstr>
  </property>
  <property fmtid="{D5CDD505-2E9C-101B-9397-08002B2CF9AE}" pid="14" name="NOSE22">
    <vt:lpwstr>בלו</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