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F3CD" w14:textId="77777777" w:rsidR="00175826" w:rsidRDefault="00175826">
      <w:pPr>
        <w:pStyle w:val="big-header"/>
        <w:ind w:left="0" w:right="1134"/>
      </w:pPr>
      <w:r>
        <w:rPr>
          <w:rtl/>
        </w:rPr>
        <w:t>תקנות המצאת מסמכים לפי אמנת האג 1965, תשל"ו</w:t>
      </w:r>
      <w:r>
        <w:rPr>
          <w:rFonts w:hint="cs"/>
          <w:rtl/>
        </w:rPr>
        <w:t>-</w:t>
      </w:r>
      <w:r>
        <w:rPr>
          <w:rtl/>
        </w:rPr>
        <w:t>1975</w:t>
      </w:r>
    </w:p>
    <w:p w14:paraId="2CE9C9E1" w14:textId="77777777" w:rsidR="00596A9E" w:rsidRPr="00596A9E" w:rsidRDefault="00596A9E" w:rsidP="00596A9E">
      <w:pPr>
        <w:spacing w:line="320" w:lineRule="auto"/>
        <w:jc w:val="left"/>
        <w:rPr>
          <w:rFonts w:cs="FrankRuehl"/>
          <w:szCs w:val="26"/>
          <w:rtl/>
        </w:rPr>
      </w:pPr>
    </w:p>
    <w:p w14:paraId="1FF27E61" w14:textId="77777777" w:rsidR="00596A9E" w:rsidRDefault="00596A9E" w:rsidP="00596A9E">
      <w:pPr>
        <w:spacing w:line="320" w:lineRule="auto"/>
        <w:jc w:val="left"/>
        <w:rPr>
          <w:rtl/>
        </w:rPr>
      </w:pPr>
    </w:p>
    <w:p w14:paraId="34E70736" w14:textId="77777777" w:rsidR="00596A9E" w:rsidRDefault="00596A9E" w:rsidP="00596A9E">
      <w:pPr>
        <w:spacing w:line="320" w:lineRule="auto"/>
        <w:jc w:val="left"/>
        <w:rPr>
          <w:rFonts w:cs="FrankRuehl"/>
          <w:szCs w:val="26"/>
          <w:rtl/>
        </w:rPr>
      </w:pPr>
      <w:r w:rsidRPr="00596A9E">
        <w:rPr>
          <w:rFonts w:cs="Miriam"/>
          <w:szCs w:val="22"/>
          <w:rtl/>
        </w:rPr>
        <w:t>בתי משפט וסדרי דין</w:t>
      </w:r>
      <w:r w:rsidRPr="00596A9E">
        <w:rPr>
          <w:rFonts w:cs="FrankRuehl"/>
          <w:szCs w:val="26"/>
          <w:rtl/>
        </w:rPr>
        <w:t xml:space="preserve"> – סדר דין אזרחי – המצאת מסמכים</w:t>
      </w:r>
    </w:p>
    <w:p w14:paraId="1E0C7065" w14:textId="77777777" w:rsidR="00596A9E" w:rsidRPr="00596A9E" w:rsidRDefault="00596A9E" w:rsidP="00596A9E">
      <w:pPr>
        <w:spacing w:line="320" w:lineRule="auto"/>
        <w:jc w:val="left"/>
        <w:rPr>
          <w:rFonts w:cs="Miriam"/>
          <w:szCs w:val="22"/>
          <w:rtl/>
        </w:rPr>
      </w:pPr>
      <w:r w:rsidRPr="00596A9E">
        <w:rPr>
          <w:rFonts w:cs="Miriam"/>
          <w:szCs w:val="22"/>
          <w:rtl/>
        </w:rPr>
        <w:t>משפט בינ"ל פומבי</w:t>
      </w:r>
      <w:r w:rsidRPr="00596A9E">
        <w:rPr>
          <w:rFonts w:cs="FrankRuehl"/>
          <w:szCs w:val="26"/>
          <w:rtl/>
        </w:rPr>
        <w:t xml:space="preserve"> – אמנות</w:t>
      </w:r>
    </w:p>
    <w:p w14:paraId="5E409AFF" w14:textId="77777777" w:rsidR="00175826" w:rsidRDefault="0017582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243C" w:rsidRPr="00E2243C" w14:paraId="2B2CD0B2" w14:textId="77777777">
        <w:tblPrEx>
          <w:tblCellMar>
            <w:top w:w="0" w:type="dxa"/>
            <w:bottom w:w="0" w:type="dxa"/>
          </w:tblCellMar>
        </w:tblPrEx>
        <w:tc>
          <w:tcPr>
            <w:tcW w:w="1247" w:type="dxa"/>
          </w:tcPr>
          <w:p w14:paraId="6F870D56" w14:textId="77777777" w:rsidR="00E2243C" w:rsidRPr="00E2243C" w:rsidRDefault="00E2243C" w:rsidP="00E2243C">
            <w:pPr>
              <w:spacing w:line="240" w:lineRule="auto"/>
              <w:jc w:val="left"/>
              <w:rPr>
                <w:rFonts w:cs="Frankruhel"/>
                <w:sz w:val="24"/>
                <w:rtl/>
              </w:rPr>
            </w:pPr>
          </w:p>
        </w:tc>
        <w:tc>
          <w:tcPr>
            <w:tcW w:w="5669" w:type="dxa"/>
          </w:tcPr>
          <w:p w14:paraId="2B17A13E" w14:textId="77777777" w:rsidR="00E2243C" w:rsidRPr="00E2243C" w:rsidRDefault="00E2243C" w:rsidP="00E2243C">
            <w:pPr>
              <w:spacing w:line="240" w:lineRule="auto"/>
              <w:jc w:val="left"/>
              <w:rPr>
                <w:rFonts w:cs="Frankruhel"/>
                <w:sz w:val="24"/>
                <w:rtl/>
              </w:rPr>
            </w:pPr>
            <w:r>
              <w:rPr>
                <w:rFonts w:cs="Times New Roman"/>
                <w:sz w:val="24"/>
                <w:rtl/>
              </w:rPr>
              <w:t>פרק א': פרשנות</w:t>
            </w:r>
          </w:p>
        </w:tc>
        <w:tc>
          <w:tcPr>
            <w:tcW w:w="567" w:type="dxa"/>
          </w:tcPr>
          <w:p w14:paraId="44918AE2" w14:textId="77777777" w:rsidR="00E2243C" w:rsidRPr="00E2243C" w:rsidRDefault="00E2243C" w:rsidP="00E2243C">
            <w:pPr>
              <w:spacing w:line="240" w:lineRule="auto"/>
              <w:jc w:val="left"/>
              <w:rPr>
                <w:rStyle w:val="Hyperlink"/>
                <w:rtl/>
              </w:rPr>
            </w:pPr>
            <w:hyperlink w:anchor="med0" w:tooltip="פרק א: פרשנות" w:history="1">
              <w:r w:rsidRPr="00E2243C">
                <w:rPr>
                  <w:rStyle w:val="Hyperlink"/>
                </w:rPr>
                <w:t>Go</w:t>
              </w:r>
            </w:hyperlink>
          </w:p>
        </w:tc>
        <w:tc>
          <w:tcPr>
            <w:tcW w:w="850" w:type="dxa"/>
          </w:tcPr>
          <w:p w14:paraId="1E89E542"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243C" w:rsidRPr="00E2243C" w14:paraId="7615ED75" w14:textId="77777777">
        <w:tblPrEx>
          <w:tblCellMar>
            <w:top w:w="0" w:type="dxa"/>
            <w:bottom w:w="0" w:type="dxa"/>
          </w:tblCellMar>
        </w:tblPrEx>
        <w:tc>
          <w:tcPr>
            <w:tcW w:w="1247" w:type="dxa"/>
          </w:tcPr>
          <w:p w14:paraId="714F0D95" w14:textId="77777777" w:rsidR="00E2243C" w:rsidRPr="00E2243C" w:rsidRDefault="00E2243C" w:rsidP="00E2243C">
            <w:pPr>
              <w:spacing w:line="240" w:lineRule="auto"/>
              <w:jc w:val="left"/>
              <w:rPr>
                <w:rFonts w:cs="Frankruhel"/>
                <w:sz w:val="24"/>
                <w:rtl/>
              </w:rPr>
            </w:pPr>
            <w:r>
              <w:rPr>
                <w:rFonts w:cs="Times New Roman"/>
                <w:sz w:val="24"/>
                <w:rtl/>
              </w:rPr>
              <w:t xml:space="preserve">סעיף 1 </w:t>
            </w:r>
          </w:p>
        </w:tc>
        <w:tc>
          <w:tcPr>
            <w:tcW w:w="5669" w:type="dxa"/>
          </w:tcPr>
          <w:p w14:paraId="00C913EE" w14:textId="77777777" w:rsidR="00E2243C" w:rsidRPr="00E2243C" w:rsidRDefault="00E2243C" w:rsidP="00E2243C">
            <w:pPr>
              <w:spacing w:line="240" w:lineRule="auto"/>
              <w:jc w:val="left"/>
              <w:rPr>
                <w:rFonts w:cs="Frankruhel"/>
                <w:sz w:val="24"/>
                <w:rtl/>
              </w:rPr>
            </w:pPr>
            <w:r>
              <w:rPr>
                <w:rFonts w:cs="Times New Roman"/>
                <w:sz w:val="24"/>
                <w:rtl/>
              </w:rPr>
              <w:t>הגדרות</w:t>
            </w:r>
          </w:p>
        </w:tc>
        <w:tc>
          <w:tcPr>
            <w:tcW w:w="567" w:type="dxa"/>
          </w:tcPr>
          <w:p w14:paraId="3D0E3C3F" w14:textId="77777777" w:rsidR="00E2243C" w:rsidRPr="00E2243C" w:rsidRDefault="00E2243C" w:rsidP="00E2243C">
            <w:pPr>
              <w:spacing w:line="240" w:lineRule="auto"/>
              <w:jc w:val="left"/>
              <w:rPr>
                <w:rStyle w:val="Hyperlink"/>
                <w:rtl/>
              </w:rPr>
            </w:pPr>
            <w:hyperlink w:anchor="Seif1" w:tooltip="הגדרות" w:history="1">
              <w:r w:rsidRPr="00E2243C">
                <w:rPr>
                  <w:rStyle w:val="Hyperlink"/>
                </w:rPr>
                <w:t>Go</w:t>
              </w:r>
            </w:hyperlink>
          </w:p>
        </w:tc>
        <w:tc>
          <w:tcPr>
            <w:tcW w:w="850" w:type="dxa"/>
          </w:tcPr>
          <w:p w14:paraId="662A0BDC"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243C" w:rsidRPr="00E2243C" w14:paraId="70B1D6E6" w14:textId="77777777">
        <w:tblPrEx>
          <w:tblCellMar>
            <w:top w:w="0" w:type="dxa"/>
            <w:bottom w:w="0" w:type="dxa"/>
          </w:tblCellMar>
        </w:tblPrEx>
        <w:tc>
          <w:tcPr>
            <w:tcW w:w="1247" w:type="dxa"/>
          </w:tcPr>
          <w:p w14:paraId="424388FB" w14:textId="77777777" w:rsidR="00E2243C" w:rsidRPr="00E2243C" w:rsidRDefault="00E2243C" w:rsidP="00E2243C">
            <w:pPr>
              <w:spacing w:line="240" w:lineRule="auto"/>
              <w:jc w:val="left"/>
              <w:rPr>
                <w:rFonts w:cs="Frankruhel"/>
                <w:sz w:val="24"/>
                <w:rtl/>
              </w:rPr>
            </w:pPr>
            <w:r>
              <w:rPr>
                <w:rFonts w:cs="Times New Roman"/>
                <w:sz w:val="24"/>
                <w:rtl/>
              </w:rPr>
              <w:t xml:space="preserve">סעיף 2 </w:t>
            </w:r>
          </w:p>
        </w:tc>
        <w:tc>
          <w:tcPr>
            <w:tcW w:w="5669" w:type="dxa"/>
          </w:tcPr>
          <w:p w14:paraId="33EAD92E" w14:textId="77777777" w:rsidR="00E2243C" w:rsidRPr="00E2243C" w:rsidRDefault="00E2243C" w:rsidP="00E2243C">
            <w:pPr>
              <w:spacing w:line="240" w:lineRule="auto"/>
              <w:jc w:val="left"/>
              <w:rPr>
                <w:rFonts w:cs="Frankruhel"/>
                <w:sz w:val="24"/>
                <w:rtl/>
              </w:rPr>
            </w:pPr>
            <w:r>
              <w:rPr>
                <w:rFonts w:cs="Times New Roman"/>
                <w:sz w:val="24"/>
                <w:rtl/>
              </w:rPr>
              <w:t>מטרה ופירוש</w:t>
            </w:r>
          </w:p>
        </w:tc>
        <w:tc>
          <w:tcPr>
            <w:tcW w:w="567" w:type="dxa"/>
          </w:tcPr>
          <w:p w14:paraId="539A84F0" w14:textId="77777777" w:rsidR="00E2243C" w:rsidRPr="00E2243C" w:rsidRDefault="00E2243C" w:rsidP="00E2243C">
            <w:pPr>
              <w:spacing w:line="240" w:lineRule="auto"/>
              <w:jc w:val="left"/>
              <w:rPr>
                <w:rStyle w:val="Hyperlink"/>
                <w:rtl/>
              </w:rPr>
            </w:pPr>
            <w:hyperlink w:anchor="Seif2" w:tooltip="מטרה ופירוש" w:history="1">
              <w:r w:rsidRPr="00E2243C">
                <w:rPr>
                  <w:rStyle w:val="Hyperlink"/>
                </w:rPr>
                <w:t>Go</w:t>
              </w:r>
            </w:hyperlink>
          </w:p>
        </w:tc>
        <w:tc>
          <w:tcPr>
            <w:tcW w:w="850" w:type="dxa"/>
          </w:tcPr>
          <w:p w14:paraId="69EAD31C"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243C" w:rsidRPr="00E2243C" w14:paraId="094BACEF" w14:textId="77777777">
        <w:tblPrEx>
          <w:tblCellMar>
            <w:top w:w="0" w:type="dxa"/>
            <w:bottom w:w="0" w:type="dxa"/>
          </w:tblCellMar>
        </w:tblPrEx>
        <w:tc>
          <w:tcPr>
            <w:tcW w:w="1247" w:type="dxa"/>
          </w:tcPr>
          <w:p w14:paraId="718E2DD0" w14:textId="77777777" w:rsidR="00E2243C" w:rsidRPr="00E2243C" w:rsidRDefault="00E2243C" w:rsidP="00E2243C">
            <w:pPr>
              <w:spacing w:line="240" w:lineRule="auto"/>
              <w:jc w:val="left"/>
              <w:rPr>
                <w:rFonts w:cs="Frankruhel"/>
                <w:sz w:val="24"/>
                <w:rtl/>
              </w:rPr>
            </w:pPr>
          </w:p>
        </w:tc>
        <w:tc>
          <w:tcPr>
            <w:tcW w:w="5669" w:type="dxa"/>
          </w:tcPr>
          <w:p w14:paraId="768072EE" w14:textId="77777777" w:rsidR="00E2243C" w:rsidRPr="00E2243C" w:rsidRDefault="00E2243C" w:rsidP="00E2243C">
            <w:pPr>
              <w:spacing w:line="240" w:lineRule="auto"/>
              <w:jc w:val="left"/>
              <w:rPr>
                <w:rFonts w:cs="Frankruhel"/>
                <w:sz w:val="24"/>
                <w:rtl/>
              </w:rPr>
            </w:pPr>
            <w:r>
              <w:rPr>
                <w:rFonts w:cs="Times New Roman"/>
                <w:sz w:val="24"/>
                <w:rtl/>
              </w:rPr>
              <w:t>פרק ב': המצאת מסמכים בישראל</w:t>
            </w:r>
          </w:p>
        </w:tc>
        <w:tc>
          <w:tcPr>
            <w:tcW w:w="567" w:type="dxa"/>
          </w:tcPr>
          <w:p w14:paraId="38C603BB" w14:textId="77777777" w:rsidR="00E2243C" w:rsidRPr="00E2243C" w:rsidRDefault="00E2243C" w:rsidP="00E2243C">
            <w:pPr>
              <w:spacing w:line="240" w:lineRule="auto"/>
              <w:jc w:val="left"/>
              <w:rPr>
                <w:rStyle w:val="Hyperlink"/>
                <w:rtl/>
              </w:rPr>
            </w:pPr>
            <w:hyperlink w:anchor="med1" w:tooltip="פרק ב: המצאת מסמכים בישראל" w:history="1">
              <w:r w:rsidRPr="00E2243C">
                <w:rPr>
                  <w:rStyle w:val="Hyperlink"/>
                </w:rPr>
                <w:t>Go</w:t>
              </w:r>
            </w:hyperlink>
          </w:p>
        </w:tc>
        <w:tc>
          <w:tcPr>
            <w:tcW w:w="850" w:type="dxa"/>
          </w:tcPr>
          <w:p w14:paraId="1F89ECBC"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243C" w:rsidRPr="00E2243C" w14:paraId="68CE6CE2" w14:textId="77777777">
        <w:tblPrEx>
          <w:tblCellMar>
            <w:top w:w="0" w:type="dxa"/>
            <w:bottom w:w="0" w:type="dxa"/>
          </w:tblCellMar>
        </w:tblPrEx>
        <w:tc>
          <w:tcPr>
            <w:tcW w:w="1247" w:type="dxa"/>
          </w:tcPr>
          <w:p w14:paraId="37360EFD" w14:textId="77777777" w:rsidR="00E2243C" w:rsidRPr="00E2243C" w:rsidRDefault="00E2243C" w:rsidP="00E2243C">
            <w:pPr>
              <w:spacing w:line="240" w:lineRule="auto"/>
              <w:jc w:val="left"/>
              <w:rPr>
                <w:rFonts w:cs="Frankruhel"/>
                <w:sz w:val="24"/>
                <w:rtl/>
              </w:rPr>
            </w:pPr>
            <w:r>
              <w:rPr>
                <w:rFonts w:cs="Times New Roman"/>
                <w:sz w:val="24"/>
                <w:rtl/>
              </w:rPr>
              <w:t xml:space="preserve">סעיף 3 </w:t>
            </w:r>
          </w:p>
        </w:tc>
        <w:tc>
          <w:tcPr>
            <w:tcW w:w="5669" w:type="dxa"/>
          </w:tcPr>
          <w:p w14:paraId="2FE9C24C" w14:textId="77777777" w:rsidR="00E2243C" w:rsidRPr="00E2243C" w:rsidRDefault="00E2243C" w:rsidP="00E2243C">
            <w:pPr>
              <w:spacing w:line="240" w:lineRule="auto"/>
              <w:jc w:val="left"/>
              <w:rPr>
                <w:rFonts w:cs="Frankruhel"/>
                <w:sz w:val="24"/>
                <w:rtl/>
              </w:rPr>
            </w:pPr>
            <w:r>
              <w:rPr>
                <w:rFonts w:cs="Times New Roman"/>
                <w:sz w:val="24"/>
                <w:rtl/>
              </w:rPr>
              <w:t>קביעת הרשות המרכזית</w:t>
            </w:r>
          </w:p>
        </w:tc>
        <w:tc>
          <w:tcPr>
            <w:tcW w:w="567" w:type="dxa"/>
          </w:tcPr>
          <w:p w14:paraId="35CFB4E7" w14:textId="77777777" w:rsidR="00E2243C" w:rsidRPr="00E2243C" w:rsidRDefault="00E2243C" w:rsidP="00E2243C">
            <w:pPr>
              <w:spacing w:line="240" w:lineRule="auto"/>
              <w:jc w:val="left"/>
              <w:rPr>
                <w:rStyle w:val="Hyperlink"/>
                <w:rtl/>
              </w:rPr>
            </w:pPr>
            <w:hyperlink w:anchor="Seif3" w:tooltip="קביעת הרשות המרכזית" w:history="1">
              <w:r w:rsidRPr="00E2243C">
                <w:rPr>
                  <w:rStyle w:val="Hyperlink"/>
                </w:rPr>
                <w:t>Go</w:t>
              </w:r>
            </w:hyperlink>
          </w:p>
        </w:tc>
        <w:tc>
          <w:tcPr>
            <w:tcW w:w="850" w:type="dxa"/>
          </w:tcPr>
          <w:p w14:paraId="7C5BCCD8"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243C" w:rsidRPr="00E2243C" w14:paraId="10A296D3" w14:textId="77777777">
        <w:tblPrEx>
          <w:tblCellMar>
            <w:top w:w="0" w:type="dxa"/>
            <w:bottom w:w="0" w:type="dxa"/>
          </w:tblCellMar>
        </w:tblPrEx>
        <w:tc>
          <w:tcPr>
            <w:tcW w:w="1247" w:type="dxa"/>
          </w:tcPr>
          <w:p w14:paraId="52340207" w14:textId="77777777" w:rsidR="00E2243C" w:rsidRPr="00E2243C" w:rsidRDefault="00E2243C" w:rsidP="00E2243C">
            <w:pPr>
              <w:spacing w:line="240" w:lineRule="auto"/>
              <w:jc w:val="left"/>
              <w:rPr>
                <w:rFonts w:cs="Frankruhel"/>
                <w:sz w:val="24"/>
                <w:rtl/>
              </w:rPr>
            </w:pPr>
            <w:r>
              <w:rPr>
                <w:rFonts w:cs="Times New Roman"/>
                <w:sz w:val="24"/>
                <w:rtl/>
              </w:rPr>
              <w:t xml:space="preserve">סעיף 4 </w:t>
            </w:r>
          </w:p>
        </w:tc>
        <w:tc>
          <w:tcPr>
            <w:tcW w:w="5669" w:type="dxa"/>
          </w:tcPr>
          <w:p w14:paraId="303E9DE9" w14:textId="77777777" w:rsidR="00E2243C" w:rsidRPr="00E2243C" w:rsidRDefault="00E2243C" w:rsidP="00E2243C">
            <w:pPr>
              <w:spacing w:line="240" w:lineRule="auto"/>
              <w:jc w:val="left"/>
              <w:rPr>
                <w:rFonts w:cs="Frankruhel"/>
                <w:sz w:val="24"/>
                <w:rtl/>
              </w:rPr>
            </w:pPr>
            <w:r>
              <w:rPr>
                <w:rFonts w:cs="Times New Roman"/>
                <w:sz w:val="24"/>
                <w:rtl/>
              </w:rPr>
              <w:t>טיפול בבקשות להמצאת מסמכים בישראל</w:t>
            </w:r>
          </w:p>
        </w:tc>
        <w:tc>
          <w:tcPr>
            <w:tcW w:w="567" w:type="dxa"/>
          </w:tcPr>
          <w:p w14:paraId="6D3CC58A" w14:textId="77777777" w:rsidR="00E2243C" w:rsidRPr="00E2243C" w:rsidRDefault="00E2243C" w:rsidP="00E2243C">
            <w:pPr>
              <w:spacing w:line="240" w:lineRule="auto"/>
              <w:jc w:val="left"/>
              <w:rPr>
                <w:rStyle w:val="Hyperlink"/>
                <w:rtl/>
              </w:rPr>
            </w:pPr>
            <w:hyperlink w:anchor="Seif4" w:tooltip="טיפול בבקשות להמצאת מסמכים בישראל" w:history="1">
              <w:r w:rsidRPr="00E2243C">
                <w:rPr>
                  <w:rStyle w:val="Hyperlink"/>
                </w:rPr>
                <w:t>Go</w:t>
              </w:r>
            </w:hyperlink>
          </w:p>
        </w:tc>
        <w:tc>
          <w:tcPr>
            <w:tcW w:w="850" w:type="dxa"/>
          </w:tcPr>
          <w:p w14:paraId="4F732D6D"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243C" w:rsidRPr="00E2243C" w14:paraId="18D8B2BB" w14:textId="77777777">
        <w:tblPrEx>
          <w:tblCellMar>
            <w:top w:w="0" w:type="dxa"/>
            <w:bottom w:w="0" w:type="dxa"/>
          </w:tblCellMar>
        </w:tblPrEx>
        <w:tc>
          <w:tcPr>
            <w:tcW w:w="1247" w:type="dxa"/>
          </w:tcPr>
          <w:p w14:paraId="4880E987" w14:textId="77777777" w:rsidR="00E2243C" w:rsidRPr="00E2243C" w:rsidRDefault="00E2243C" w:rsidP="00E2243C">
            <w:pPr>
              <w:spacing w:line="240" w:lineRule="auto"/>
              <w:jc w:val="left"/>
              <w:rPr>
                <w:rFonts w:cs="Frankruhel"/>
                <w:sz w:val="24"/>
                <w:rtl/>
              </w:rPr>
            </w:pPr>
          </w:p>
        </w:tc>
        <w:tc>
          <w:tcPr>
            <w:tcW w:w="5669" w:type="dxa"/>
          </w:tcPr>
          <w:p w14:paraId="148BC7D2" w14:textId="77777777" w:rsidR="00E2243C" w:rsidRPr="00E2243C" w:rsidRDefault="00E2243C" w:rsidP="00E2243C">
            <w:pPr>
              <w:spacing w:line="240" w:lineRule="auto"/>
              <w:jc w:val="left"/>
              <w:rPr>
                <w:rFonts w:cs="Frankruhel"/>
                <w:sz w:val="24"/>
                <w:rtl/>
              </w:rPr>
            </w:pPr>
            <w:r>
              <w:rPr>
                <w:rFonts w:cs="Times New Roman"/>
                <w:sz w:val="24"/>
                <w:rtl/>
              </w:rPr>
              <w:t>פרק ג': המצאת מסמכים בחוץ לארץ</w:t>
            </w:r>
          </w:p>
        </w:tc>
        <w:tc>
          <w:tcPr>
            <w:tcW w:w="567" w:type="dxa"/>
          </w:tcPr>
          <w:p w14:paraId="517D8CB8" w14:textId="77777777" w:rsidR="00E2243C" w:rsidRPr="00E2243C" w:rsidRDefault="00E2243C" w:rsidP="00E2243C">
            <w:pPr>
              <w:spacing w:line="240" w:lineRule="auto"/>
              <w:jc w:val="left"/>
              <w:rPr>
                <w:rStyle w:val="Hyperlink"/>
                <w:rtl/>
              </w:rPr>
            </w:pPr>
            <w:hyperlink w:anchor="med2" w:tooltip="פרק ג: המצאת מסמכים בחוץ לארץ" w:history="1">
              <w:r w:rsidRPr="00E2243C">
                <w:rPr>
                  <w:rStyle w:val="Hyperlink"/>
                </w:rPr>
                <w:t>Go</w:t>
              </w:r>
            </w:hyperlink>
          </w:p>
        </w:tc>
        <w:tc>
          <w:tcPr>
            <w:tcW w:w="850" w:type="dxa"/>
          </w:tcPr>
          <w:p w14:paraId="588C48FB"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243C" w:rsidRPr="00E2243C" w14:paraId="6FD251F3" w14:textId="77777777">
        <w:tblPrEx>
          <w:tblCellMar>
            <w:top w:w="0" w:type="dxa"/>
            <w:bottom w:w="0" w:type="dxa"/>
          </w:tblCellMar>
        </w:tblPrEx>
        <w:tc>
          <w:tcPr>
            <w:tcW w:w="1247" w:type="dxa"/>
          </w:tcPr>
          <w:p w14:paraId="4C4D78D7" w14:textId="77777777" w:rsidR="00E2243C" w:rsidRPr="00E2243C" w:rsidRDefault="00E2243C" w:rsidP="00E2243C">
            <w:pPr>
              <w:spacing w:line="240" w:lineRule="auto"/>
              <w:jc w:val="left"/>
              <w:rPr>
                <w:rFonts w:cs="Frankruhel"/>
                <w:sz w:val="24"/>
                <w:rtl/>
              </w:rPr>
            </w:pPr>
            <w:r>
              <w:rPr>
                <w:rFonts w:cs="Times New Roman"/>
                <w:sz w:val="24"/>
                <w:rtl/>
              </w:rPr>
              <w:t xml:space="preserve">סעיף 5 </w:t>
            </w:r>
          </w:p>
        </w:tc>
        <w:tc>
          <w:tcPr>
            <w:tcW w:w="5669" w:type="dxa"/>
          </w:tcPr>
          <w:p w14:paraId="53219FD4" w14:textId="77777777" w:rsidR="00E2243C" w:rsidRPr="00E2243C" w:rsidRDefault="00E2243C" w:rsidP="00E2243C">
            <w:pPr>
              <w:spacing w:line="240" w:lineRule="auto"/>
              <w:jc w:val="left"/>
              <w:rPr>
                <w:rFonts w:cs="Frankruhel"/>
                <w:sz w:val="24"/>
                <w:rtl/>
              </w:rPr>
            </w:pPr>
            <w:r>
              <w:rPr>
                <w:rFonts w:cs="Times New Roman"/>
                <w:sz w:val="24"/>
                <w:rtl/>
              </w:rPr>
              <w:t>בקשה להמצאת מסמך בחוץ לארץ</w:t>
            </w:r>
          </w:p>
        </w:tc>
        <w:tc>
          <w:tcPr>
            <w:tcW w:w="567" w:type="dxa"/>
          </w:tcPr>
          <w:p w14:paraId="4BFD6C0B" w14:textId="77777777" w:rsidR="00E2243C" w:rsidRPr="00E2243C" w:rsidRDefault="00E2243C" w:rsidP="00E2243C">
            <w:pPr>
              <w:spacing w:line="240" w:lineRule="auto"/>
              <w:jc w:val="left"/>
              <w:rPr>
                <w:rStyle w:val="Hyperlink"/>
                <w:rtl/>
              </w:rPr>
            </w:pPr>
            <w:hyperlink w:anchor="Seif5" w:tooltip="בקשה להמצאת מסמך בחוץ לארץ" w:history="1">
              <w:r w:rsidRPr="00E2243C">
                <w:rPr>
                  <w:rStyle w:val="Hyperlink"/>
                </w:rPr>
                <w:t>Go</w:t>
              </w:r>
            </w:hyperlink>
          </w:p>
        </w:tc>
        <w:tc>
          <w:tcPr>
            <w:tcW w:w="850" w:type="dxa"/>
          </w:tcPr>
          <w:p w14:paraId="5426CEA4"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243C" w:rsidRPr="00E2243C" w14:paraId="160610CE" w14:textId="77777777">
        <w:tblPrEx>
          <w:tblCellMar>
            <w:top w:w="0" w:type="dxa"/>
            <w:bottom w:w="0" w:type="dxa"/>
          </w:tblCellMar>
        </w:tblPrEx>
        <w:tc>
          <w:tcPr>
            <w:tcW w:w="1247" w:type="dxa"/>
          </w:tcPr>
          <w:p w14:paraId="729ED873" w14:textId="77777777" w:rsidR="00E2243C" w:rsidRPr="00E2243C" w:rsidRDefault="00E2243C" w:rsidP="00E2243C">
            <w:pPr>
              <w:spacing w:line="240" w:lineRule="auto"/>
              <w:jc w:val="left"/>
              <w:rPr>
                <w:rFonts w:cs="Frankruhel"/>
                <w:sz w:val="24"/>
                <w:rtl/>
              </w:rPr>
            </w:pPr>
            <w:r>
              <w:rPr>
                <w:rFonts w:cs="Times New Roman"/>
                <w:sz w:val="24"/>
                <w:rtl/>
              </w:rPr>
              <w:t xml:space="preserve">סעיף 6 </w:t>
            </w:r>
          </w:p>
        </w:tc>
        <w:tc>
          <w:tcPr>
            <w:tcW w:w="5669" w:type="dxa"/>
          </w:tcPr>
          <w:p w14:paraId="52E2B9AC" w14:textId="77777777" w:rsidR="00E2243C" w:rsidRPr="00E2243C" w:rsidRDefault="00E2243C" w:rsidP="00E2243C">
            <w:pPr>
              <w:spacing w:line="240" w:lineRule="auto"/>
              <w:jc w:val="left"/>
              <w:rPr>
                <w:rFonts w:cs="Frankruhel"/>
                <w:sz w:val="24"/>
                <w:rtl/>
              </w:rPr>
            </w:pPr>
            <w:r>
              <w:rPr>
                <w:rFonts w:cs="Times New Roman"/>
                <w:sz w:val="24"/>
                <w:rtl/>
              </w:rPr>
              <w:t>המצאת המסמך</w:t>
            </w:r>
          </w:p>
        </w:tc>
        <w:tc>
          <w:tcPr>
            <w:tcW w:w="567" w:type="dxa"/>
          </w:tcPr>
          <w:p w14:paraId="5EF9EC1A" w14:textId="77777777" w:rsidR="00E2243C" w:rsidRPr="00E2243C" w:rsidRDefault="00E2243C" w:rsidP="00E2243C">
            <w:pPr>
              <w:spacing w:line="240" w:lineRule="auto"/>
              <w:jc w:val="left"/>
              <w:rPr>
                <w:rStyle w:val="Hyperlink"/>
                <w:rtl/>
              </w:rPr>
            </w:pPr>
            <w:hyperlink w:anchor="Seif6" w:tooltip="המצאת המסמך" w:history="1">
              <w:r w:rsidRPr="00E2243C">
                <w:rPr>
                  <w:rStyle w:val="Hyperlink"/>
                </w:rPr>
                <w:t>Go</w:t>
              </w:r>
            </w:hyperlink>
          </w:p>
        </w:tc>
        <w:tc>
          <w:tcPr>
            <w:tcW w:w="850" w:type="dxa"/>
          </w:tcPr>
          <w:p w14:paraId="34E37B83"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57D31B22" w14:textId="77777777">
        <w:tblPrEx>
          <w:tblCellMar>
            <w:top w:w="0" w:type="dxa"/>
            <w:bottom w:w="0" w:type="dxa"/>
          </w:tblCellMar>
        </w:tblPrEx>
        <w:tc>
          <w:tcPr>
            <w:tcW w:w="1247" w:type="dxa"/>
          </w:tcPr>
          <w:p w14:paraId="01BF7BDE" w14:textId="77777777" w:rsidR="00E2243C" w:rsidRPr="00E2243C" w:rsidRDefault="00E2243C" w:rsidP="00E2243C">
            <w:pPr>
              <w:spacing w:line="240" w:lineRule="auto"/>
              <w:jc w:val="left"/>
              <w:rPr>
                <w:rFonts w:cs="Frankruhel"/>
                <w:sz w:val="24"/>
                <w:rtl/>
              </w:rPr>
            </w:pPr>
            <w:r>
              <w:rPr>
                <w:rFonts w:cs="Times New Roman"/>
                <w:sz w:val="24"/>
                <w:rtl/>
              </w:rPr>
              <w:t xml:space="preserve">סעיף 7 </w:t>
            </w:r>
          </w:p>
        </w:tc>
        <w:tc>
          <w:tcPr>
            <w:tcW w:w="5669" w:type="dxa"/>
          </w:tcPr>
          <w:p w14:paraId="29FF9CA3" w14:textId="77777777" w:rsidR="00E2243C" w:rsidRPr="00E2243C" w:rsidRDefault="00E2243C" w:rsidP="00E2243C">
            <w:pPr>
              <w:spacing w:line="240" w:lineRule="auto"/>
              <w:jc w:val="left"/>
              <w:rPr>
                <w:rFonts w:cs="Frankruhel"/>
                <w:sz w:val="24"/>
                <w:rtl/>
              </w:rPr>
            </w:pPr>
            <w:r>
              <w:rPr>
                <w:rFonts w:cs="Times New Roman"/>
                <w:sz w:val="24"/>
                <w:rtl/>
              </w:rPr>
              <w:t>אישור המצאה</w:t>
            </w:r>
          </w:p>
        </w:tc>
        <w:tc>
          <w:tcPr>
            <w:tcW w:w="567" w:type="dxa"/>
          </w:tcPr>
          <w:p w14:paraId="4E28DA67" w14:textId="77777777" w:rsidR="00E2243C" w:rsidRPr="00E2243C" w:rsidRDefault="00E2243C" w:rsidP="00E2243C">
            <w:pPr>
              <w:spacing w:line="240" w:lineRule="auto"/>
              <w:jc w:val="left"/>
              <w:rPr>
                <w:rStyle w:val="Hyperlink"/>
                <w:rtl/>
              </w:rPr>
            </w:pPr>
            <w:hyperlink w:anchor="Seif7" w:tooltip="אישור המצאה" w:history="1">
              <w:r w:rsidRPr="00E2243C">
                <w:rPr>
                  <w:rStyle w:val="Hyperlink"/>
                </w:rPr>
                <w:t>Go</w:t>
              </w:r>
            </w:hyperlink>
          </w:p>
        </w:tc>
        <w:tc>
          <w:tcPr>
            <w:tcW w:w="850" w:type="dxa"/>
          </w:tcPr>
          <w:p w14:paraId="104F9350"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4E0AA359" w14:textId="77777777">
        <w:tblPrEx>
          <w:tblCellMar>
            <w:top w:w="0" w:type="dxa"/>
            <w:bottom w:w="0" w:type="dxa"/>
          </w:tblCellMar>
        </w:tblPrEx>
        <w:tc>
          <w:tcPr>
            <w:tcW w:w="1247" w:type="dxa"/>
          </w:tcPr>
          <w:p w14:paraId="58C4D499" w14:textId="77777777" w:rsidR="00E2243C" w:rsidRPr="00E2243C" w:rsidRDefault="00E2243C" w:rsidP="00E2243C">
            <w:pPr>
              <w:spacing w:line="240" w:lineRule="auto"/>
              <w:jc w:val="left"/>
              <w:rPr>
                <w:rFonts w:cs="Frankruhel"/>
                <w:sz w:val="24"/>
                <w:rtl/>
              </w:rPr>
            </w:pPr>
          </w:p>
        </w:tc>
        <w:tc>
          <w:tcPr>
            <w:tcW w:w="5669" w:type="dxa"/>
          </w:tcPr>
          <w:p w14:paraId="121CC4FB" w14:textId="77777777" w:rsidR="00E2243C" w:rsidRPr="00E2243C" w:rsidRDefault="00E2243C" w:rsidP="00E2243C">
            <w:pPr>
              <w:spacing w:line="240" w:lineRule="auto"/>
              <w:jc w:val="left"/>
              <w:rPr>
                <w:rFonts w:cs="Frankruhel"/>
                <w:sz w:val="24"/>
                <w:rtl/>
              </w:rPr>
            </w:pPr>
            <w:r>
              <w:rPr>
                <w:rFonts w:cs="Times New Roman"/>
                <w:sz w:val="24"/>
                <w:rtl/>
              </w:rPr>
              <w:t>פרק ד': סדרי דין להמצאת הזמנה בחוץ-לארץ</w:t>
            </w:r>
          </w:p>
        </w:tc>
        <w:tc>
          <w:tcPr>
            <w:tcW w:w="567" w:type="dxa"/>
          </w:tcPr>
          <w:p w14:paraId="74BD8B06" w14:textId="77777777" w:rsidR="00E2243C" w:rsidRPr="00E2243C" w:rsidRDefault="00E2243C" w:rsidP="00E2243C">
            <w:pPr>
              <w:spacing w:line="240" w:lineRule="auto"/>
              <w:jc w:val="left"/>
              <w:rPr>
                <w:rStyle w:val="Hyperlink"/>
                <w:rtl/>
              </w:rPr>
            </w:pPr>
            <w:hyperlink w:anchor="med3" w:tooltip="פרק ד: סדרי דין להמצאת הזמנה בחוץ-לארץ" w:history="1">
              <w:r w:rsidRPr="00E2243C">
                <w:rPr>
                  <w:rStyle w:val="Hyperlink"/>
                </w:rPr>
                <w:t>Go</w:t>
              </w:r>
            </w:hyperlink>
          </w:p>
        </w:tc>
        <w:tc>
          <w:tcPr>
            <w:tcW w:w="850" w:type="dxa"/>
          </w:tcPr>
          <w:p w14:paraId="268B6E13"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0386E3A5" w14:textId="77777777">
        <w:tblPrEx>
          <w:tblCellMar>
            <w:top w:w="0" w:type="dxa"/>
            <w:bottom w:w="0" w:type="dxa"/>
          </w:tblCellMar>
        </w:tblPrEx>
        <w:tc>
          <w:tcPr>
            <w:tcW w:w="1247" w:type="dxa"/>
          </w:tcPr>
          <w:p w14:paraId="09295C03" w14:textId="77777777" w:rsidR="00E2243C" w:rsidRPr="00E2243C" w:rsidRDefault="00E2243C" w:rsidP="00E2243C">
            <w:pPr>
              <w:spacing w:line="240" w:lineRule="auto"/>
              <w:jc w:val="left"/>
              <w:rPr>
                <w:rFonts w:cs="Frankruhel"/>
                <w:sz w:val="24"/>
                <w:rtl/>
              </w:rPr>
            </w:pPr>
            <w:r>
              <w:rPr>
                <w:rFonts w:cs="Times New Roman"/>
                <w:sz w:val="24"/>
                <w:rtl/>
              </w:rPr>
              <w:t xml:space="preserve">סעיף 8 </w:t>
            </w:r>
          </w:p>
        </w:tc>
        <w:tc>
          <w:tcPr>
            <w:tcW w:w="5669" w:type="dxa"/>
          </w:tcPr>
          <w:p w14:paraId="12BB87EE" w14:textId="77777777" w:rsidR="00E2243C" w:rsidRPr="00E2243C" w:rsidRDefault="00E2243C" w:rsidP="00E2243C">
            <w:pPr>
              <w:spacing w:line="240" w:lineRule="auto"/>
              <w:jc w:val="left"/>
              <w:rPr>
                <w:rFonts w:cs="Frankruhel"/>
                <w:sz w:val="24"/>
                <w:rtl/>
              </w:rPr>
            </w:pPr>
            <w:r>
              <w:rPr>
                <w:rFonts w:cs="Times New Roman"/>
                <w:sz w:val="24"/>
                <w:rtl/>
              </w:rPr>
              <w:t>תחולת האמנה בענין סדרי דין</w:t>
            </w:r>
          </w:p>
        </w:tc>
        <w:tc>
          <w:tcPr>
            <w:tcW w:w="567" w:type="dxa"/>
          </w:tcPr>
          <w:p w14:paraId="3F5A68B6" w14:textId="77777777" w:rsidR="00E2243C" w:rsidRPr="00E2243C" w:rsidRDefault="00E2243C" w:rsidP="00E2243C">
            <w:pPr>
              <w:spacing w:line="240" w:lineRule="auto"/>
              <w:jc w:val="left"/>
              <w:rPr>
                <w:rStyle w:val="Hyperlink"/>
                <w:rtl/>
              </w:rPr>
            </w:pPr>
            <w:hyperlink w:anchor="Seif8" w:tooltip="תחולת האמנה בענין סדרי דין" w:history="1">
              <w:r w:rsidRPr="00E2243C">
                <w:rPr>
                  <w:rStyle w:val="Hyperlink"/>
                </w:rPr>
                <w:t>Go</w:t>
              </w:r>
            </w:hyperlink>
          </w:p>
        </w:tc>
        <w:tc>
          <w:tcPr>
            <w:tcW w:w="850" w:type="dxa"/>
          </w:tcPr>
          <w:p w14:paraId="0A6FF140"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798DD252" w14:textId="77777777">
        <w:tblPrEx>
          <w:tblCellMar>
            <w:top w:w="0" w:type="dxa"/>
            <w:bottom w:w="0" w:type="dxa"/>
          </w:tblCellMar>
        </w:tblPrEx>
        <w:tc>
          <w:tcPr>
            <w:tcW w:w="1247" w:type="dxa"/>
          </w:tcPr>
          <w:p w14:paraId="68D7D7AD" w14:textId="77777777" w:rsidR="00E2243C" w:rsidRPr="00E2243C" w:rsidRDefault="00E2243C" w:rsidP="00E2243C">
            <w:pPr>
              <w:spacing w:line="240" w:lineRule="auto"/>
              <w:jc w:val="left"/>
              <w:rPr>
                <w:rFonts w:cs="Frankruhel"/>
                <w:sz w:val="24"/>
                <w:rtl/>
              </w:rPr>
            </w:pPr>
          </w:p>
        </w:tc>
        <w:tc>
          <w:tcPr>
            <w:tcW w:w="5669" w:type="dxa"/>
          </w:tcPr>
          <w:p w14:paraId="3B7A0487" w14:textId="77777777" w:rsidR="00E2243C" w:rsidRPr="00E2243C" w:rsidRDefault="00E2243C" w:rsidP="00E2243C">
            <w:pPr>
              <w:spacing w:line="240" w:lineRule="auto"/>
              <w:jc w:val="left"/>
              <w:rPr>
                <w:rFonts w:cs="Frankruhel"/>
                <w:sz w:val="24"/>
                <w:rtl/>
              </w:rPr>
            </w:pPr>
            <w:r>
              <w:rPr>
                <w:rFonts w:cs="Times New Roman"/>
                <w:sz w:val="24"/>
                <w:rtl/>
              </w:rPr>
              <w:t>פרק ה': הוראות כלליות</w:t>
            </w:r>
          </w:p>
        </w:tc>
        <w:tc>
          <w:tcPr>
            <w:tcW w:w="567" w:type="dxa"/>
          </w:tcPr>
          <w:p w14:paraId="530C9279" w14:textId="77777777" w:rsidR="00E2243C" w:rsidRPr="00E2243C" w:rsidRDefault="00E2243C" w:rsidP="00E2243C">
            <w:pPr>
              <w:spacing w:line="240" w:lineRule="auto"/>
              <w:jc w:val="left"/>
              <w:rPr>
                <w:rStyle w:val="Hyperlink"/>
                <w:rtl/>
              </w:rPr>
            </w:pPr>
            <w:hyperlink w:anchor="med4" w:tooltip="פרק ה: הוראות כלליות" w:history="1">
              <w:r w:rsidRPr="00E2243C">
                <w:rPr>
                  <w:rStyle w:val="Hyperlink"/>
                </w:rPr>
                <w:t>Go</w:t>
              </w:r>
            </w:hyperlink>
          </w:p>
        </w:tc>
        <w:tc>
          <w:tcPr>
            <w:tcW w:w="850" w:type="dxa"/>
          </w:tcPr>
          <w:p w14:paraId="245C0739"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330B9C1A" w14:textId="77777777">
        <w:tblPrEx>
          <w:tblCellMar>
            <w:top w:w="0" w:type="dxa"/>
            <w:bottom w:w="0" w:type="dxa"/>
          </w:tblCellMar>
        </w:tblPrEx>
        <w:tc>
          <w:tcPr>
            <w:tcW w:w="1247" w:type="dxa"/>
          </w:tcPr>
          <w:p w14:paraId="50CA91F8" w14:textId="77777777" w:rsidR="00E2243C" w:rsidRPr="00E2243C" w:rsidRDefault="00E2243C" w:rsidP="00E2243C">
            <w:pPr>
              <w:spacing w:line="240" w:lineRule="auto"/>
              <w:jc w:val="left"/>
              <w:rPr>
                <w:rFonts w:cs="Frankruhel"/>
                <w:sz w:val="24"/>
                <w:rtl/>
              </w:rPr>
            </w:pPr>
            <w:r>
              <w:rPr>
                <w:rFonts w:cs="Times New Roman"/>
                <w:sz w:val="24"/>
                <w:rtl/>
              </w:rPr>
              <w:t xml:space="preserve">סעיף 9 </w:t>
            </w:r>
          </w:p>
        </w:tc>
        <w:tc>
          <w:tcPr>
            <w:tcW w:w="5669" w:type="dxa"/>
          </w:tcPr>
          <w:p w14:paraId="064EAC71" w14:textId="77777777" w:rsidR="00E2243C" w:rsidRPr="00E2243C" w:rsidRDefault="00E2243C" w:rsidP="00E2243C">
            <w:pPr>
              <w:spacing w:line="240" w:lineRule="auto"/>
              <w:jc w:val="left"/>
              <w:rPr>
                <w:rFonts w:cs="Frankruhel"/>
                <w:sz w:val="24"/>
                <w:rtl/>
              </w:rPr>
            </w:pPr>
            <w:r>
              <w:rPr>
                <w:rFonts w:cs="Times New Roman"/>
                <w:sz w:val="24"/>
                <w:rtl/>
              </w:rPr>
              <w:t>תחולת תקנות קודמות</w:t>
            </w:r>
          </w:p>
        </w:tc>
        <w:tc>
          <w:tcPr>
            <w:tcW w:w="567" w:type="dxa"/>
          </w:tcPr>
          <w:p w14:paraId="133A1A42" w14:textId="77777777" w:rsidR="00E2243C" w:rsidRPr="00E2243C" w:rsidRDefault="00E2243C" w:rsidP="00E2243C">
            <w:pPr>
              <w:spacing w:line="240" w:lineRule="auto"/>
              <w:jc w:val="left"/>
              <w:rPr>
                <w:rStyle w:val="Hyperlink"/>
                <w:rtl/>
              </w:rPr>
            </w:pPr>
            <w:hyperlink w:anchor="Seif9" w:tooltip="תחולת תקנות קודמות" w:history="1">
              <w:r w:rsidRPr="00E2243C">
                <w:rPr>
                  <w:rStyle w:val="Hyperlink"/>
                </w:rPr>
                <w:t>Go</w:t>
              </w:r>
            </w:hyperlink>
          </w:p>
        </w:tc>
        <w:tc>
          <w:tcPr>
            <w:tcW w:w="850" w:type="dxa"/>
          </w:tcPr>
          <w:p w14:paraId="370E1A16"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0925B6BD" w14:textId="77777777">
        <w:tblPrEx>
          <w:tblCellMar>
            <w:top w:w="0" w:type="dxa"/>
            <w:bottom w:w="0" w:type="dxa"/>
          </w:tblCellMar>
        </w:tblPrEx>
        <w:tc>
          <w:tcPr>
            <w:tcW w:w="1247" w:type="dxa"/>
          </w:tcPr>
          <w:p w14:paraId="5F7070AD" w14:textId="77777777" w:rsidR="00E2243C" w:rsidRPr="00E2243C" w:rsidRDefault="00E2243C" w:rsidP="00E2243C">
            <w:pPr>
              <w:spacing w:line="240" w:lineRule="auto"/>
              <w:jc w:val="left"/>
              <w:rPr>
                <w:rFonts w:cs="Frankruhel"/>
                <w:sz w:val="24"/>
                <w:rtl/>
              </w:rPr>
            </w:pPr>
            <w:r>
              <w:rPr>
                <w:rFonts w:cs="Times New Roman"/>
                <w:sz w:val="24"/>
                <w:rtl/>
              </w:rPr>
              <w:t xml:space="preserve">סעיף 10 </w:t>
            </w:r>
          </w:p>
        </w:tc>
        <w:tc>
          <w:tcPr>
            <w:tcW w:w="5669" w:type="dxa"/>
          </w:tcPr>
          <w:p w14:paraId="779F97E0" w14:textId="77777777" w:rsidR="00E2243C" w:rsidRPr="00E2243C" w:rsidRDefault="00E2243C" w:rsidP="00E2243C">
            <w:pPr>
              <w:spacing w:line="240" w:lineRule="auto"/>
              <w:jc w:val="left"/>
              <w:rPr>
                <w:rFonts w:cs="Frankruhel"/>
                <w:sz w:val="24"/>
                <w:rtl/>
              </w:rPr>
            </w:pPr>
            <w:r>
              <w:rPr>
                <w:rFonts w:cs="Times New Roman"/>
                <w:sz w:val="24"/>
                <w:rtl/>
              </w:rPr>
              <w:t>תחילה</w:t>
            </w:r>
          </w:p>
        </w:tc>
        <w:tc>
          <w:tcPr>
            <w:tcW w:w="567" w:type="dxa"/>
          </w:tcPr>
          <w:p w14:paraId="40927651" w14:textId="77777777" w:rsidR="00E2243C" w:rsidRPr="00E2243C" w:rsidRDefault="00E2243C" w:rsidP="00E2243C">
            <w:pPr>
              <w:spacing w:line="240" w:lineRule="auto"/>
              <w:jc w:val="left"/>
              <w:rPr>
                <w:rStyle w:val="Hyperlink"/>
                <w:rtl/>
              </w:rPr>
            </w:pPr>
            <w:hyperlink w:anchor="Seif10" w:tooltip="תחילה" w:history="1">
              <w:r w:rsidRPr="00E2243C">
                <w:rPr>
                  <w:rStyle w:val="Hyperlink"/>
                </w:rPr>
                <w:t>Go</w:t>
              </w:r>
            </w:hyperlink>
          </w:p>
        </w:tc>
        <w:tc>
          <w:tcPr>
            <w:tcW w:w="850" w:type="dxa"/>
          </w:tcPr>
          <w:p w14:paraId="4DD1EAB3"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6C7F51B4" w14:textId="77777777">
        <w:tblPrEx>
          <w:tblCellMar>
            <w:top w:w="0" w:type="dxa"/>
            <w:bottom w:w="0" w:type="dxa"/>
          </w:tblCellMar>
        </w:tblPrEx>
        <w:tc>
          <w:tcPr>
            <w:tcW w:w="1247" w:type="dxa"/>
          </w:tcPr>
          <w:p w14:paraId="06E01EBF" w14:textId="77777777" w:rsidR="00E2243C" w:rsidRPr="00E2243C" w:rsidRDefault="00E2243C" w:rsidP="00E2243C">
            <w:pPr>
              <w:spacing w:line="240" w:lineRule="auto"/>
              <w:jc w:val="left"/>
              <w:rPr>
                <w:rFonts w:cs="Frankruhel"/>
                <w:sz w:val="24"/>
                <w:rtl/>
              </w:rPr>
            </w:pPr>
            <w:r>
              <w:rPr>
                <w:rFonts w:cs="Times New Roman"/>
                <w:sz w:val="24"/>
                <w:rtl/>
              </w:rPr>
              <w:t xml:space="preserve">סעיף 11 </w:t>
            </w:r>
          </w:p>
        </w:tc>
        <w:tc>
          <w:tcPr>
            <w:tcW w:w="5669" w:type="dxa"/>
          </w:tcPr>
          <w:p w14:paraId="5F082DB2" w14:textId="77777777" w:rsidR="00E2243C" w:rsidRPr="00E2243C" w:rsidRDefault="00E2243C" w:rsidP="00E2243C">
            <w:pPr>
              <w:spacing w:line="240" w:lineRule="auto"/>
              <w:jc w:val="left"/>
              <w:rPr>
                <w:rFonts w:cs="Frankruhel"/>
                <w:sz w:val="24"/>
                <w:rtl/>
              </w:rPr>
            </w:pPr>
            <w:r>
              <w:rPr>
                <w:rFonts w:cs="Times New Roman"/>
                <w:sz w:val="24"/>
                <w:rtl/>
              </w:rPr>
              <w:t>השם</w:t>
            </w:r>
          </w:p>
        </w:tc>
        <w:tc>
          <w:tcPr>
            <w:tcW w:w="567" w:type="dxa"/>
          </w:tcPr>
          <w:p w14:paraId="57CDFB3A" w14:textId="77777777" w:rsidR="00E2243C" w:rsidRPr="00E2243C" w:rsidRDefault="00E2243C" w:rsidP="00E2243C">
            <w:pPr>
              <w:spacing w:line="240" w:lineRule="auto"/>
              <w:jc w:val="left"/>
              <w:rPr>
                <w:rStyle w:val="Hyperlink"/>
                <w:rtl/>
              </w:rPr>
            </w:pPr>
            <w:hyperlink w:anchor="Seif11" w:tooltip="השם" w:history="1">
              <w:r w:rsidRPr="00E2243C">
                <w:rPr>
                  <w:rStyle w:val="Hyperlink"/>
                </w:rPr>
                <w:t>Go</w:t>
              </w:r>
            </w:hyperlink>
          </w:p>
        </w:tc>
        <w:tc>
          <w:tcPr>
            <w:tcW w:w="850" w:type="dxa"/>
          </w:tcPr>
          <w:p w14:paraId="142BB9B0"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70D35555" w14:textId="77777777">
        <w:tblPrEx>
          <w:tblCellMar>
            <w:top w:w="0" w:type="dxa"/>
            <w:bottom w:w="0" w:type="dxa"/>
          </w:tblCellMar>
        </w:tblPrEx>
        <w:tc>
          <w:tcPr>
            <w:tcW w:w="1247" w:type="dxa"/>
          </w:tcPr>
          <w:p w14:paraId="6B6E4C24" w14:textId="77777777" w:rsidR="00E2243C" w:rsidRPr="00E2243C" w:rsidRDefault="00E2243C" w:rsidP="00E2243C">
            <w:pPr>
              <w:spacing w:line="240" w:lineRule="auto"/>
              <w:jc w:val="left"/>
              <w:rPr>
                <w:rFonts w:cs="Frankruhel"/>
                <w:sz w:val="24"/>
                <w:rtl/>
              </w:rPr>
            </w:pPr>
          </w:p>
        </w:tc>
        <w:tc>
          <w:tcPr>
            <w:tcW w:w="5669" w:type="dxa"/>
          </w:tcPr>
          <w:p w14:paraId="016BF4B2" w14:textId="77777777" w:rsidR="00E2243C" w:rsidRPr="00E2243C" w:rsidRDefault="00E2243C" w:rsidP="00E2243C">
            <w:pPr>
              <w:spacing w:line="240" w:lineRule="auto"/>
              <w:jc w:val="left"/>
              <w:rPr>
                <w:rFonts w:cs="Frankruhel"/>
                <w:sz w:val="24"/>
                <w:rtl/>
              </w:rPr>
            </w:pPr>
            <w:r>
              <w:rPr>
                <w:rFonts w:cs="Times New Roman"/>
                <w:sz w:val="24"/>
                <w:rtl/>
              </w:rPr>
              <w:t>תוספת ראשונה</w:t>
            </w:r>
          </w:p>
        </w:tc>
        <w:tc>
          <w:tcPr>
            <w:tcW w:w="567" w:type="dxa"/>
          </w:tcPr>
          <w:p w14:paraId="25970EA2" w14:textId="77777777" w:rsidR="00E2243C" w:rsidRPr="00E2243C" w:rsidRDefault="00E2243C" w:rsidP="00E2243C">
            <w:pPr>
              <w:spacing w:line="240" w:lineRule="auto"/>
              <w:jc w:val="left"/>
              <w:rPr>
                <w:rStyle w:val="Hyperlink"/>
                <w:rtl/>
              </w:rPr>
            </w:pPr>
            <w:hyperlink w:anchor="med5" w:tooltip="תוספת ראשונה" w:history="1">
              <w:r w:rsidRPr="00E2243C">
                <w:rPr>
                  <w:rStyle w:val="Hyperlink"/>
                </w:rPr>
                <w:t>Go</w:t>
              </w:r>
            </w:hyperlink>
          </w:p>
        </w:tc>
        <w:tc>
          <w:tcPr>
            <w:tcW w:w="850" w:type="dxa"/>
          </w:tcPr>
          <w:p w14:paraId="2F1918A6"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056AE1BA" w14:textId="77777777">
        <w:tblPrEx>
          <w:tblCellMar>
            <w:top w:w="0" w:type="dxa"/>
            <w:bottom w:w="0" w:type="dxa"/>
          </w:tblCellMar>
        </w:tblPrEx>
        <w:tc>
          <w:tcPr>
            <w:tcW w:w="1247" w:type="dxa"/>
          </w:tcPr>
          <w:p w14:paraId="767D88D6" w14:textId="77777777" w:rsidR="00E2243C" w:rsidRPr="00E2243C" w:rsidRDefault="00E2243C" w:rsidP="00E2243C">
            <w:pPr>
              <w:spacing w:line="240" w:lineRule="auto"/>
              <w:jc w:val="left"/>
              <w:rPr>
                <w:rFonts w:cs="Frankruhel"/>
                <w:sz w:val="24"/>
                <w:rtl/>
              </w:rPr>
            </w:pPr>
          </w:p>
        </w:tc>
        <w:tc>
          <w:tcPr>
            <w:tcW w:w="5669" w:type="dxa"/>
          </w:tcPr>
          <w:p w14:paraId="48F77200" w14:textId="77777777" w:rsidR="00E2243C" w:rsidRPr="00E2243C" w:rsidRDefault="00E2243C" w:rsidP="00E2243C">
            <w:pPr>
              <w:spacing w:line="240" w:lineRule="auto"/>
              <w:jc w:val="left"/>
              <w:rPr>
                <w:rFonts w:cs="Frankruhel"/>
                <w:sz w:val="24"/>
                <w:rtl/>
              </w:rPr>
            </w:pPr>
            <w:r>
              <w:rPr>
                <w:rFonts w:cs="Times New Roman"/>
                <w:sz w:val="24"/>
                <w:rtl/>
              </w:rPr>
              <w:t>פרק 1 – כתבי בי דין</w:t>
            </w:r>
          </w:p>
        </w:tc>
        <w:tc>
          <w:tcPr>
            <w:tcW w:w="567" w:type="dxa"/>
          </w:tcPr>
          <w:p w14:paraId="57DD585E" w14:textId="77777777" w:rsidR="00E2243C" w:rsidRPr="00E2243C" w:rsidRDefault="00E2243C" w:rsidP="00E2243C">
            <w:pPr>
              <w:spacing w:line="240" w:lineRule="auto"/>
              <w:jc w:val="left"/>
              <w:rPr>
                <w:rStyle w:val="Hyperlink"/>
                <w:rtl/>
              </w:rPr>
            </w:pPr>
            <w:hyperlink w:anchor="med6" w:tooltip="פרק 1 – כתבי בי דין" w:history="1">
              <w:r w:rsidRPr="00E2243C">
                <w:rPr>
                  <w:rStyle w:val="Hyperlink"/>
                </w:rPr>
                <w:t>Go</w:t>
              </w:r>
            </w:hyperlink>
          </w:p>
        </w:tc>
        <w:tc>
          <w:tcPr>
            <w:tcW w:w="850" w:type="dxa"/>
          </w:tcPr>
          <w:p w14:paraId="6193FD57"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243C" w:rsidRPr="00E2243C" w14:paraId="769395DC" w14:textId="77777777">
        <w:tblPrEx>
          <w:tblCellMar>
            <w:top w:w="0" w:type="dxa"/>
            <w:bottom w:w="0" w:type="dxa"/>
          </w:tblCellMar>
        </w:tblPrEx>
        <w:tc>
          <w:tcPr>
            <w:tcW w:w="1247" w:type="dxa"/>
          </w:tcPr>
          <w:p w14:paraId="70625E5B" w14:textId="77777777" w:rsidR="00E2243C" w:rsidRPr="00E2243C" w:rsidRDefault="00E2243C" w:rsidP="00E2243C">
            <w:pPr>
              <w:spacing w:line="240" w:lineRule="auto"/>
              <w:jc w:val="left"/>
              <w:rPr>
                <w:rFonts w:cs="Frankruhel"/>
                <w:sz w:val="24"/>
                <w:rtl/>
              </w:rPr>
            </w:pPr>
          </w:p>
        </w:tc>
        <w:tc>
          <w:tcPr>
            <w:tcW w:w="5669" w:type="dxa"/>
          </w:tcPr>
          <w:p w14:paraId="08CAB555" w14:textId="77777777" w:rsidR="00E2243C" w:rsidRPr="00E2243C" w:rsidRDefault="00E2243C" w:rsidP="00E2243C">
            <w:pPr>
              <w:spacing w:line="240" w:lineRule="auto"/>
              <w:jc w:val="left"/>
              <w:rPr>
                <w:rFonts w:cs="Frankruhel"/>
                <w:sz w:val="24"/>
                <w:rtl/>
              </w:rPr>
            </w:pPr>
            <w:r>
              <w:rPr>
                <w:rFonts w:cs="Times New Roman"/>
                <w:sz w:val="24"/>
                <w:rtl/>
              </w:rPr>
              <w:t>פרק 2 – כתבים שלא מבי דין</w:t>
            </w:r>
          </w:p>
        </w:tc>
        <w:tc>
          <w:tcPr>
            <w:tcW w:w="567" w:type="dxa"/>
          </w:tcPr>
          <w:p w14:paraId="639B437C" w14:textId="77777777" w:rsidR="00E2243C" w:rsidRPr="00E2243C" w:rsidRDefault="00E2243C" w:rsidP="00E2243C">
            <w:pPr>
              <w:spacing w:line="240" w:lineRule="auto"/>
              <w:jc w:val="left"/>
              <w:rPr>
                <w:rStyle w:val="Hyperlink"/>
                <w:rtl/>
              </w:rPr>
            </w:pPr>
            <w:hyperlink w:anchor="med7" w:tooltip="פרק 2 – כתבים שלא מבי דין" w:history="1">
              <w:r w:rsidRPr="00E2243C">
                <w:rPr>
                  <w:rStyle w:val="Hyperlink"/>
                </w:rPr>
                <w:t>Go</w:t>
              </w:r>
            </w:hyperlink>
          </w:p>
        </w:tc>
        <w:tc>
          <w:tcPr>
            <w:tcW w:w="850" w:type="dxa"/>
          </w:tcPr>
          <w:p w14:paraId="5678E26F"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243C" w:rsidRPr="00E2243C" w14:paraId="25D066AB" w14:textId="77777777">
        <w:tblPrEx>
          <w:tblCellMar>
            <w:top w:w="0" w:type="dxa"/>
            <w:bottom w:w="0" w:type="dxa"/>
          </w:tblCellMar>
        </w:tblPrEx>
        <w:tc>
          <w:tcPr>
            <w:tcW w:w="1247" w:type="dxa"/>
          </w:tcPr>
          <w:p w14:paraId="16E91B73" w14:textId="77777777" w:rsidR="00E2243C" w:rsidRPr="00E2243C" w:rsidRDefault="00E2243C" w:rsidP="00E2243C">
            <w:pPr>
              <w:spacing w:line="240" w:lineRule="auto"/>
              <w:jc w:val="left"/>
              <w:rPr>
                <w:rFonts w:cs="Frankruhel"/>
                <w:sz w:val="24"/>
                <w:rtl/>
              </w:rPr>
            </w:pPr>
          </w:p>
        </w:tc>
        <w:tc>
          <w:tcPr>
            <w:tcW w:w="5669" w:type="dxa"/>
          </w:tcPr>
          <w:p w14:paraId="07CECE71" w14:textId="77777777" w:rsidR="00E2243C" w:rsidRPr="00E2243C" w:rsidRDefault="00E2243C" w:rsidP="00E2243C">
            <w:pPr>
              <w:spacing w:line="240" w:lineRule="auto"/>
              <w:jc w:val="left"/>
              <w:rPr>
                <w:rFonts w:cs="Frankruhel"/>
                <w:sz w:val="24"/>
                <w:rtl/>
              </w:rPr>
            </w:pPr>
            <w:r>
              <w:rPr>
                <w:rFonts w:cs="Times New Roman"/>
                <w:sz w:val="24"/>
                <w:rtl/>
              </w:rPr>
              <w:t>פרק 3 – הוראות כלליות</w:t>
            </w:r>
          </w:p>
        </w:tc>
        <w:tc>
          <w:tcPr>
            <w:tcW w:w="567" w:type="dxa"/>
          </w:tcPr>
          <w:p w14:paraId="23D2795A" w14:textId="77777777" w:rsidR="00E2243C" w:rsidRPr="00E2243C" w:rsidRDefault="00E2243C" w:rsidP="00E2243C">
            <w:pPr>
              <w:spacing w:line="240" w:lineRule="auto"/>
              <w:jc w:val="left"/>
              <w:rPr>
                <w:rStyle w:val="Hyperlink"/>
                <w:rtl/>
              </w:rPr>
            </w:pPr>
            <w:hyperlink w:anchor="med8" w:tooltip="פרק 3 – הוראות כלליות" w:history="1">
              <w:r w:rsidRPr="00E2243C">
                <w:rPr>
                  <w:rStyle w:val="Hyperlink"/>
                </w:rPr>
                <w:t>Go</w:t>
              </w:r>
            </w:hyperlink>
          </w:p>
        </w:tc>
        <w:tc>
          <w:tcPr>
            <w:tcW w:w="850" w:type="dxa"/>
          </w:tcPr>
          <w:p w14:paraId="5C86434A" w14:textId="77777777" w:rsidR="00E2243C" w:rsidRPr="00E2243C" w:rsidRDefault="00E2243C" w:rsidP="00E224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46FF8078" w14:textId="77777777" w:rsidR="00175826" w:rsidRDefault="00175826">
      <w:pPr>
        <w:pStyle w:val="big-header"/>
        <w:ind w:left="0" w:right="1134"/>
        <w:rPr>
          <w:rtl/>
        </w:rPr>
      </w:pPr>
    </w:p>
    <w:p w14:paraId="52F046F9" w14:textId="77777777" w:rsidR="00175826" w:rsidRDefault="00175826" w:rsidP="00596A9E">
      <w:pPr>
        <w:pStyle w:val="big-header"/>
        <w:ind w:left="0" w:right="1134"/>
        <w:rPr>
          <w:rStyle w:val="default"/>
          <w:rFonts w:cs="FrankRuehl" w:hint="cs"/>
          <w:rtl/>
        </w:rPr>
      </w:pPr>
      <w:r>
        <w:rPr>
          <w:rtl/>
        </w:rPr>
        <w:br w:type="page"/>
      </w:r>
      <w:r>
        <w:rPr>
          <w:rtl/>
        </w:rPr>
        <w:lastRenderedPageBreak/>
        <w:t>ת</w:t>
      </w:r>
      <w:r>
        <w:rPr>
          <w:rFonts w:hint="cs"/>
          <w:rtl/>
        </w:rPr>
        <w:t>קנות המצאת מסמכים לפי אמנת האג 1965, תשל"ו-1975</w:t>
      </w:r>
      <w:r>
        <w:rPr>
          <w:rStyle w:val="default"/>
          <w:rtl/>
        </w:rPr>
        <w:footnoteReference w:customMarkFollows="1" w:id="1"/>
        <w:t>*</w:t>
      </w:r>
    </w:p>
    <w:p w14:paraId="66DF8DF4" w14:textId="77777777" w:rsidR="00175826" w:rsidRDefault="0017582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12 לחוק העזרה המשפטית למדינות זרות, תשט"ז-1956, ולפי סעיף 46 לחוק בתי המשפט, תשי"ז-1957, ושאר</w:t>
      </w:r>
      <w:r>
        <w:rPr>
          <w:rStyle w:val="default"/>
          <w:rFonts w:cs="FrankRuehl"/>
          <w:rtl/>
        </w:rPr>
        <w:t xml:space="preserve"> </w:t>
      </w:r>
      <w:r>
        <w:rPr>
          <w:rStyle w:val="default"/>
          <w:rFonts w:cs="FrankRuehl" w:hint="cs"/>
          <w:rtl/>
        </w:rPr>
        <w:t>הסמכויות הנתונות לי על פי כל דין, אני מתקין תקנות אלה:</w:t>
      </w:r>
    </w:p>
    <w:p w14:paraId="2955BF21" w14:textId="77777777" w:rsidR="00175826" w:rsidRDefault="00175826">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w:t>
      </w:r>
      <w:r>
        <w:rPr>
          <w:noProof/>
          <w:sz w:val="20"/>
          <w:rtl/>
        </w:rPr>
        <w:t>ק</w:t>
      </w:r>
      <w:r>
        <w:rPr>
          <w:rFonts w:hint="cs"/>
          <w:noProof/>
          <w:sz w:val="20"/>
          <w:rtl/>
        </w:rPr>
        <w:t xml:space="preserve"> א': פרשנות</w:t>
      </w:r>
    </w:p>
    <w:p w14:paraId="599227A2" w14:textId="77777777" w:rsidR="00175826" w:rsidRDefault="00175826">
      <w:pPr>
        <w:pStyle w:val="P00"/>
        <w:spacing w:before="72"/>
        <w:ind w:left="0" w:right="1134"/>
        <w:rPr>
          <w:rStyle w:val="default"/>
          <w:rFonts w:cs="FrankRuehl" w:hint="cs"/>
          <w:rtl/>
        </w:rPr>
      </w:pPr>
      <w:bookmarkStart w:id="1" w:name="Seif1"/>
      <w:bookmarkEnd w:id="1"/>
      <w:r>
        <w:rPr>
          <w:lang w:val="he-IL"/>
        </w:rPr>
        <w:pict w14:anchorId="01271E32">
          <v:rect id="_x0000_s1026" style="position:absolute;left:0;text-align:left;margin-left:464.5pt;margin-top:8.05pt;width:75.05pt;height:12.1pt;z-index:251652096" o:allowincell="f" filled="f" stroked="f" strokecolor="lime" strokeweight=".25pt">
            <v:textbox style="mso-next-textbox:#_x0000_s1026" inset="0,0,0,0">
              <w:txbxContent>
                <w:p w14:paraId="2C70486C" w14:textId="77777777" w:rsidR="00175826" w:rsidRDefault="0017582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5707591A" w14:textId="77777777" w:rsidR="00175826" w:rsidRDefault="00175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האמנה" - האמנה בדבר המצאתם, בחוץ לארץ, של כתבי בי-דין וכתבים שלא מבי-דין בענינים אזרחיים או מסחריים, על נספחיה, שנערכה בהאג ביום 15 בנובמבר 1965 לרבות הצהרת ישראל על פיה, ואשר נוסחה ניתן בתוספת הראשונה;</w:t>
      </w:r>
    </w:p>
    <w:p w14:paraId="4FF21FD3" w14:textId="77777777" w:rsidR="00175826" w:rsidRDefault="00175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מדינת האמנה" - אחת </w:t>
      </w:r>
      <w:r>
        <w:rPr>
          <w:rStyle w:val="default"/>
          <w:rFonts w:cs="FrankRuehl"/>
          <w:rtl/>
        </w:rPr>
        <w:t>ה</w:t>
      </w:r>
      <w:r>
        <w:rPr>
          <w:rStyle w:val="default"/>
          <w:rFonts w:cs="FrankRuehl" w:hint="cs"/>
          <w:rtl/>
        </w:rPr>
        <w:t>מדינות שהן צדדים לאמנה ואשר</w:t>
      </w:r>
      <w:r>
        <w:rPr>
          <w:rStyle w:val="default"/>
          <w:rFonts w:cs="FrankRuehl"/>
          <w:rtl/>
        </w:rPr>
        <w:t xml:space="preserve"> </w:t>
      </w:r>
      <w:r>
        <w:rPr>
          <w:rStyle w:val="default"/>
          <w:rFonts w:cs="FrankRuehl" w:hint="cs"/>
          <w:rtl/>
        </w:rPr>
        <w:t>שמותיהן מפורטים בתוספת השניה;</w:t>
      </w:r>
    </w:p>
    <w:p w14:paraId="16BBB247" w14:textId="77777777" w:rsidR="00175826" w:rsidRDefault="00175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בתי המשפט" - השופט ששר המשפטים מינהו על ביצועם של סדרי המינהל של בתי המשפט על פי סע</w:t>
      </w:r>
      <w:r>
        <w:rPr>
          <w:rStyle w:val="default"/>
          <w:rFonts w:cs="FrankRuehl"/>
          <w:rtl/>
        </w:rPr>
        <w:t>י</w:t>
      </w:r>
      <w:r>
        <w:rPr>
          <w:rStyle w:val="default"/>
          <w:rFonts w:cs="FrankRuehl" w:hint="cs"/>
          <w:rtl/>
        </w:rPr>
        <w:t>ף 14 לחוק השופטים, תשי"ג-1953, לרבות כל מי שמנהל בתי המשפט מינהו לענין תקנות אלה;</w:t>
      </w:r>
    </w:p>
    <w:p w14:paraId="39B3125A" w14:textId="77777777" w:rsidR="00175826" w:rsidRDefault="00175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מסמך" - כתב בי-דין בענין אזרחי או מסחרי או מסמך משפטי חיצוני כמשמעותו בחוק העזרה המשפטית למדינות זרות, תשט"ז-1956; </w:t>
      </w:r>
    </w:p>
    <w:p w14:paraId="25D3E841" w14:textId="77777777" w:rsidR="00175826" w:rsidRDefault="00175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נמען" - האדם שיש להמציא לו מסמך. </w:t>
      </w:r>
    </w:p>
    <w:p w14:paraId="4D81CC1F" w14:textId="77777777" w:rsidR="00175826" w:rsidRDefault="00175826">
      <w:pPr>
        <w:pStyle w:val="P00"/>
        <w:spacing w:before="72"/>
        <w:ind w:left="0" w:right="1134"/>
        <w:rPr>
          <w:rStyle w:val="default"/>
          <w:rFonts w:cs="FrankRuehl"/>
          <w:rtl/>
        </w:rPr>
      </w:pPr>
      <w:bookmarkStart w:id="2" w:name="Seif2"/>
      <w:bookmarkEnd w:id="2"/>
      <w:r>
        <w:rPr>
          <w:lang w:val="he-IL"/>
        </w:rPr>
        <w:pict w14:anchorId="54BE0954">
          <v:rect id="_x0000_s1027" style="position:absolute;left:0;text-align:left;margin-left:464.5pt;margin-top:8.05pt;width:75.05pt;height:17.5pt;z-index:251653120" o:allowincell="f" filled="f" stroked="f" strokecolor="lime" strokeweight=".25pt">
            <v:textbox style="mso-next-textbox:#_x0000_s1027" inset="0,0,0,0">
              <w:txbxContent>
                <w:p w14:paraId="43DB27BD" w14:textId="77777777" w:rsidR="00175826" w:rsidRDefault="00175826">
                  <w:pPr>
                    <w:spacing w:line="160" w:lineRule="exact"/>
                    <w:jc w:val="left"/>
                    <w:rPr>
                      <w:rFonts w:cs="Miriam"/>
                      <w:noProof/>
                      <w:szCs w:val="18"/>
                      <w:rtl/>
                    </w:rPr>
                  </w:pPr>
                  <w:r>
                    <w:rPr>
                      <w:rFonts w:cs="Miriam"/>
                      <w:szCs w:val="18"/>
                      <w:rtl/>
                    </w:rPr>
                    <w:t>מ</w:t>
                  </w:r>
                  <w:r>
                    <w:rPr>
                      <w:rFonts w:cs="Miriam" w:hint="cs"/>
                      <w:szCs w:val="18"/>
                      <w:rtl/>
                    </w:rPr>
                    <w:t>טרה ופירוש</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קנות אלה באות</w:t>
      </w:r>
      <w:r>
        <w:rPr>
          <w:rStyle w:val="default"/>
          <w:rFonts w:cs="FrankRuehl"/>
          <w:rtl/>
        </w:rPr>
        <w:t xml:space="preserve"> </w:t>
      </w:r>
      <w:r>
        <w:rPr>
          <w:rStyle w:val="default"/>
          <w:rFonts w:cs="FrankRuehl" w:hint="cs"/>
          <w:rtl/>
        </w:rPr>
        <w:t xml:space="preserve">לביצוע האמנה ויפורשו אתה כאחד. </w:t>
      </w:r>
    </w:p>
    <w:p w14:paraId="0780982F" w14:textId="77777777" w:rsidR="00175826" w:rsidRDefault="00175826">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המצאת מסמכים בישראל</w:t>
      </w:r>
    </w:p>
    <w:p w14:paraId="6B5AEB29" w14:textId="77777777" w:rsidR="00175826" w:rsidRDefault="00175826">
      <w:pPr>
        <w:pStyle w:val="P00"/>
        <w:spacing w:before="72"/>
        <w:ind w:left="0" w:right="1134"/>
        <w:rPr>
          <w:rStyle w:val="default"/>
          <w:rFonts w:cs="FrankRuehl"/>
          <w:rtl/>
        </w:rPr>
      </w:pPr>
      <w:bookmarkStart w:id="4" w:name="Seif3"/>
      <w:bookmarkEnd w:id="4"/>
      <w:r>
        <w:rPr>
          <w:lang w:val="he-IL"/>
        </w:rPr>
        <w:pict w14:anchorId="1978B8F4">
          <v:rect id="_x0000_s1028" style="position:absolute;left:0;text-align:left;margin-left:464.5pt;margin-top:8.05pt;width:75.05pt;height:21.2pt;z-index:251654144" o:allowincell="f" filled="f" stroked="f" strokecolor="lime" strokeweight=".25pt">
            <v:textbox style="mso-next-textbox:#_x0000_s1028" inset="0,0,0,0">
              <w:txbxContent>
                <w:p w14:paraId="43DDDFA0" w14:textId="77777777" w:rsidR="00175826" w:rsidRDefault="00175826">
                  <w:pPr>
                    <w:spacing w:line="160" w:lineRule="exact"/>
                    <w:jc w:val="left"/>
                    <w:rPr>
                      <w:rFonts w:cs="Miriam"/>
                      <w:noProof/>
                      <w:szCs w:val="18"/>
                      <w:rtl/>
                    </w:rPr>
                  </w:pPr>
                  <w:r>
                    <w:rPr>
                      <w:rFonts w:cs="Miriam"/>
                      <w:szCs w:val="18"/>
                      <w:rtl/>
                    </w:rPr>
                    <w:t>ק</w:t>
                  </w:r>
                  <w:r>
                    <w:rPr>
                      <w:rFonts w:cs="Miriam" w:hint="cs"/>
                      <w:szCs w:val="18"/>
                      <w:rtl/>
                    </w:rPr>
                    <w:t>ביעת הרשות המרכזית</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רשות המרכזית בישראל לצרכי האמנה היא מנהל בתי המשפט. </w:t>
      </w:r>
    </w:p>
    <w:p w14:paraId="19FC648E" w14:textId="77777777" w:rsidR="00175826" w:rsidRDefault="00175826">
      <w:pPr>
        <w:pStyle w:val="P00"/>
        <w:spacing w:before="72"/>
        <w:ind w:left="0" w:right="1134"/>
        <w:rPr>
          <w:rStyle w:val="default"/>
          <w:rFonts w:cs="FrankRuehl"/>
          <w:rtl/>
        </w:rPr>
      </w:pPr>
      <w:bookmarkStart w:id="5" w:name="Seif4"/>
      <w:bookmarkEnd w:id="5"/>
      <w:r>
        <w:rPr>
          <w:lang w:val="he-IL"/>
        </w:rPr>
        <w:pict w14:anchorId="475C3AFD">
          <v:rect id="_x0000_s1029" style="position:absolute;left:0;text-align:left;margin-left:464.5pt;margin-top:8.05pt;width:75.05pt;height:29.25pt;z-index:251655168" o:allowincell="f" filled="f" stroked="f" strokecolor="lime" strokeweight=".25pt">
            <v:textbox style="mso-next-textbox:#_x0000_s1029" inset="0,0,0,0">
              <w:txbxContent>
                <w:p w14:paraId="6759AC4A" w14:textId="77777777" w:rsidR="00175826" w:rsidRDefault="00175826">
                  <w:pPr>
                    <w:spacing w:line="160" w:lineRule="exact"/>
                    <w:jc w:val="left"/>
                    <w:rPr>
                      <w:rFonts w:cs="Miriam"/>
                      <w:noProof/>
                      <w:szCs w:val="18"/>
                      <w:rtl/>
                    </w:rPr>
                  </w:pPr>
                  <w:r>
                    <w:rPr>
                      <w:rFonts w:cs="Miriam"/>
                      <w:szCs w:val="18"/>
                      <w:rtl/>
                    </w:rPr>
                    <w:t>ט</w:t>
                  </w:r>
                  <w:r>
                    <w:rPr>
                      <w:rFonts w:cs="Miriam" w:hint="cs"/>
                      <w:szCs w:val="18"/>
                      <w:rtl/>
                    </w:rPr>
                    <w:t>יפול בבקשות להמצאת מסמכים בישראל</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וגשה למנהל בתי המשפט בקשה להמציא מסמך בישראל שיצאה מאחת ממדינות האמנה והבקשה הוגשה בהתאם לדרישות האמנה, ינהג מנהל בתי המשפט לענין המ</w:t>
      </w:r>
      <w:r>
        <w:rPr>
          <w:rStyle w:val="default"/>
          <w:rFonts w:cs="FrankRuehl"/>
          <w:rtl/>
        </w:rPr>
        <w:t>צ</w:t>
      </w:r>
      <w:r>
        <w:rPr>
          <w:rStyle w:val="default"/>
          <w:rFonts w:cs="FrankRuehl" w:hint="cs"/>
          <w:rtl/>
        </w:rPr>
        <w:t xml:space="preserve">את המסמך על-פי הוראות האמנה ובהתאם להוראות הדין החל בישראל על המצאת כתבי בי-דין בענינים אזרחיים, אלא אם נראה לו כי קיימת סיבה על פי האמנה לסרב לבקשה. </w:t>
      </w:r>
    </w:p>
    <w:p w14:paraId="02AA5B5B" w14:textId="77777777" w:rsidR="00175826" w:rsidRDefault="00175826">
      <w:pPr>
        <w:pStyle w:val="medium2-header"/>
        <w:keepLines w:val="0"/>
        <w:spacing w:before="72"/>
        <w:ind w:left="0" w:right="1134"/>
        <w:rPr>
          <w:noProof/>
          <w:sz w:val="20"/>
          <w:rtl/>
        </w:rPr>
      </w:pPr>
      <w:bookmarkStart w:id="6" w:name="med2"/>
      <w:bookmarkEnd w:id="6"/>
      <w:r>
        <w:rPr>
          <w:noProof/>
          <w:sz w:val="20"/>
          <w:rtl/>
        </w:rPr>
        <w:t>פ</w:t>
      </w:r>
      <w:r>
        <w:rPr>
          <w:rFonts w:hint="cs"/>
          <w:noProof/>
          <w:sz w:val="20"/>
          <w:rtl/>
        </w:rPr>
        <w:t>רק ג': המצאת מסמכים בחוץ לארץ</w:t>
      </w:r>
    </w:p>
    <w:p w14:paraId="5C7F5546" w14:textId="77777777" w:rsidR="00175826" w:rsidRDefault="00175826">
      <w:pPr>
        <w:pStyle w:val="P00"/>
        <w:spacing w:before="72"/>
        <w:ind w:left="0" w:right="1134"/>
        <w:rPr>
          <w:rStyle w:val="default"/>
          <w:rFonts w:cs="FrankRuehl"/>
          <w:rtl/>
        </w:rPr>
      </w:pPr>
      <w:bookmarkStart w:id="7" w:name="Seif5"/>
      <w:bookmarkEnd w:id="7"/>
      <w:r>
        <w:rPr>
          <w:lang w:val="he-IL"/>
        </w:rPr>
        <w:pict w14:anchorId="384FC74A">
          <v:rect id="_x0000_s1030" style="position:absolute;left:0;text-align:left;margin-left:464.5pt;margin-top:8.05pt;width:75.05pt;height:21.95pt;z-index:251656192" o:allowincell="f" filled="f" stroked="f" strokecolor="lime" strokeweight=".25pt">
            <v:textbox style="mso-next-textbox:#_x0000_s1030" inset="0,0,0,0">
              <w:txbxContent>
                <w:p w14:paraId="2E54A194" w14:textId="77777777" w:rsidR="00175826" w:rsidRDefault="00175826">
                  <w:pPr>
                    <w:spacing w:line="160" w:lineRule="exact"/>
                    <w:jc w:val="left"/>
                    <w:rPr>
                      <w:rFonts w:cs="Miriam"/>
                      <w:noProof/>
                      <w:szCs w:val="18"/>
                      <w:rtl/>
                    </w:rPr>
                  </w:pPr>
                  <w:r>
                    <w:rPr>
                      <w:rFonts w:cs="Miriam"/>
                      <w:szCs w:val="18"/>
                      <w:rtl/>
                    </w:rPr>
                    <w:t>ב</w:t>
                  </w:r>
                  <w:r>
                    <w:rPr>
                      <w:rFonts w:cs="Miriam" w:hint="cs"/>
                      <w:szCs w:val="18"/>
                      <w:rtl/>
                    </w:rPr>
                    <w:t>קשה להמצאת מסמך בחוץ-לארץ</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להמציא מסמך לנמען שמענו באחת ממדינות האמנה (להלן - הבקשה) תה</w:t>
      </w:r>
      <w:r>
        <w:rPr>
          <w:rStyle w:val="default"/>
          <w:rFonts w:cs="FrankRuehl"/>
          <w:rtl/>
        </w:rPr>
        <w:t>י</w:t>
      </w:r>
      <w:r>
        <w:rPr>
          <w:rStyle w:val="default"/>
          <w:rFonts w:cs="FrankRuehl" w:hint="cs"/>
          <w:rtl/>
        </w:rPr>
        <w:t xml:space="preserve">ה ערוכה לפי הטופס הראשון שבנספח לאמנה. </w:t>
      </w:r>
    </w:p>
    <w:p w14:paraId="1BF74683" w14:textId="77777777" w:rsidR="00175826" w:rsidRDefault="00175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הבקשה תיערך בשלושה עותקים כשהתורפים בטופס יהיו מודפסים במכונת כתיבה בשפה רשמית של המדינה המתבקשת, או באנגלית או בצרפתית, ואליה יצורפו שני עתקים מהמסמך שיש להמציאו. </w:t>
      </w:r>
    </w:p>
    <w:p w14:paraId="7858BF2B" w14:textId="77777777" w:rsidR="00175826" w:rsidRDefault="00175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הצד המעונין יגיש את הבקשה על נספחיה לבית</w:t>
      </w:r>
      <w:r>
        <w:rPr>
          <w:rStyle w:val="default"/>
          <w:rFonts w:cs="FrankRuehl"/>
          <w:rtl/>
        </w:rPr>
        <w:t xml:space="preserve"> </w:t>
      </w:r>
      <w:r>
        <w:rPr>
          <w:rStyle w:val="default"/>
          <w:rFonts w:cs="FrankRuehl" w:hint="cs"/>
          <w:rtl/>
        </w:rPr>
        <w:t xml:space="preserve">המשפט או לרשם או לרשות האחרת שהיתה מוסמכת להמציא את המסמך, אילו מענו של הנמען היה בישראל. </w:t>
      </w:r>
    </w:p>
    <w:p w14:paraId="7FAABB92" w14:textId="77777777" w:rsidR="00175826" w:rsidRDefault="001758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עם הגשת הבקשה יפקיד הצד המעונין בקופת בית המשפט ערבון להבטחת הוצאות ההמצאה בסכום שקבע הרשם או המזכיר הראשי של בית המשפט או הפקיד האחראי של הרשות האחרת כאמור, א</w:t>
      </w:r>
      <w:r>
        <w:rPr>
          <w:rStyle w:val="default"/>
          <w:rFonts w:cs="FrankRuehl"/>
          <w:rtl/>
        </w:rPr>
        <w:t>ו</w:t>
      </w:r>
      <w:r>
        <w:rPr>
          <w:rStyle w:val="default"/>
          <w:rFonts w:cs="FrankRuehl" w:hint="cs"/>
          <w:rtl/>
        </w:rPr>
        <w:t xml:space="preserve">לם רשאי הרשם על פי בקשה בכתב להתיר שתינתן ערובה סבירה אחרת להנחת דעתו, במועד ובתנאים שיקבע, שתבוא במקום הערבון. </w:t>
      </w:r>
    </w:p>
    <w:p w14:paraId="53EAC00E" w14:textId="77777777" w:rsidR="00175826" w:rsidRDefault="00175826">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הרשות שאליה הוגשה הבקשה תעבירנה על נספחיה למנהל בתי המשפט. </w:t>
      </w:r>
    </w:p>
    <w:p w14:paraId="6FD6C834" w14:textId="77777777" w:rsidR="00175826" w:rsidRDefault="00175826">
      <w:pPr>
        <w:pStyle w:val="P00"/>
        <w:spacing w:before="72"/>
        <w:ind w:left="0" w:right="1134"/>
        <w:rPr>
          <w:rStyle w:val="default"/>
          <w:rFonts w:cs="FrankRuehl"/>
          <w:rtl/>
        </w:rPr>
      </w:pPr>
      <w:bookmarkStart w:id="8" w:name="Seif6"/>
      <w:bookmarkEnd w:id="8"/>
      <w:r>
        <w:rPr>
          <w:lang w:val="he-IL"/>
        </w:rPr>
        <w:pict w14:anchorId="679D3161">
          <v:rect id="_x0000_s1031" style="position:absolute;left:0;text-align:left;margin-left:464.5pt;margin-top:8.05pt;width:75.05pt;height:13.95pt;z-index:251657216" o:allowincell="f" filled="f" stroked="f" strokecolor="lime" strokeweight=".25pt">
            <v:textbox style="mso-next-textbox:#_x0000_s1031" inset="0,0,0,0">
              <w:txbxContent>
                <w:p w14:paraId="21D59B66" w14:textId="77777777" w:rsidR="00175826" w:rsidRDefault="00175826">
                  <w:pPr>
                    <w:spacing w:line="160" w:lineRule="exact"/>
                    <w:jc w:val="left"/>
                    <w:rPr>
                      <w:rFonts w:cs="Miriam"/>
                      <w:noProof/>
                      <w:szCs w:val="18"/>
                      <w:rtl/>
                    </w:rPr>
                  </w:pPr>
                  <w:r>
                    <w:rPr>
                      <w:rFonts w:cs="Miriam"/>
                      <w:szCs w:val="18"/>
                      <w:rtl/>
                    </w:rPr>
                    <w:t>ה</w:t>
                  </w:r>
                  <w:r>
                    <w:rPr>
                      <w:rFonts w:cs="Miriam" w:hint="cs"/>
                      <w:szCs w:val="18"/>
                      <w:rtl/>
                    </w:rPr>
                    <w:t>מצאת המסמך</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צא מנהל בתי המשפט כי הבקשה תואמת את הוראות האמ</w:t>
      </w:r>
      <w:r>
        <w:rPr>
          <w:rStyle w:val="default"/>
          <w:rFonts w:cs="FrankRuehl"/>
          <w:rtl/>
        </w:rPr>
        <w:t>נ</w:t>
      </w:r>
      <w:r>
        <w:rPr>
          <w:rStyle w:val="default"/>
          <w:rFonts w:cs="FrankRuehl" w:hint="cs"/>
          <w:rtl/>
        </w:rPr>
        <w:t xml:space="preserve">ה ותקנות אלה, יעבירנה לתעודתה על-פי הוראות האמנה; אחרת, יחזירנה למבקש באמצעות הרשות שהעבירה אותה אליו. </w:t>
      </w:r>
    </w:p>
    <w:p w14:paraId="1DCB5B0B" w14:textId="77777777" w:rsidR="00175826" w:rsidRDefault="00175826">
      <w:pPr>
        <w:pStyle w:val="P00"/>
        <w:spacing w:before="72"/>
        <w:ind w:left="0" w:right="1134"/>
        <w:rPr>
          <w:rStyle w:val="default"/>
          <w:rFonts w:cs="FrankRuehl"/>
          <w:rtl/>
        </w:rPr>
      </w:pPr>
      <w:bookmarkStart w:id="9" w:name="Seif7"/>
      <w:bookmarkEnd w:id="9"/>
      <w:r>
        <w:rPr>
          <w:lang w:val="he-IL"/>
        </w:rPr>
        <w:pict w14:anchorId="147C4BBB">
          <v:rect id="_x0000_s1032" style="position:absolute;left:0;text-align:left;margin-left:464.5pt;margin-top:8.05pt;width:75.05pt;height:14.65pt;z-index:251658240" o:allowincell="f" filled="f" stroked="f" strokecolor="lime" strokeweight=".25pt">
            <v:textbox style="mso-next-textbox:#_x0000_s1032" inset="0,0,0,0">
              <w:txbxContent>
                <w:p w14:paraId="09403F63" w14:textId="77777777" w:rsidR="00175826" w:rsidRDefault="00175826">
                  <w:pPr>
                    <w:spacing w:line="160" w:lineRule="exact"/>
                    <w:jc w:val="left"/>
                    <w:rPr>
                      <w:rFonts w:cs="Miriam"/>
                      <w:noProof/>
                      <w:szCs w:val="18"/>
                      <w:rtl/>
                    </w:rPr>
                  </w:pPr>
                  <w:r>
                    <w:rPr>
                      <w:rFonts w:cs="Miriam"/>
                      <w:szCs w:val="18"/>
                      <w:rtl/>
                    </w:rPr>
                    <w:t>א</w:t>
                  </w:r>
                  <w:r>
                    <w:rPr>
                      <w:rFonts w:cs="Miriam" w:hint="cs"/>
                      <w:szCs w:val="18"/>
                      <w:rtl/>
                    </w:rPr>
                    <w:t>ישור המצאה</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נהל בתי המשפט יעביר את האישור על המצאת המסמך שנתנה הרשות המרכזית של מדינת האמנה אל הרשות שהעבירה אליו את הבקשה.</w:t>
      </w:r>
    </w:p>
    <w:p w14:paraId="1D707B0E" w14:textId="77777777" w:rsidR="00175826" w:rsidRDefault="00175826">
      <w:pPr>
        <w:pStyle w:val="medium2-header"/>
        <w:keepLines w:val="0"/>
        <w:spacing w:before="72"/>
        <w:ind w:left="0" w:right="1134"/>
        <w:rPr>
          <w:noProof/>
          <w:sz w:val="20"/>
          <w:rtl/>
        </w:rPr>
      </w:pPr>
      <w:bookmarkStart w:id="10" w:name="med3"/>
      <w:bookmarkEnd w:id="10"/>
      <w:r>
        <w:rPr>
          <w:noProof/>
          <w:sz w:val="20"/>
          <w:rtl/>
        </w:rPr>
        <w:t>פ</w:t>
      </w:r>
      <w:r>
        <w:rPr>
          <w:rFonts w:hint="cs"/>
          <w:noProof/>
          <w:sz w:val="20"/>
          <w:rtl/>
        </w:rPr>
        <w:t>רק ד': סדרי דין להמצאת הזמנה בחוץ</w:t>
      </w:r>
      <w:r>
        <w:rPr>
          <w:noProof/>
          <w:sz w:val="20"/>
          <w:rtl/>
        </w:rPr>
        <w:t>-</w:t>
      </w:r>
      <w:r>
        <w:rPr>
          <w:rFonts w:hint="cs"/>
          <w:noProof/>
          <w:sz w:val="20"/>
          <w:rtl/>
        </w:rPr>
        <w:t>לארץ</w:t>
      </w:r>
    </w:p>
    <w:p w14:paraId="7F2D9B8D" w14:textId="77777777" w:rsidR="00175826" w:rsidRDefault="00175826">
      <w:pPr>
        <w:pStyle w:val="P00"/>
        <w:spacing w:before="72"/>
        <w:ind w:left="0" w:right="1134"/>
        <w:rPr>
          <w:rStyle w:val="default"/>
          <w:rFonts w:cs="FrankRuehl"/>
          <w:rtl/>
        </w:rPr>
      </w:pPr>
      <w:bookmarkStart w:id="11" w:name="Seif8"/>
      <w:bookmarkEnd w:id="11"/>
      <w:r>
        <w:rPr>
          <w:lang w:val="he-IL"/>
        </w:rPr>
        <w:pict w14:anchorId="7F71F136">
          <v:rect id="_x0000_s1033" style="position:absolute;left:0;text-align:left;margin-left:464.5pt;margin-top:8.05pt;width:75.05pt;height:22.1pt;z-index:251659264" o:allowincell="f" filled="f" stroked="f" strokecolor="lime" strokeweight=".25pt">
            <v:textbox style="mso-next-textbox:#_x0000_s1033" inset="0,0,0,0">
              <w:txbxContent>
                <w:p w14:paraId="3CB6C4BE" w14:textId="77777777" w:rsidR="00175826" w:rsidRDefault="00175826">
                  <w:pPr>
                    <w:spacing w:line="160" w:lineRule="exact"/>
                    <w:jc w:val="left"/>
                    <w:rPr>
                      <w:rFonts w:cs="Miriam"/>
                      <w:noProof/>
                      <w:szCs w:val="18"/>
                      <w:rtl/>
                    </w:rPr>
                  </w:pPr>
                  <w:r>
                    <w:rPr>
                      <w:rFonts w:cs="Miriam"/>
                      <w:szCs w:val="18"/>
                      <w:rtl/>
                    </w:rPr>
                    <w:t>ת</w:t>
                  </w:r>
                  <w:r>
                    <w:rPr>
                      <w:rFonts w:cs="Miriam" w:hint="cs"/>
                      <w:szCs w:val="18"/>
                      <w:rtl/>
                    </w:rPr>
                    <w:t>חולת האמנה בענין סדרי דין</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וגשה בקשה לפי האמנה להמציא לנתבע במדינת האמנה הזמנה לדין, יחולו הוראות סעיפים 15 ו-16 לאמנה וההצהרה (ג) שנעשתה בידי מדינת ישראל אגב אישרורה של האמנה.</w:t>
      </w:r>
    </w:p>
    <w:p w14:paraId="13B57DC4" w14:textId="77777777" w:rsidR="00175826" w:rsidRDefault="00175826">
      <w:pPr>
        <w:pStyle w:val="medium2-header"/>
        <w:keepLines w:val="0"/>
        <w:spacing w:before="72"/>
        <w:ind w:left="0" w:right="1134"/>
        <w:rPr>
          <w:noProof/>
          <w:sz w:val="20"/>
          <w:rtl/>
        </w:rPr>
      </w:pPr>
      <w:bookmarkStart w:id="12" w:name="med4"/>
      <w:bookmarkEnd w:id="12"/>
      <w:r>
        <w:rPr>
          <w:noProof/>
          <w:sz w:val="20"/>
          <w:rtl/>
        </w:rPr>
        <w:t>פ</w:t>
      </w:r>
      <w:r>
        <w:rPr>
          <w:rFonts w:hint="cs"/>
          <w:noProof/>
          <w:sz w:val="20"/>
          <w:rtl/>
        </w:rPr>
        <w:t>רק ה': הוראות כלליות</w:t>
      </w:r>
    </w:p>
    <w:p w14:paraId="34A68053" w14:textId="77777777" w:rsidR="00175826" w:rsidRDefault="00175826">
      <w:pPr>
        <w:pStyle w:val="P00"/>
        <w:spacing w:before="72"/>
        <w:ind w:left="0" w:right="1134"/>
        <w:rPr>
          <w:rStyle w:val="default"/>
          <w:rFonts w:cs="FrankRuehl"/>
          <w:rtl/>
        </w:rPr>
      </w:pPr>
      <w:bookmarkStart w:id="13" w:name="Seif9"/>
      <w:bookmarkEnd w:id="13"/>
      <w:r>
        <w:rPr>
          <w:lang w:val="he-IL"/>
        </w:rPr>
        <w:pict w14:anchorId="513FB23B">
          <v:rect id="_x0000_s1034" style="position:absolute;left:0;text-align:left;margin-left:464.5pt;margin-top:8.05pt;width:75.05pt;height:12.8pt;z-index:251660288" o:allowincell="f" filled="f" stroked="f" strokecolor="lime" strokeweight=".25pt">
            <v:textbox style="mso-next-textbox:#_x0000_s1034" inset="0,0,0,0">
              <w:txbxContent>
                <w:p w14:paraId="6F8B40B2" w14:textId="77777777" w:rsidR="00175826" w:rsidRDefault="00175826">
                  <w:pPr>
                    <w:spacing w:line="160" w:lineRule="exact"/>
                    <w:jc w:val="left"/>
                    <w:rPr>
                      <w:rFonts w:cs="Miriam"/>
                      <w:noProof/>
                      <w:szCs w:val="18"/>
                      <w:rtl/>
                    </w:rPr>
                  </w:pPr>
                  <w:r>
                    <w:rPr>
                      <w:rFonts w:cs="Miriam"/>
                      <w:szCs w:val="18"/>
                      <w:rtl/>
                    </w:rPr>
                    <w:t>ת</w:t>
                  </w:r>
                  <w:r>
                    <w:rPr>
                      <w:rFonts w:cs="Miriam" w:hint="cs"/>
                      <w:szCs w:val="18"/>
                      <w:rtl/>
                    </w:rPr>
                    <w:t>חולת תקנות קודמות</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פרק השני לתקנות העזרה המשפטית למדינות זרות, תש"ך-1959, הפרק השני לתק</w:t>
      </w:r>
      <w:r>
        <w:rPr>
          <w:rStyle w:val="default"/>
          <w:rFonts w:cs="FrankRuehl"/>
          <w:rtl/>
        </w:rPr>
        <w:t>נ</w:t>
      </w:r>
      <w:r>
        <w:rPr>
          <w:rStyle w:val="default"/>
          <w:rFonts w:cs="FrankRuehl" w:hint="cs"/>
          <w:rtl/>
        </w:rPr>
        <w:t>ות לביצוע אמנת האג (הפרוצדורה האזרחית), תשי"ד-1954, והפרק השני לתקנות ביצוע אמנת האג 1954 (סדר הדין האזרחי), תשכ"ט-1968, לא יחולו על המצאת מסמכים שתקנות אלה חלות עליה.</w:t>
      </w:r>
    </w:p>
    <w:p w14:paraId="7295CBDD" w14:textId="77777777" w:rsidR="00175826" w:rsidRDefault="00175826">
      <w:pPr>
        <w:pStyle w:val="P00"/>
        <w:spacing w:before="72"/>
        <w:ind w:left="0" w:right="1134"/>
        <w:rPr>
          <w:rStyle w:val="default"/>
          <w:rFonts w:cs="FrankRuehl"/>
          <w:rtl/>
        </w:rPr>
      </w:pPr>
      <w:bookmarkStart w:id="14" w:name="Seif10"/>
      <w:bookmarkEnd w:id="14"/>
      <w:r>
        <w:rPr>
          <w:lang w:val="he-IL"/>
        </w:rPr>
        <w:pict w14:anchorId="13A566F7">
          <v:rect id="_x0000_s1035" style="position:absolute;left:0;text-align:left;margin-left:464.5pt;margin-top:8.05pt;width:75.05pt;height:15.45pt;z-index:251661312" o:allowincell="f" filled="f" stroked="f" strokecolor="lime" strokeweight=".25pt">
            <v:textbox style="mso-next-textbox:#_x0000_s1035" inset="0,0,0,0">
              <w:txbxContent>
                <w:p w14:paraId="7F5E6AD6" w14:textId="77777777" w:rsidR="00175826" w:rsidRDefault="0017582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חילתן של תקנות אלה היא ביום השלושים לאחר פרסומן.</w:t>
      </w:r>
    </w:p>
    <w:p w14:paraId="77BAC3B6" w14:textId="77777777" w:rsidR="00175826" w:rsidRDefault="00175826">
      <w:pPr>
        <w:pStyle w:val="P00"/>
        <w:spacing w:before="72"/>
        <w:ind w:left="0" w:right="1134"/>
        <w:rPr>
          <w:rStyle w:val="default"/>
          <w:rFonts w:cs="FrankRuehl" w:hint="cs"/>
          <w:rtl/>
        </w:rPr>
      </w:pPr>
      <w:bookmarkStart w:id="15" w:name="Seif11"/>
      <w:bookmarkEnd w:id="15"/>
      <w:r>
        <w:rPr>
          <w:lang w:val="he-IL"/>
        </w:rPr>
        <w:pict w14:anchorId="4B6BC9ED">
          <v:rect id="_x0000_s1036" style="position:absolute;left:0;text-align:left;margin-left:464.5pt;margin-top:8.05pt;width:75.05pt;height:12.35pt;z-index:251662336" o:allowincell="f" filled="f" stroked="f" strokecolor="lime" strokeweight=".25pt">
            <v:textbox style="mso-next-textbox:#_x0000_s1036" inset="0,0,0,0">
              <w:txbxContent>
                <w:p w14:paraId="768D9BD4" w14:textId="77777777" w:rsidR="00175826" w:rsidRDefault="00175826">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תקנות אלה ייקרא "תקנות המ</w:t>
      </w:r>
      <w:r>
        <w:rPr>
          <w:rStyle w:val="default"/>
          <w:rFonts w:cs="FrankRuehl"/>
          <w:rtl/>
        </w:rPr>
        <w:t>צ</w:t>
      </w:r>
      <w:r>
        <w:rPr>
          <w:rStyle w:val="default"/>
          <w:rFonts w:cs="FrankRuehl" w:hint="cs"/>
          <w:rtl/>
        </w:rPr>
        <w:t>את מסמכים לפי אמנת האג 1965, תשל"ו-1975".</w:t>
      </w:r>
    </w:p>
    <w:p w14:paraId="52F302A5" w14:textId="77777777" w:rsidR="00175826" w:rsidRDefault="00175826">
      <w:pPr>
        <w:pStyle w:val="P00"/>
        <w:spacing w:before="72"/>
        <w:ind w:left="0" w:right="1134"/>
        <w:rPr>
          <w:rStyle w:val="default"/>
          <w:rFonts w:cs="FrankRuehl"/>
          <w:rtl/>
        </w:rPr>
      </w:pPr>
    </w:p>
    <w:p w14:paraId="4FB95293" w14:textId="77777777" w:rsidR="00175826" w:rsidRDefault="00175826">
      <w:pPr>
        <w:pStyle w:val="medium2-header"/>
        <w:keepLines w:val="0"/>
        <w:spacing w:before="72"/>
        <w:ind w:left="0" w:right="1134"/>
        <w:rPr>
          <w:noProof/>
          <w:sz w:val="26"/>
          <w:szCs w:val="26"/>
          <w:rtl/>
        </w:rPr>
      </w:pPr>
      <w:bookmarkStart w:id="16" w:name="med5"/>
      <w:bookmarkEnd w:id="16"/>
      <w:r>
        <w:rPr>
          <w:noProof/>
          <w:sz w:val="26"/>
          <w:szCs w:val="26"/>
          <w:rtl/>
        </w:rPr>
        <w:t>ת</w:t>
      </w:r>
      <w:r>
        <w:rPr>
          <w:rFonts w:hint="cs"/>
          <w:noProof/>
          <w:sz w:val="26"/>
          <w:szCs w:val="26"/>
          <w:rtl/>
        </w:rPr>
        <w:t>וספת ראשונה</w:t>
      </w:r>
    </w:p>
    <w:p w14:paraId="13A1BB0E" w14:textId="77777777" w:rsidR="00175826" w:rsidRDefault="00175826">
      <w:pPr>
        <w:pStyle w:val="medium-header"/>
        <w:keepNext w:val="0"/>
        <w:keepLines w:val="0"/>
        <w:ind w:left="0" w:right="1134"/>
        <w:rPr>
          <w:rFonts w:hint="cs"/>
          <w:sz w:val="24"/>
          <w:szCs w:val="24"/>
          <w:rtl/>
        </w:rPr>
      </w:pPr>
      <w:r>
        <w:rPr>
          <w:sz w:val="24"/>
          <w:szCs w:val="24"/>
          <w:rtl/>
        </w:rPr>
        <w:t>(</w:t>
      </w:r>
      <w:r>
        <w:rPr>
          <w:rFonts w:hint="cs"/>
          <w:sz w:val="24"/>
          <w:szCs w:val="24"/>
          <w:rtl/>
        </w:rPr>
        <w:t>תקנה 1)</w:t>
      </w:r>
    </w:p>
    <w:p w14:paraId="3E91BFE8" w14:textId="77777777" w:rsidR="00175826" w:rsidRDefault="0017582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אמנה בדבר המצאתם, בחוץ לארץ, של כתבי בי דין וכתבים שלא מבי דין בענינים אזרחיים או מסחריים</w:t>
      </w:r>
    </w:p>
    <w:p w14:paraId="787C0D7B" w14:textId="77777777" w:rsidR="00175826" w:rsidRDefault="00175826">
      <w:pPr>
        <w:pStyle w:val="P00"/>
        <w:spacing w:before="72"/>
        <w:ind w:left="0" w:right="1134"/>
        <w:jc w:val="center"/>
        <w:rPr>
          <w:rStyle w:val="default"/>
          <w:rFonts w:cs="FrankRuehl" w:hint="cs"/>
          <w:sz w:val="24"/>
          <w:szCs w:val="24"/>
          <w:rtl/>
        </w:rPr>
      </w:pPr>
      <w:r>
        <w:rPr>
          <w:rStyle w:val="default"/>
          <w:rFonts w:cs="FrankRuehl" w:hint="cs"/>
          <w:sz w:val="24"/>
          <w:szCs w:val="24"/>
          <w:rtl/>
        </w:rPr>
        <w:t>(נערכה ביום 15 בנובמבר, 1965)</w:t>
      </w:r>
    </w:p>
    <w:p w14:paraId="4A1E1E98" w14:textId="77777777" w:rsidR="00175826" w:rsidRDefault="00175826">
      <w:pPr>
        <w:pStyle w:val="P00"/>
        <w:spacing w:before="72"/>
        <w:ind w:left="0" w:right="1134"/>
        <w:jc w:val="center"/>
        <w:rPr>
          <w:rStyle w:val="default"/>
          <w:rFonts w:cs="FrankRuehl" w:hint="cs"/>
          <w:sz w:val="24"/>
          <w:szCs w:val="24"/>
          <w:rtl/>
        </w:rPr>
      </w:pPr>
      <w:r>
        <w:rPr>
          <w:rStyle w:val="default"/>
          <w:rFonts w:cs="FrankRuehl" w:hint="cs"/>
          <w:sz w:val="24"/>
          <w:szCs w:val="24"/>
          <w:rtl/>
        </w:rPr>
        <w:t>נעשתה בהאג, ביום 15 בנובמבר, 1965</w:t>
      </w:r>
    </w:p>
    <w:p w14:paraId="00889141" w14:textId="77777777" w:rsidR="00175826" w:rsidRDefault="00175826">
      <w:pPr>
        <w:pStyle w:val="P00"/>
        <w:spacing w:before="72"/>
        <w:ind w:left="0" w:right="1134"/>
        <w:jc w:val="center"/>
        <w:rPr>
          <w:rStyle w:val="default"/>
          <w:rFonts w:cs="FrankRuehl" w:hint="cs"/>
          <w:sz w:val="24"/>
          <w:szCs w:val="24"/>
          <w:rtl/>
        </w:rPr>
      </w:pPr>
      <w:r>
        <w:rPr>
          <w:rStyle w:val="default"/>
          <w:rFonts w:cs="FrankRuehl" w:hint="cs"/>
          <w:sz w:val="24"/>
          <w:szCs w:val="24"/>
          <w:rtl/>
        </w:rPr>
        <w:t>ישראל הפקידה את כתב אישרורה ביום 14 באוגוסט, 1972</w:t>
      </w:r>
      <w:r>
        <w:rPr>
          <w:rStyle w:val="a6"/>
          <w:sz w:val="24"/>
          <w:szCs w:val="24"/>
        </w:rPr>
        <w:footnoteReference w:id="2"/>
      </w:r>
    </w:p>
    <w:p w14:paraId="12390A89" w14:textId="77777777" w:rsidR="00175826" w:rsidRDefault="00175826">
      <w:pPr>
        <w:pStyle w:val="P00"/>
        <w:spacing w:before="72"/>
        <w:ind w:left="0" w:right="1134"/>
        <w:jc w:val="center"/>
        <w:rPr>
          <w:rStyle w:val="default"/>
          <w:rFonts w:cs="FrankRuehl" w:hint="cs"/>
          <w:sz w:val="24"/>
          <w:szCs w:val="24"/>
          <w:rtl/>
        </w:rPr>
      </w:pPr>
      <w:r>
        <w:rPr>
          <w:rStyle w:val="default"/>
          <w:rFonts w:cs="FrankRuehl" w:hint="cs"/>
          <w:sz w:val="24"/>
          <w:szCs w:val="24"/>
          <w:rtl/>
        </w:rPr>
        <w:t>האמנה נכנסה לתוקפה לגבי ישראל ביום 13 באוקטובר, 1972</w:t>
      </w:r>
    </w:p>
    <w:p w14:paraId="3155EBC9" w14:textId="77777777" w:rsidR="00175826" w:rsidRDefault="00175826">
      <w:pPr>
        <w:pStyle w:val="P00"/>
        <w:spacing w:before="72"/>
        <w:ind w:left="0" w:right="1134"/>
        <w:rPr>
          <w:rStyle w:val="default"/>
          <w:rFonts w:cs="FrankRuehl" w:hint="cs"/>
          <w:rtl/>
        </w:rPr>
      </w:pPr>
    </w:p>
    <w:p w14:paraId="48433DF8" w14:textId="77777777" w:rsidR="00175826" w:rsidRDefault="00175826">
      <w:pPr>
        <w:pStyle w:val="P00"/>
        <w:spacing w:before="72"/>
        <w:ind w:left="0" w:right="1134"/>
        <w:rPr>
          <w:rStyle w:val="default"/>
          <w:rFonts w:cs="FrankRuehl" w:hint="cs"/>
          <w:rtl/>
        </w:rPr>
      </w:pPr>
      <w:r>
        <w:rPr>
          <w:rStyle w:val="default"/>
          <w:rFonts w:cs="FrankRuehl" w:hint="cs"/>
          <w:rtl/>
        </w:rPr>
        <w:tab/>
        <w:t>המדינות החתומות על אמנה זו,</w:t>
      </w:r>
    </w:p>
    <w:p w14:paraId="56AD4146" w14:textId="77777777" w:rsidR="00175826" w:rsidRDefault="00175826">
      <w:pPr>
        <w:pStyle w:val="P00"/>
        <w:spacing w:before="72"/>
        <w:ind w:left="0" w:right="1134"/>
        <w:rPr>
          <w:rStyle w:val="default"/>
          <w:rFonts w:cs="FrankRuehl" w:hint="cs"/>
          <w:rtl/>
        </w:rPr>
      </w:pPr>
      <w:r>
        <w:rPr>
          <w:rStyle w:val="default"/>
          <w:rFonts w:cs="FrankRuehl" w:hint="cs"/>
          <w:rtl/>
        </w:rPr>
        <w:tab/>
        <w:t>ברצותן ליצור אמצעים מתאימים כדי להבטיח שכתבי בי דין וכתבים שלא מבי דין, שיש להמציאם בחוץ לארץ, יובאו לידיעתם של נמעניהם בזמן הנכון,</w:t>
      </w:r>
    </w:p>
    <w:p w14:paraId="4FAE0B6C" w14:textId="77777777" w:rsidR="00175826" w:rsidRDefault="00175826">
      <w:pPr>
        <w:pStyle w:val="P00"/>
        <w:spacing w:before="72"/>
        <w:ind w:left="0" w:right="1134"/>
        <w:rPr>
          <w:rStyle w:val="default"/>
          <w:rFonts w:cs="FrankRuehl" w:hint="cs"/>
          <w:rtl/>
        </w:rPr>
      </w:pPr>
      <w:r>
        <w:rPr>
          <w:rStyle w:val="default"/>
          <w:rFonts w:cs="FrankRuehl" w:hint="cs"/>
          <w:rtl/>
        </w:rPr>
        <w:tab/>
        <w:t>ברצותן לשפר את ארגונה של העזרה המשפטית ההדדית למטרה זו, באמצעות פישוטם והחשתם של סדרי הדין,</w:t>
      </w:r>
    </w:p>
    <w:p w14:paraId="62F904C6" w14:textId="77777777" w:rsidR="00175826" w:rsidRDefault="00175826">
      <w:pPr>
        <w:pStyle w:val="P00"/>
        <w:spacing w:before="72"/>
        <w:ind w:left="0" w:right="1134"/>
        <w:rPr>
          <w:rStyle w:val="default"/>
          <w:rFonts w:cs="FrankRuehl" w:hint="cs"/>
          <w:rtl/>
        </w:rPr>
      </w:pPr>
      <w:r>
        <w:rPr>
          <w:rStyle w:val="default"/>
          <w:rFonts w:cs="FrankRuehl" w:hint="cs"/>
          <w:rtl/>
        </w:rPr>
        <w:tab/>
        <w:t>החליטו לכרות אמנה בענין זה והסכימו על ההוראות שלקמן:</w:t>
      </w:r>
    </w:p>
    <w:p w14:paraId="06391845" w14:textId="77777777" w:rsidR="00175826" w:rsidRDefault="00175826">
      <w:pPr>
        <w:pStyle w:val="medium-header"/>
        <w:keepNext w:val="0"/>
        <w:keepLines w:val="0"/>
        <w:ind w:left="0" w:right="1134"/>
        <w:rPr>
          <w:rStyle w:val="default"/>
          <w:rFonts w:cs="FrankRuehl" w:hint="cs"/>
          <w:rtl/>
        </w:rPr>
      </w:pPr>
      <w:r>
        <w:rPr>
          <w:rFonts w:hint="cs"/>
          <w:rtl/>
        </w:rPr>
        <w:t>סעיף</w:t>
      </w:r>
      <w:r>
        <w:rPr>
          <w:rStyle w:val="default"/>
          <w:rFonts w:cs="FrankRuehl" w:hint="cs"/>
          <w:rtl/>
        </w:rPr>
        <w:t xml:space="preserve"> 1</w:t>
      </w:r>
    </w:p>
    <w:p w14:paraId="5764B79A" w14:textId="77777777" w:rsidR="00175826" w:rsidRDefault="00175826">
      <w:pPr>
        <w:pStyle w:val="P00"/>
        <w:spacing w:before="72"/>
        <w:ind w:left="0" w:right="1134"/>
        <w:rPr>
          <w:rStyle w:val="default"/>
          <w:rFonts w:cs="FrankRuehl" w:hint="cs"/>
          <w:rtl/>
        </w:rPr>
      </w:pPr>
      <w:r>
        <w:rPr>
          <w:rStyle w:val="default"/>
          <w:rFonts w:cs="FrankRuehl" w:hint="cs"/>
          <w:rtl/>
        </w:rPr>
        <w:tab/>
        <w:t>אמנה זו תחול, בענינים אזרחיים או מסחריים, בכל המקרים שבהם יש להעביר כתב בי-דין או כתב שלא מבי-דין, לשם המצאתו בחוץ לארץ.</w:t>
      </w:r>
    </w:p>
    <w:p w14:paraId="4DE4730D" w14:textId="77777777" w:rsidR="00175826" w:rsidRDefault="00175826">
      <w:pPr>
        <w:pStyle w:val="P00"/>
        <w:spacing w:before="72"/>
        <w:ind w:left="0" w:right="1134"/>
        <w:rPr>
          <w:rStyle w:val="default"/>
          <w:rFonts w:cs="FrankRuehl" w:hint="cs"/>
          <w:rtl/>
        </w:rPr>
      </w:pPr>
      <w:r>
        <w:rPr>
          <w:rStyle w:val="default"/>
          <w:rFonts w:cs="FrankRuehl" w:hint="cs"/>
          <w:rtl/>
        </w:rPr>
        <w:tab/>
        <w:t>אמנה זו לא תחול מקום שמענו של האדם שיש להמציא לו את הכתב אינו ידוע.</w:t>
      </w:r>
    </w:p>
    <w:p w14:paraId="501E86F9" w14:textId="77777777" w:rsidR="00175826" w:rsidRDefault="00175826">
      <w:pPr>
        <w:pStyle w:val="medium2-header"/>
        <w:keepLines w:val="0"/>
        <w:spacing w:before="72"/>
        <w:ind w:left="0" w:right="1134"/>
        <w:rPr>
          <w:rFonts w:hint="cs"/>
          <w:noProof/>
          <w:sz w:val="20"/>
          <w:rtl/>
        </w:rPr>
      </w:pPr>
      <w:bookmarkStart w:id="17" w:name="med6"/>
      <w:bookmarkEnd w:id="17"/>
      <w:r>
        <w:rPr>
          <w:rFonts w:hint="cs"/>
          <w:noProof/>
          <w:sz w:val="20"/>
          <w:rtl/>
        </w:rPr>
        <w:t xml:space="preserve">פרק 1 </w:t>
      </w:r>
      <w:r>
        <w:rPr>
          <w:noProof/>
          <w:sz w:val="20"/>
          <w:rtl/>
        </w:rPr>
        <w:t>–</w:t>
      </w:r>
      <w:r>
        <w:rPr>
          <w:rFonts w:hint="cs"/>
          <w:noProof/>
          <w:sz w:val="20"/>
          <w:rtl/>
        </w:rPr>
        <w:t xml:space="preserve"> כתבי בי דין</w:t>
      </w:r>
    </w:p>
    <w:p w14:paraId="3E2CE2B6" w14:textId="77777777" w:rsidR="00175826" w:rsidRDefault="00175826">
      <w:pPr>
        <w:pStyle w:val="medium-header"/>
        <w:keepNext w:val="0"/>
        <w:keepLines w:val="0"/>
        <w:ind w:left="0" w:right="1134"/>
        <w:rPr>
          <w:rFonts w:hint="cs"/>
          <w:rtl/>
        </w:rPr>
      </w:pPr>
      <w:r>
        <w:rPr>
          <w:rFonts w:hint="cs"/>
          <w:rtl/>
        </w:rPr>
        <w:t>סעיף 2</w:t>
      </w:r>
    </w:p>
    <w:p w14:paraId="5B023B4E"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בעלת האמנה תציין רשות מרכזית אשר תיטול עליה, בהתאם לסעיפים 3 עד 6, את התפקיד לקבל בקשות להמצאה, שמקורן מדינה אחרת בעלת האמנה, ולמלא אחריהן.</w:t>
      </w:r>
    </w:p>
    <w:p w14:paraId="7FA9FB58"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תארגן את הרשות המרכזית בהתאם לדיניה שלה.</w:t>
      </w:r>
    </w:p>
    <w:p w14:paraId="371C6145" w14:textId="77777777" w:rsidR="00175826" w:rsidRDefault="00175826">
      <w:pPr>
        <w:pStyle w:val="medium-header"/>
        <w:keepNext w:val="0"/>
        <w:keepLines w:val="0"/>
        <w:ind w:left="0" w:right="1134"/>
        <w:rPr>
          <w:rFonts w:hint="cs"/>
          <w:rtl/>
        </w:rPr>
      </w:pPr>
      <w:r>
        <w:rPr>
          <w:rFonts w:hint="cs"/>
          <w:rtl/>
        </w:rPr>
        <w:t>סעיף 3</w:t>
      </w:r>
    </w:p>
    <w:p w14:paraId="56CC691C" w14:textId="77777777" w:rsidR="00175826" w:rsidRDefault="00175826">
      <w:pPr>
        <w:pStyle w:val="P00"/>
        <w:spacing w:before="72"/>
        <w:ind w:left="0" w:right="1134"/>
        <w:rPr>
          <w:rStyle w:val="default"/>
          <w:rFonts w:cs="FrankRuehl" w:hint="cs"/>
          <w:rtl/>
        </w:rPr>
      </w:pPr>
      <w:r>
        <w:rPr>
          <w:rStyle w:val="default"/>
          <w:rFonts w:cs="FrankRuehl" w:hint="cs"/>
          <w:rtl/>
        </w:rPr>
        <w:tab/>
        <w:t>הרשות או הפקיד המשפטי המוסמכים לפי דיני ארץ המוצא ישלחו אל הרשות המרכזית של המדינה המתבקשת בקשה התואמת את טופס הדגם המצורף לאמנה זו, בלא שיהא צורך בהכשר המסמכים או בכל פורמליות אחרת שוות ערך.</w:t>
      </w:r>
    </w:p>
    <w:p w14:paraId="7AE9373A" w14:textId="77777777" w:rsidR="00175826" w:rsidRDefault="00175826">
      <w:pPr>
        <w:pStyle w:val="P00"/>
        <w:spacing w:before="72"/>
        <w:ind w:left="0" w:right="1134"/>
        <w:rPr>
          <w:rStyle w:val="default"/>
          <w:rFonts w:cs="FrankRuehl" w:hint="cs"/>
          <w:rtl/>
        </w:rPr>
      </w:pPr>
      <w:r>
        <w:rPr>
          <w:rStyle w:val="default"/>
          <w:rFonts w:cs="FrankRuehl" w:hint="cs"/>
          <w:rtl/>
        </w:rPr>
        <w:tab/>
        <w:t>לבקשה יצורף הכתב שיש להמציאו, או העתק הימנו. הבקשה והכתב, שניהם כאחד, יסופקו בשני עותקים.</w:t>
      </w:r>
    </w:p>
    <w:p w14:paraId="5FF8A707" w14:textId="77777777" w:rsidR="00175826" w:rsidRDefault="00175826">
      <w:pPr>
        <w:pStyle w:val="medium-header"/>
        <w:keepNext w:val="0"/>
        <w:keepLines w:val="0"/>
        <w:ind w:left="0" w:right="1134"/>
        <w:rPr>
          <w:rFonts w:hint="cs"/>
          <w:rtl/>
        </w:rPr>
      </w:pPr>
      <w:r>
        <w:rPr>
          <w:rFonts w:hint="cs"/>
          <w:rtl/>
        </w:rPr>
        <w:t>סעיף 4</w:t>
      </w:r>
    </w:p>
    <w:p w14:paraId="612C943A" w14:textId="77777777" w:rsidR="00175826" w:rsidRDefault="00175826">
      <w:pPr>
        <w:pStyle w:val="P00"/>
        <w:spacing w:before="72"/>
        <w:ind w:left="0" w:right="1134"/>
        <w:rPr>
          <w:rStyle w:val="default"/>
          <w:rFonts w:cs="FrankRuehl" w:hint="cs"/>
          <w:rtl/>
        </w:rPr>
      </w:pPr>
      <w:r>
        <w:rPr>
          <w:rStyle w:val="default"/>
          <w:rFonts w:cs="FrankRuehl" w:hint="cs"/>
          <w:rtl/>
        </w:rPr>
        <w:tab/>
        <w:t>סברה הרשות המרכזית כי אין הבקשה ממלאת אחר הוראות אמנה זו, היא תודיע מיד למבקש ותפרט את השגותיה לבקשה.</w:t>
      </w:r>
    </w:p>
    <w:p w14:paraId="063F695D" w14:textId="77777777" w:rsidR="00175826" w:rsidRDefault="00175826">
      <w:pPr>
        <w:pStyle w:val="medium-header"/>
        <w:keepNext w:val="0"/>
        <w:keepLines w:val="0"/>
        <w:ind w:left="0" w:right="1134"/>
        <w:rPr>
          <w:rFonts w:hint="cs"/>
          <w:rtl/>
        </w:rPr>
      </w:pPr>
      <w:r>
        <w:rPr>
          <w:rFonts w:hint="cs"/>
          <w:rtl/>
        </w:rPr>
        <w:t>סעיף 5</w:t>
      </w:r>
    </w:p>
    <w:p w14:paraId="49B9C4AA" w14:textId="77777777" w:rsidR="00175826" w:rsidRDefault="00175826">
      <w:pPr>
        <w:pStyle w:val="P00"/>
        <w:spacing w:before="72"/>
        <w:ind w:left="0" w:right="1134"/>
        <w:rPr>
          <w:rStyle w:val="default"/>
          <w:rFonts w:cs="FrankRuehl" w:hint="cs"/>
          <w:rtl/>
        </w:rPr>
      </w:pPr>
      <w:r>
        <w:rPr>
          <w:rStyle w:val="default"/>
          <w:rFonts w:cs="FrankRuehl" w:hint="cs"/>
          <w:rtl/>
        </w:rPr>
        <w:tab/>
        <w:t>הרשות המרכזית של המדינה המתבקשת תמציא בעצמה את הכתב, או תעשה להמצאתו באמצעות גורם מתאים:</w:t>
      </w:r>
    </w:p>
    <w:p w14:paraId="76BA8A37" w14:textId="77777777" w:rsidR="00175826" w:rsidRDefault="00175826">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אם בצורות הקבועות בתחיקתה של המדינה המתבקשת לשם המצאתם של כתבים שנערכו בארץ זו, והמיועדים לבני אדם הנמצאים בשטח ארצה,</w:t>
      </w:r>
    </w:p>
    <w:p w14:paraId="6D5565BA" w14:textId="77777777" w:rsidR="00175826" w:rsidRDefault="001758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ואם בצורה מיוחדת שנתבקשה על ידי המבקש, ובלבד שזו לא תהא בלתי מתישבת עם דינה של המדינה המתבקשת.</w:t>
      </w:r>
    </w:p>
    <w:p w14:paraId="002C7341" w14:textId="77777777" w:rsidR="00175826" w:rsidRDefault="00175826">
      <w:pPr>
        <w:pStyle w:val="P00"/>
        <w:spacing w:before="72"/>
        <w:ind w:left="0" w:right="1134"/>
        <w:rPr>
          <w:rStyle w:val="default"/>
          <w:rFonts w:cs="FrankRuehl" w:hint="cs"/>
          <w:rtl/>
        </w:rPr>
      </w:pPr>
      <w:r>
        <w:rPr>
          <w:rStyle w:val="default"/>
          <w:rFonts w:cs="FrankRuehl" w:hint="cs"/>
          <w:rtl/>
        </w:rPr>
        <w:tab/>
        <w:t>חוץ מן המקרה הנזכר בפסקה הראשונה, (ב), אפשר תמיד למסור את הכתב לידי הנמען, אשר יקבלנו מרצונו הטוב.</w:t>
      </w:r>
    </w:p>
    <w:p w14:paraId="444E40A2" w14:textId="77777777" w:rsidR="00175826" w:rsidRDefault="00175826">
      <w:pPr>
        <w:pStyle w:val="P00"/>
        <w:spacing w:before="72"/>
        <w:ind w:left="0" w:right="1134"/>
        <w:rPr>
          <w:rStyle w:val="default"/>
          <w:rFonts w:cs="FrankRuehl" w:hint="cs"/>
          <w:rtl/>
        </w:rPr>
      </w:pPr>
      <w:r>
        <w:rPr>
          <w:rStyle w:val="default"/>
          <w:rFonts w:cs="FrankRuehl" w:hint="cs"/>
          <w:rtl/>
        </w:rPr>
        <w:tab/>
        <w:t>מקום שיש להמציא את הכתב לפי הפסקה הראשונה דלעיל, רשאית הרשות המרכזית לבקש כי הכתב ייכתב בשפה הרשמית, או באחת מן השפות הרשמיות, של המדינה המתבקשת, או כי יתורגם לשפה כאמור.</w:t>
      </w:r>
    </w:p>
    <w:p w14:paraId="09124D4A" w14:textId="77777777" w:rsidR="00175826" w:rsidRDefault="00175826">
      <w:pPr>
        <w:pStyle w:val="P00"/>
        <w:spacing w:before="72"/>
        <w:ind w:left="0" w:right="1134"/>
        <w:rPr>
          <w:rStyle w:val="default"/>
          <w:rFonts w:cs="FrankRuehl" w:hint="cs"/>
          <w:rtl/>
        </w:rPr>
      </w:pPr>
      <w:r>
        <w:rPr>
          <w:rStyle w:val="default"/>
          <w:rFonts w:cs="FrankRuehl" w:hint="cs"/>
          <w:rtl/>
        </w:rPr>
        <w:tab/>
        <w:t>אותו חלק מן הבקשה, בטופס המצורף לאמנה זאת, הכולל את תמצית הכתב שיש להמציאו, יומצא עם הכתב.</w:t>
      </w:r>
    </w:p>
    <w:p w14:paraId="1E2BC7DB" w14:textId="77777777" w:rsidR="00175826" w:rsidRDefault="00175826">
      <w:pPr>
        <w:pStyle w:val="medium-header"/>
        <w:keepNext w:val="0"/>
        <w:keepLines w:val="0"/>
        <w:ind w:left="0" w:right="1134"/>
        <w:rPr>
          <w:rFonts w:hint="cs"/>
          <w:rtl/>
        </w:rPr>
      </w:pPr>
      <w:r>
        <w:rPr>
          <w:rFonts w:hint="cs"/>
          <w:rtl/>
        </w:rPr>
        <w:t>סעיף 6</w:t>
      </w:r>
    </w:p>
    <w:p w14:paraId="109EEA56" w14:textId="77777777" w:rsidR="00175826" w:rsidRDefault="00175826">
      <w:pPr>
        <w:pStyle w:val="P00"/>
        <w:spacing w:before="72"/>
        <w:ind w:left="0" w:right="1134"/>
        <w:rPr>
          <w:rStyle w:val="default"/>
          <w:rFonts w:cs="FrankRuehl" w:hint="cs"/>
          <w:rtl/>
        </w:rPr>
      </w:pPr>
      <w:r>
        <w:rPr>
          <w:rStyle w:val="default"/>
          <w:rFonts w:cs="FrankRuehl" w:hint="cs"/>
          <w:rtl/>
        </w:rPr>
        <w:tab/>
        <w:t>הרשות המרכזית של המדינה המתבקשת, או כל רשות אחרת שתצויין למטרה זו, תערוך תעודת אישור התואמת את טופס הדגם המצורף לאמנה זאת.</w:t>
      </w:r>
    </w:p>
    <w:p w14:paraId="3B90AD8C" w14:textId="77777777" w:rsidR="00175826" w:rsidRDefault="00175826">
      <w:pPr>
        <w:pStyle w:val="P00"/>
        <w:spacing w:before="72"/>
        <w:ind w:left="0" w:right="1134"/>
        <w:rPr>
          <w:rStyle w:val="default"/>
          <w:rFonts w:cs="FrankRuehl" w:hint="cs"/>
          <w:rtl/>
        </w:rPr>
      </w:pPr>
      <w:r>
        <w:rPr>
          <w:rStyle w:val="default"/>
          <w:rFonts w:cs="FrankRuehl" w:hint="cs"/>
          <w:rtl/>
        </w:rPr>
        <w:tab/>
        <w:t>תעודת האישור תתאר את ביצוע הבקשה; היא תציין את צורתו, מקומו ותאריכו של הביצוע, וכן את האדם שלו נמסר הכתב. במקרה הצורך, היא תפרש את העובדה אשר מנעה את הביצוע.</w:t>
      </w:r>
    </w:p>
    <w:p w14:paraId="385EB890" w14:textId="77777777" w:rsidR="00175826" w:rsidRDefault="00175826">
      <w:pPr>
        <w:pStyle w:val="P00"/>
        <w:spacing w:before="72"/>
        <w:ind w:left="0" w:right="1134"/>
        <w:rPr>
          <w:rStyle w:val="default"/>
          <w:rFonts w:cs="FrankRuehl" w:hint="cs"/>
          <w:rtl/>
        </w:rPr>
      </w:pPr>
      <w:r>
        <w:rPr>
          <w:rStyle w:val="default"/>
          <w:rFonts w:cs="FrankRuehl" w:hint="cs"/>
          <w:rtl/>
        </w:rPr>
        <w:tab/>
        <w:t>המבקש רשאי לבקש כי תעודת האישור שלא נערכה בידי הרשות המרכזית, או בידי רשות משפטית אחרת, תאושר בחתימה נוספת בידי אחת מן הרשויות הללו.</w:t>
      </w:r>
    </w:p>
    <w:p w14:paraId="24DB4AF3" w14:textId="77777777" w:rsidR="00175826" w:rsidRDefault="00175826">
      <w:pPr>
        <w:pStyle w:val="P00"/>
        <w:spacing w:before="72"/>
        <w:ind w:left="0" w:right="1134"/>
        <w:rPr>
          <w:rStyle w:val="default"/>
          <w:rFonts w:cs="FrankRuehl" w:hint="cs"/>
          <w:rtl/>
        </w:rPr>
      </w:pPr>
      <w:r>
        <w:rPr>
          <w:rStyle w:val="default"/>
          <w:rFonts w:cs="FrankRuehl" w:hint="cs"/>
          <w:rtl/>
        </w:rPr>
        <w:tab/>
        <w:t>תעודת האישור תישלח במישרין אל המבקש.</w:t>
      </w:r>
    </w:p>
    <w:p w14:paraId="0BD70F91" w14:textId="77777777" w:rsidR="00175826" w:rsidRDefault="00175826">
      <w:pPr>
        <w:pStyle w:val="medium-header"/>
        <w:keepNext w:val="0"/>
        <w:keepLines w:val="0"/>
        <w:ind w:left="0" w:right="1134"/>
        <w:rPr>
          <w:rFonts w:hint="cs"/>
          <w:rtl/>
        </w:rPr>
      </w:pPr>
      <w:r>
        <w:rPr>
          <w:rFonts w:hint="cs"/>
          <w:rtl/>
        </w:rPr>
        <w:t>סעיף 7</w:t>
      </w:r>
    </w:p>
    <w:p w14:paraId="547CE57F" w14:textId="77777777" w:rsidR="00175826" w:rsidRDefault="00175826">
      <w:pPr>
        <w:pStyle w:val="P00"/>
        <w:spacing w:before="72"/>
        <w:ind w:left="0" w:right="1134"/>
        <w:rPr>
          <w:rStyle w:val="default"/>
          <w:rFonts w:cs="FrankRuehl" w:hint="cs"/>
          <w:rtl/>
        </w:rPr>
      </w:pPr>
      <w:r>
        <w:rPr>
          <w:rStyle w:val="default"/>
          <w:rFonts w:cs="FrankRuehl" w:hint="cs"/>
          <w:rtl/>
        </w:rPr>
        <w:tab/>
        <w:t>הציונים המודפסים בטופס הדגם המצורף לאמנה זאת חייבים להיערך אם בשפה הצרפתית ואם בשפה האנגלית. אפשר לערכם, בנוסף לכך, בשפתה הרשמית, או באחת משפותיה הרשמיות, של מדינת המוצא.</w:t>
      </w:r>
    </w:p>
    <w:p w14:paraId="567D1F56" w14:textId="77777777" w:rsidR="00175826" w:rsidRDefault="00175826">
      <w:pPr>
        <w:pStyle w:val="P00"/>
        <w:spacing w:before="72"/>
        <w:ind w:left="0" w:right="1134"/>
        <w:rPr>
          <w:rStyle w:val="default"/>
          <w:rFonts w:cs="FrankRuehl" w:hint="cs"/>
          <w:rtl/>
        </w:rPr>
      </w:pPr>
      <w:r>
        <w:rPr>
          <w:rStyle w:val="default"/>
          <w:rFonts w:cs="FrankRuehl" w:hint="cs"/>
          <w:rtl/>
        </w:rPr>
        <w:tab/>
        <w:t>התרפים המתאימים לציונים אלה ימולאו אם בשפת המדינה המתבקשת, אם בשפה הצרפתית ואם בשפה האנגלית.</w:t>
      </w:r>
    </w:p>
    <w:p w14:paraId="19281D28" w14:textId="77777777" w:rsidR="00175826" w:rsidRDefault="00175826">
      <w:pPr>
        <w:pStyle w:val="medium-header"/>
        <w:keepNext w:val="0"/>
        <w:keepLines w:val="0"/>
        <w:ind w:left="0" w:right="1134"/>
        <w:rPr>
          <w:rFonts w:hint="cs"/>
          <w:rtl/>
        </w:rPr>
      </w:pPr>
      <w:r>
        <w:rPr>
          <w:rFonts w:hint="cs"/>
          <w:rtl/>
        </w:rPr>
        <w:t>סעיף 8</w:t>
      </w:r>
    </w:p>
    <w:p w14:paraId="32F34520"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בעלת האמנה תהא בת חורין להביא לידי המצאתם של כתבי בי דין לבני אדם בחוץ לארץ, בלא כפיה, במישרין, באמצעות נציגיה הדיפלומטיים או הקונסולריים.</w:t>
      </w:r>
    </w:p>
    <w:p w14:paraId="39AF9BF1"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רשאית להצהיר, כי היא מתנגדת להמצאה כאמור בשטח ארצה, אלא אם כן יש להמציא את הכתב לאזרחה של המדינה שבה מוצאם של הכתבים.</w:t>
      </w:r>
    </w:p>
    <w:p w14:paraId="20FE32B0" w14:textId="77777777" w:rsidR="00175826" w:rsidRDefault="00175826">
      <w:pPr>
        <w:pStyle w:val="medium-header"/>
        <w:keepNext w:val="0"/>
        <w:keepLines w:val="0"/>
        <w:ind w:left="0" w:right="1134"/>
        <w:rPr>
          <w:rFonts w:hint="cs"/>
          <w:rtl/>
        </w:rPr>
      </w:pPr>
      <w:r>
        <w:rPr>
          <w:rFonts w:hint="cs"/>
          <w:rtl/>
        </w:rPr>
        <w:t>סעיף 9</w:t>
      </w:r>
    </w:p>
    <w:p w14:paraId="52EB3E03" w14:textId="77777777" w:rsidR="00175826" w:rsidRDefault="00175826">
      <w:pPr>
        <w:pStyle w:val="P00"/>
        <w:spacing w:before="72"/>
        <w:ind w:left="0" w:right="1134"/>
        <w:rPr>
          <w:rStyle w:val="default"/>
          <w:rFonts w:cs="FrankRuehl" w:hint="cs"/>
          <w:rtl/>
        </w:rPr>
      </w:pPr>
      <w:r>
        <w:rPr>
          <w:rStyle w:val="default"/>
          <w:rFonts w:cs="FrankRuehl" w:hint="cs"/>
          <w:rtl/>
        </w:rPr>
        <w:tab/>
        <w:t>נוסף לכך, כל מדינה בעלת האמנה תהא בת חורין להשתמש בצינורותיה הקונסולריים כדי לשלוח כתבים, לשם המצאתם, לאותן רשויות של מדינה אחרת בעלת האמנה שצויינו על ידי האחרונה למטרה זו.</w:t>
      </w:r>
    </w:p>
    <w:p w14:paraId="25B6DC26"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בעלת האמנה רשאית, אם נסיבות יוצאות מן הרגיל תובעות זאת, להשתמש בצינורות דיפלומטיים לשם מטרה זו.</w:t>
      </w:r>
    </w:p>
    <w:p w14:paraId="73285639" w14:textId="77777777" w:rsidR="00175826" w:rsidRDefault="00175826">
      <w:pPr>
        <w:pStyle w:val="medium-header"/>
        <w:keepNext w:val="0"/>
        <w:keepLines w:val="0"/>
        <w:ind w:left="0" w:right="1134"/>
        <w:rPr>
          <w:rFonts w:hint="cs"/>
          <w:rtl/>
        </w:rPr>
      </w:pPr>
      <w:r>
        <w:rPr>
          <w:rFonts w:hint="cs"/>
          <w:rtl/>
        </w:rPr>
        <w:t>סעיף 10</w:t>
      </w:r>
    </w:p>
    <w:p w14:paraId="6D80C04A" w14:textId="77777777" w:rsidR="00175826" w:rsidRDefault="00175826">
      <w:pPr>
        <w:pStyle w:val="P00"/>
        <w:spacing w:before="72"/>
        <w:ind w:left="0" w:right="1134"/>
        <w:rPr>
          <w:rStyle w:val="default"/>
          <w:rFonts w:cs="FrankRuehl" w:hint="cs"/>
          <w:rtl/>
        </w:rPr>
      </w:pPr>
      <w:r>
        <w:rPr>
          <w:rStyle w:val="default"/>
          <w:rFonts w:cs="FrankRuehl" w:hint="cs"/>
          <w:rtl/>
        </w:rPr>
        <w:tab/>
        <w:t>למעט מקום שמדינת הייעוד מצהירה על התנגדותה לכך, לא תניח אמנה זו מכשול:</w:t>
      </w:r>
    </w:p>
    <w:p w14:paraId="7F5DD32F" w14:textId="77777777" w:rsidR="00175826" w:rsidRDefault="001758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לאפשרות לשלוח במישרין, באמצעות הדואר, כתבי בי דין לבני אדם הנמצאים בחוץ לארץ,</w:t>
      </w:r>
    </w:p>
    <w:p w14:paraId="4D7BBF77" w14:textId="77777777" w:rsidR="00175826" w:rsidRDefault="001758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לאפשרות, לגבי פקידים משפטיים, פקידים או בני אדם מוסמכים אחרים, להביא לידי המצאתם של כתבי בין דין במישרין, באמצעות פקידים משפטיים, פקידים או בני אדם מוסמכים אחרים של מדינת הייעוד,</w:t>
      </w:r>
    </w:p>
    <w:p w14:paraId="1F6D08C8" w14:textId="77777777" w:rsidR="00175826" w:rsidRDefault="0017582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לאפשרות, לגבי כל אדם המעוניין בהליך משפטי, להביא לידי המצאתם של כתבי בי דין במישרין, באמצעות פקידים משפטיים, פקידים או בני אדם מוסמכים אחרים של מדינת הייעוד.</w:t>
      </w:r>
    </w:p>
    <w:p w14:paraId="34F69E40" w14:textId="77777777" w:rsidR="00175826" w:rsidRDefault="00175826">
      <w:pPr>
        <w:pStyle w:val="medium-header"/>
        <w:keepNext w:val="0"/>
        <w:keepLines w:val="0"/>
        <w:ind w:left="0" w:right="1134"/>
        <w:rPr>
          <w:rFonts w:hint="cs"/>
          <w:rtl/>
        </w:rPr>
      </w:pPr>
      <w:r>
        <w:rPr>
          <w:rFonts w:hint="cs"/>
          <w:rtl/>
        </w:rPr>
        <w:t>סעיף 11</w:t>
      </w:r>
    </w:p>
    <w:p w14:paraId="7421BC90" w14:textId="77777777" w:rsidR="00175826" w:rsidRDefault="00175826">
      <w:pPr>
        <w:pStyle w:val="P00"/>
        <w:spacing w:before="72"/>
        <w:ind w:left="0" w:right="1134"/>
        <w:rPr>
          <w:rStyle w:val="default"/>
          <w:rFonts w:cs="FrankRuehl" w:hint="cs"/>
          <w:rtl/>
        </w:rPr>
      </w:pPr>
      <w:r>
        <w:rPr>
          <w:rStyle w:val="default"/>
          <w:rFonts w:cs="FrankRuehl" w:hint="cs"/>
          <w:rtl/>
        </w:rPr>
        <w:tab/>
        <w:t>אמנה זו לא תמנע שתי מדינות בעלות האמנה, או יותר משתים, מלבוא ביניהן לידי הסכם, כדי להרשות דרכי קשר שאינן אלה שנקבעו בסעיפים הקודמים, ובמיוחד קשר ישיר בין רשויותיהן, לשם המצאתם של כתבי בי דין.</w:t>
      </w:r>
    </w:p>
    <w:p w14:paraId="4D4BCCCF" w14:textId="77777777" w:rsidR="00175826" w:rsidRDefault="00175826">
      <w:pPr>
        <w:pStyle w:val="medium-header"/>
        <w:keepNext w:val="0"/>
        <w:keepLines w:val="0"/>
        <w:ind w:left="0" w:right="1134"/>
        <w:rPr>
          <w:rFonts w:hint="cs"/>
          <w:rtl/>
        </w:rPr>
      </w:pPr>
      <w:r>
        <w:rPr>
          <w:rFonts w:hint="cs"/>
          <w:rtl/>
        </w:rPr>
        <w:t>סעיף 12</w:t>
      </w:r>
    </w:p>
    <w:p w14:paraId="6FFCFBA3" w14:textId="77777777" w:rsidR="00175826" w:rsidRDefault="00175826">
      <w:pPr>
        <w:pStyle w:val="P00"/>
        <w:spacing w:before="72"/>
        <w:ind w:left="0" w:right="1134"/>
        <w:rPr>
          <w:rStyle w:val="default"/>
          <w:rFonts w:cs="FrankRuehl" w:hint="cs"/>
          <w:rtl/>
        </w:rPr>
      </w:pPr>
      <w:r>
        <w:rPr>
          <w:rStyle w:val="default"/>
          <w:rFonts w:cs="FrankRuehl" w:hint="cs"/>
          <w:rtl/>
        </w:rPr>
        <w:tab/>
        <w:t>המצאתם של כתבי בין דין שמקורם מדינה בעלת האמנה לא תוכל ליתן מקום לתשלום או להחזרה של אגרות או הוצאות בגין שירותיה של המדינה המתבקשת.</w:t>
      </w:r>
    </w:p>
    <w:p w14:paraId="574E7F45" w14:textId="77777777" w:rsidR="00175826" w:rsidRDefault="00175826">
      <w:pPr>
        <w:pStyle w:val="P00"/>
        <w:spacing w:before="72"/>
        <w:ind w:left="0" w:right="1134"/>
        <w:rPr>
          <w:rStyle w:val="default"/>
          <w:rFonts w:cs="FrankRuehl" w:hint="cs"/>
          <w:rtl/>
        </w:rPr>
      </w:pPr>
      <w:r>
        <w:rPr>
          <w:rStyle w:val="default"/>
          <w:rFonts w:cs="FrankRuehl" w:hint="cs"/>
          <w:rtl/>
        </w:rPr>
        <w:tab/>
        <w:t>המבקש חייב לשלם או להחזיר את ההוצאות שנגרמו עקב:</w:t>
      </w:r>
    </w:p>
    <w:p w14:paraId="797558FF" w14:textId="77777777" w:rsidR="00175826" w:rsidRDefault="001758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הזדקקות לשירותו של פקיד משפטי או של בן אדם מוסמך לפי דיניה של מדינת הייעוד,</w:t>
      </w:r>
    </w:p>
    <w:p w14:paraId="25E43429" w14:textId="77777777" w:rsidR="00175826" w:rsidRDefault="001758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השימוש בצורה מיוחדת של המצאה.</w:t>
      </w:r>
    </w:p>
    <w:p w14:paraId="3EB1D6BF" w14:textId="77777777" w:rsidR="00175826" w:rsidRDefault="00175826">
      <w:pPr>
        <w:pStyle w:val="medium-header"/>
        <w:keepNext w:val="0"/>
        <w:keepLines w:val="0"/>
        <w:ind w:left="0" w:right="1134"/>
        <w:rPr>
          <w:rFonts w:hint="cs"/>
          <w:rtl/>
        </w:rPr>
      </w:pPr>
      <w:r>
        <w:rPr>
          <w:rFonts w:hint="cs"/>
          <w:rtl/>
        </w:rPr>
        <w:t>סעיף 13</w:t>
      </w:r>
    </w:p>
    <w:p w14:paraId="47882CA9" w14:textId="77777777" w:rsidR="00175826" w:rsidRDefault="00175826">
      <w:pPr>
        <w:pStyle w:val="P00"/>
        <w:spacing w:before="72"/>
        <w:ind w:left="0" w:right="1134"/>
        <w:rPr>
          <w:rStyle w:val="default"/>
          <w:rFonts w:cs="FrankRuehl" w:hint="cs"/>
          <w:rtl/>
        </w:rPr>
      </w:pPr>
      <w:r>
        <w:rPr>
          <w:rStyle w:val="default"/>
          <w:rFonts w:cs="FrankRuehl" w:hint="cs"/>
          <w:rtl/>
        </w:rPr>
        <w:tab/>
        <w:t>לא יסרבו לבצע בקשת המצאה התואמת את הוראות אמנה זו אלא אם סבורה המדינה המתבקשת כי ביצוע זה עלול לפגוע בריבונותה או בבטחונה.</w:t>
      </w:r>
    </w:p>
    <w:p w14:paraId="4E262FFA" w14:textId="77777777" w:rsidR="00175826" w:rsidRDefault="00175826">
      <w:pPr>
        <w:pStyle w:val="P00"/>
        <w:spacing w:before="72"/>
        <w:ind w:left="0" w:right="1134"/>
        <w:rPr>
          <w:rStyle w:val="default"/>
          <w:rFonts w:cs="FrankRuehl" w:hint="cs"/>
          <w:rtl/>
        </w:rPr>
      </w:pPr>
      <w:r>
        <w:rPr>
          <w:rStyle w:val="default"/>
          <w:rFonts w:cs="FrankRuehl" w:hint="cs"/>
          <w:rtl/>
        </w:rPr>
        <w:tab/>
        <w:t>לא יסרבו לבצע בשל הנימוק היחיד שחוק המדינה המתבקשת תובע סמכות שיפוטית ייחודית בנושא התובענה, או שאין הוא מתיר את התובענה שעליה מיוסדת הבקשה.</w:t>
      </w:r>
    </w:p>
    <w:p w14:paraId="2A0B68D5" w14:textId="77777777" w:rsidR="00175826" w:rsidRDefault="00175826">
      <w:pPr>
        <w:pStyle w:val="P00"/>
        <w:spacing w:before="72"/>
        <w:ind w:left="0" w:right="1134"/>
        <w:rPr>
          <w:rStyle w:val="default"/>
          <w:rFonts w:cs="FrankRuehl" w:hint="cs"/>
          <w:rtl/>
        </w:rPr>
      </w:pPr>
      <w:r>
        <w:rPr>
          <w:rStyle w:val="default"/>
          <w:rFonts w:cs="FrankRuehl" w:hint="cs"/>
          <w:rtl/>
        </w:rPr>
        <w:tab/>
        <w:t>הרשות המרכזית, במקרה של סירוב, תודיע על כך מיד למבקש, ותציין את הסיבות לסירוב.</w:t>
      </w:r>
    </w:p>
    <w:p w14:paraId="12C17325" w14:textId="77777777" w:rsidR="00175826" w:rsidRDefault="00175826">
      <w:pPr>
        <w:pStyle w:val="medium-header"/>
        <w:keepNext w:val="0"/>
        <w:keepLines w:val="0"/>
        <w:ind w:left="0" w:right="1134"/>
        <w:rPr>
          <w:rFonts w:hint="cs"/>
          <w:rtl/>
        </w:rPr>
      </w:pPr>
      <w:r>
        <w:rPr>
          <w:rFonts w:hint="cs"/>
          <w:rtl/>
        </w:rPr>
        <w:t>סעיף 14</w:t>
      </w:r>
    </w:p>
    <w:p w14:paraId="226B1C06" w14:textId="77777777" w:rsidR="00175826" w:rsidRDefault="00175826">
      <w:pPr>
        <w:pStyle w:val="P00"/>
        <w:spacing w:before="72"/>
        <w:ind w:left="0" w:right="1134"/>
        <w:rPr>
          <w:rStyle w:val="default"/>
          <w:rFonts w:cs="FrankRuehl" w:hint="cs"/>
          <w:rtl/>
        </w:rPr>
      </w:pPr>
      <w:r>
        <w:rPr>
          <w:rStyle w:val="default"/>
          <w:rFonts w:cs="FrankRuehl" w:hint="cs"/>
          <w:rtl/>
        </w:rPr>
        <w:tab/>
        <w:t>הקשיים העלולים להתעורר בקשר עם העברתם של כתבי בי דין, לשם המצאה, ייושבו דרך הצינורות הדיפלומטיים.</w:t>
      </w:r>
    </w:p>
    <w:p w14:paraId="021ED3E5" w14:textId="77777777" w:rsidR="00175826" w:rsidRDefault="00175826">
      <w:pPr>
        <w:pStyle w:val="medium-header"/>
        <w:keepNext w:val="0"/>
        <w:keepLines w:val="0"/>
        <w:ind w:left="0" w:right="1134"/>
        <w:rPr>
          <w:rFonts w:hint="cs"/>
          <w:rtl/>
        </w:rPr>
      </w:pPr>
      <w:r>
        <w:rPr>
          <w:rFonts w:hint="cs"/>
          <w:rtl/>
        </w:rPr>
        <w:t>סעיף 15</w:t>
      </w:r>
    </w:p>
    <w:p w14:paraId="73B3B721" w14:textId="77777777" w:rsidR="00175826" w:rsidRDefault="00175826">
      <w:pPr>
        <w:pStyle w:val="P00"/>
        <w:spacing w:before="72"/>
        <w:ind w:left="0" w:right="1134"/>
        <w:rPr>
          <w:rStyle w:val="default"/>
          <w:rFonts w:cs="FrankRuehl" w:hint="cs"/>
          <w:rtl/>
        </w:rPr>
      </w:pPr>
      <w:r>
        <w:rPr>
          <w:rStyle w:val="default"/>
          <w:rFonts w:cs="FrankRuehl" w:hint="cs"/>
          <w:rtl/>
        </w:rPr>
        <w:tab/>
        <w:t>מקום שצריכים היו להעביר כתב-הזמנה, או כתב שווה ערך, לחוץ לארץ, לשם המצאה, לפי הוראות אמנה זו, והנתבע לא התייצב, לא יינתן פסק הדין עד אשר ייקבע כי:</w:t>
      </w:r>
    </w:p>
    <w:p w14:paraId="50855D02" w14:textId="77777777" w:rsidR="00175826" w:rsidRDefault="001758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הכתב הומצא בצורות הקבועות בתחיקתה של המדינה המתבקשת לשם המצאתם של כתבים שנערכו בארץ זו, והמיועדים לבני אדם הנמצאים בשטחה, או כי:</w:t>
      </w:r>
    </w:p>
    <w:p w14:paraId="274DF569" w14:textId="77777777" w:rsidR="00175826" w:rsidRDefault="001758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הכתב נמסר בפועל לידי הנתבע, או במעונו, לפי כל דרך אחרת שנקבעה באמנה זו,</w:t>
      </w:r>
    </w:p>
    <w:p w14:paraId="74CC9542" w14:textId="77777777" w:rsidR="00175826" w:rsidRDefault="00175826">
      <w:pPr>
        <w:pStyle w:val="P00"/>
        <w:spacing w:before="72"/>
        <w:ind w:left="0" w:right="1134"/>
        <w:rPr>
          <w:rStyle w:val="default"/>
          <w:rFonts w:cs="FrankRuehl" w:hint="cs"/>
          <w:rtl/>
        </w:rPr>
      </w:pPr>
      <w:r>
        <w:rPr>
          <w:rStyle w:val="default"/>
          <w:rFonts w:cs="FrankRuehl" w:hint="cs"/>
          <w:rtl/>
        </w:rPr>
        <w:tab/>
        <w:t>וכי בכל אחד מן המקרים הללו, הוצאה ההמצאה או המסירה אל הפועל בזמן מספיק כדי לאפשר לנתבע להגן על עצמו.</w:t>
      </w:r>
    </w:p>
    <w:p w14:paraId="6786F631"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בעלת האמנה תהא בת חורין להצהיר, כי שופטיה יהיו רשאים, למרות הוראות הפסקה הראשונה, לפסוק דין, גם אם לא נתקבלה תעודת אישור להמצאה או למסירה, מקום שנתמלאו התנאים דלקמן:</w:t>
      </w:r>
    </w:p>
    <w:p w14:paraId="3F9FA153" w14:textId="77777777" w:rsidR="00175826" w:rsidRDefault="001758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הכתב הועבר לפי אחת מן הצורות שנקבעו באמנה זו,</w:t>
      </w:r>
    </w:p>
    <w:p w14:paraId="69FCB9BA" w14:textId="77777777" w:rsidR="00175826" w:rsidRDefault="001758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פרק זמן של לא פחות מששה חודשים, שנראה כמתאים בעיני השופט במקרה המיוחד, אכן חלף מאז תאריך משלוח הכתב,</w:t>
      </w:r>
    </w:p>
    <w:p w14:paraId="1F6E06D7" w14:textId="77777777" w:rsidR="00175826" w:rsidRDefault="0017582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שום תעודת אישור מכל סוג שהוא לא נתקבלה, על אף שנעשה כל מאמץ סביר כדי להשיגה, באמצעות רשויותיה המוסמכות של המדינה המתבקשת.</w:t>
      </w:r>
    </w:p>
    <w:p w14:paraId="5B0919A8" w14:textId="77777777" w:rsidR="00175826" w:rsidRDefault="00175826">
      <w:pPr>
        <w:pStyle w:val="P00"/>
        <w:spacing w:before="72"/>
        <w:ind w:left="0" w:right="1134"/>
        <w:rPr>
          <w:rStyle w:val="default"/>
          <w:rFonts w:cs="FrankRuehl" w:hint="cs"/>
          <w:rtl/>
        </w:rPr>
      </w:pPr>
      <w:r>
        <w:rPr>
          <w:rStyle w:val="default"/>
          <w:rFonts w:cs="FrankRuehl" w:hint="cs"/>
          <w:rtl/>
        </w:rPr>
        <w:tab/>
        <w:t>על אף הוראות הפסקאות דלעיל, רשאי השופט לצוות, במקרה של דחיפות, על כל אמצעים זמניים או אמצעי מנע.</w:t>
      </w:r>
    </w:p>
    <w:p w14:paraId="072A1AAD" w14:textId="77777777" w:rsidR="00175826" w:rsidRDefault="00175826">
      <w:pPr>
        <w:pStyle w:val="medium-header"/>
        <w:keepNext w:val="0"/>
        <w:keepLines w:val="0"/>
        <w:ind w:left="0" w:right="1134"/>
        <w:rPr>
          <w:rFonts w:hint="cs"/>
          <w:rtl/>
        </w:rPr>
      </w:pPr>
      <w:r>
        <w:rPr>
          <w:rFonts w:hint="cs"/>
          <w:rtl/>
        </w:rPr>
        <w:t>סעיף 16</w:t>
      </w:r>
    </w:p>
    <w:p w14:paraId="754E0DC0" w14:textId="77777777" w:rsidR="00175826" w:rsidRDefault="00175826">
      <w:pPr>
        <w:pStyle w:val="P00"/>
        <w:spacing w:before="72"/>
        <w:ind w:left="0" w:right="1134"/>
        <w:rPr>
          <w:rStyle w:val="default"/>
          <w:rFonts w:cs="FrankRuehl" w:hint="cs"/>
          <w:rtl/>
        </w:rPr>
      </w:pPr>
      <w:r>
        <w:rPr>
          <w:rStyle w:val="default"/>
          <w:rFonts w:cs="FrankRuehl" w:hint="cs"/>
          <w:rtl/>
        </w:rPr>
        <w:tab/>
        <w:t>מקום שצריכים היו להעביר כתב הזמנה, או כתב שווה ערך, לחוץ לארץ, לשם המצאה, לפי הוראות אמנה זאת, ונפסק פסק דין נגד נתבע שלא התייצב, תהא לשופט הסמכות לבטל לגבי הנתבע את איבוד הזכות הנובע מפקיעת המועד לערעור, אם נתמלאו התנאים שלקמן:</w:t>
      </w:r>
    </w:p>
    <w:p w14:paraId="4E7273B6" w14:textId="77777777" w:rsidR="00175826" w:rsidRDefault="001758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הנתבע, מבלי שהיה כל אשם מצדו, לא ידע את הכתב בזמן מספיק כדי להגן על עצמו, או לא ידע על פסק הדין בעוד מועד כדי לערער עליו,</w:t>
      </w:r>
    </w:p>
    <w:p w14:paraId="17CDFBCA" w14:textId="77777777" w:rsidR="00175826" w:rsidRDefault="001758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והנתבע גילה טענת הגנה לכאורה כלפי גוף התובענה.</w:t>
      </w:r>
    </w:p>
    <w:p w14:paraId="544132B9" w14:textId="77777777" w:rsidR="00175826" w:rsidRDefault="00175826">
      <w:pPr>
        <w:pStyle w:val="P00"/>
        <w:spacing w:before="72"/>
        <w:ind w:left="0" w:right="1134"/>
        <w:rPr>
          <w:rStyle w:val="default"/>
          <w:rFonts w:cs="FrankRuehl" w:hint="cs"/>
          <w:rtl/>
        </w:rPr>
      </w:pPr>
      <w:r>
        <w:rPr>
          <w:rStyle w:val="default"/>
          <w:rFonts w:cs="FrankRuehl" w:hint="cs"/>
          <w:rtl/>
        </w:rPr>
        <w:tab/>
        <w:t>הבקשה המכוונת לבטל את איבוד הזכות תהא בלתי מתקבלת אם לא נעשתה תוך פרק זמן סביר מן הרגע שבו ידע הנתבע את ההחלטה.</w:t>
      </w:r>
    </w:p>
    <w:p w14:paraId="6443C1D7"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בעלת האמנה רשאית להצהיר, כי בקשה זו תהא בלתי מתקבלת אם נעשתה לאחר פרק זמן שתפרש בהצהרתה, ובלבד שפרק זמן זה לא יפחת משנה אחת החל מהוצאת פסק הדין.</w:t>
      </w:r>
    </w:p>
    <w:p w14:paraId="16703EC2" w14:textId="77777777" w:rsidR="00175826" w:rsidRDefault="00175826">
      <w:pPr>
        <w:pStyle w:val="P00"/>
        <w:spacing w:before="72"/>
        <w:ind w:left="0" w:right="1134"/>
        <w:rPr>
          <w:rStyle w:val="default"/>
          <w:rFonts w:cs="FrankRuehl" w:hint="cs"/>
          <w:rtl/>
        </w:rPr>
      </w:pPr>
      <w:r>
        <w:rPr>
          <w:rStyle w:val="default"/>
          <w:rFonts w:cs="FrankRuehl" w:hint="cs"/>
          <w:rtl/>
        </w:rPr>
        <w:tab/>
        <w:t>סעיף זה לא יחול על פסקי דין הנוגעים למעמדם או לכושרם של בני אדם.</w:t>
      </w:r>
    </w:p>
    <w:p w14:paraId="6B24504C" w14:textId="77777777" w:rsidR="00175826" w:rsidRDefault="00175826">
      <w:pPr>
        <w:pStyle w:val="medium2-header"/>
        <w:keepLines w:val="0"/>
        <w:spacing w:before="72"/>
        <w:ind w:left="0" w:right="1134"/>
        <w:rPr>
          <w:rFonts w:hint="cs"/>
          <w:noProof/>
          <w:rtl/>
        </w:rPr>
      </w:pPr>
      <w:bookmarkStart w:id="18" w:name="med7"/>
      <w:bookmarkEnd w:id="18"/>
      <w:r>
        <w:rPr>
          <w:rFonts w:hint="cs"/>
          <w:noProof/>
          <w:rtl/>
        </w:rPr>
        <w:t xml:space="preserve">פרק 2 </w:t>
      </w:r>
      <w:r>
        <w:rPr>
          <w:rFonts w:hint="cs"/>
          <w:noProof/>
        </w:rPr>
        <w:t>–</w:t>
      </w:r>
      <w:r>
        <w:rPr>
          <w:rFonts w:hint="cs"/>
          <w:noProof/>
          <w:rtl/>
        </w:rPr>
        <w:t xml:space="preserve"> כתבים שלא מבי דין</w:t>
      </w:r>
    </w:p>
    <w:p w14:paraId="6B2959CF" w14:textId="77777777" w:rsidR="00175826" w:rsidRDefault="00175826">
      <w:pPr>
        <w:pStyle w:val="medium-header"/>
        <w:keepNext w:val="0"/>
        <w:keepLines w:val="0"/>
        <w:ind w:left="0" w:right="1134"/>
        <w:rPr>
          <w:rFonts w:hint="cs"/>
          <w:rtl/>
        </w:rPr>
      </w:pPr>
      <w:r>
        <w:rPr>
          <w:rFonts w:hint="cs"/>
          <w:rtl/>
        </w:rPr>
        <w:t>סעיף 17</w:t>
      </w:r>
    </w:p>
    <w:p w14:paraId="2C67511D" w14:textId="77777777" w:rsidR="00175826" w:rsidRDefault="00175826">
      <w:pPr>
        <w:pStyle w:val="P00"/>
        <w:spacing w:before="72"/>
        <w:ind w:left="0" w:right="1134"/>
        <w:rPr>
          <w:rStyle w:val="default"/>
          <w:rFonts w:cs="FrankRuehl" w:hint="cs"/>
          <w:rtl/>
        </w:rPr>
      </w:pPr>
      <w:r>
        <w:rPr>
          <w:rStyle w:val="default"/>
          <w:rFonts w:cs="FrankRuehl" w:hint="cs"/>
          <w:rtl/>
        </w:rPr>
        <w:tab/>
        <w:t>כתבים שלא מבי דין, הנובעים מרשויות או מפקידים משפטיים של מדינה בעלת האמנה, אפשר להעבירם, לשם המצאה במדינה אחרת בעלת האמנה, לפי הדרכים והתנאים שנקבעו באמנה זו.</w:t>
      </w:r>
    </w:p>
    <w:p w14:paraId="129F8334" w14:textId="77777777" w:rsidR="00175826" w:rsidRDefault="00175826">
      <w:pPr>
        <w:pStyle w:val="medium2-header"/>
        <w:keepLines w:val="0"/>
        <w:spacing w:before="72"/>
        <w:ind w:left="0" w:right="1134"/>
        <w:rPr>
          <w:rFonts w:hint="cs"/>
          <w:noProof/>
          <w:rtl/>
        </w:rPr>
      </w:pPr>
      <w:bookmarkStart w:id="19" w:name="med8"/>
      <w:bookmarkEnd w:id="19"/>
      <w:r>
        <w:rPr>
          <w:rFonts w:hint="cs"/>
          <w:noProof/>
          <w:rtl/>
        </w:rPr>
        <w:t>פרק 3 – הוראות כלליות</w:t>
      </w:r>
    </w:p>
    <w:p w14:paraId="0C79282D" w14:textId="77777777" w:rsidR="00175826" w:rsidRDefault="00175826">
      <w:pPr>
        <w:pStyle w:val="medium-header"/>
        <w:keepNext w:val="0"/>
        <w:keepLines w:val="0"/>
        <w:ind w:left="0" w:right="1134"/>
        <w:rPr>
          <w:rFonts w:hint="cs"/>
          <w:rtl/>
        </w:rPr>
      </w:pPr>
      <w:r>
        <w:rPr>
          <w:rFonts w:hint="cs"/>
          <w:rtl/>
        </w:rPr>
        <w:t>סעיף 18</w:t>
      </w:r>
    </w:p>
    <w:p w14:paraId="1F07085D"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בעלת האמנה רשאית לציין, נוסף לרשות המרכזית, רשויות אחרות, אשר היא תקבע את סמכותן.</w:t>
      </w:r>
    </w:p>
    <w:p w14:paraId="6BD88C3C" w14:textId="77777777" w:rsidR="00175826" w:rsidRDefault="00175826">
      <w:pPr>
        <w:pStyle w:val="P00"/>
        <w:spacing w:before="72"/>
        <w:ind w:left="0" w:right="1134"/>
        <w:rPr>
          <w:rStyle w:val="default"/>
          <w:rFonts w:cs="FrankRuehl" w:hint="cs"/>
          <w:rtl/>
        </w:rPr>
      </w:pPr>
      <w:r>
        <w:rPr>
          <w:rStyle w:val="default"/>
          <w:rFonts w:cs="FrankRuehl" w:hint="cs"/>
          <w:rtl/>
        </w:rPr>
        <w:tab/>
        <w:t>אף על פי כן, הזכות בידי המבקש, תמיד, לפנות במישרין אל הרשות המרכזית.</w:t>
      </w:r>
    </w:p>
    <w:p w14:paraId="6D88B954" w14:textId="77777777" w:rsidR="00175826" w:rsidRDefault="00175826">
      <w:pPr>
        <w:pStyle w:val="P00"/>
        <w:spacing w:before="72"/>
        <w:ind w:left="0" w:right="1134"/>
        <w:rPr>
          <w:rStyle w:val="default"/>
          <w:rFonts w:cs="FrankRuehl" w:hint="cs"/>
          <w:rtl/>
        </w:rPr>
      </w:pPr>
      <w:r>
        <w:rPr>
          <w:rStyle w:val="default"/>
          <w:rFonts w:cs="FrankRuehl" w:hint="cs"/>
          <w:rtl/>
        </w:rPr>
        <w:tab/>
        <w:t>בידי המדינות הפדרליות נתונה האפשרות לציין רשויות מרכזיות אחדות.</w:t>
      </w:r>
    </w:p>
    <w:p w14:paraId="313ABC22" w14:textId="77777777" w:rsidR="00175826" w:rsidRDefault="00175826">
      <w:pPr>
        <w:pStyle w:val="medium-header"/>
        <w:keepNext w:val="0"/>
        <w:keepLines w:val="0"/>
        <w:ind w:left="0" w:right="1134"/>
        <w:rPr>
          <w:rFonts w:hint="cs"/>
          <w:rtl/>
        </w:rPr>
      </w:pPr>
      <w:r>
        <w:rPr>
          <w:rFonts w:hint="cs"/>
          <w:rtl/>
        </w:rPr>
        <w:t>סעיף 19</w:t>
      </w:r>
    </w:p>
    <w:p w14:paraId="35503E7E" w14:textId="77777777" w:rsidR="00175826" w:rsidRDefault="00175826">
      <w:pPr>
        <w:pStyle w:val="P00"/>
        <w:spacing w:before="72"/>
        <w:ind w:left="0" w:right="1134"/>
        <w:rPr>
          <w:rStyle w:val="default"/>
          <w:rFonts w:cs="FrankRuehl" w:hint="cs"/>
          <w:rtl/>
        </w:rPr>
      </w:pPr>
      <w:r>
        <w:rPr>
          <w:rStyle w:val="default"/>
          <w:rFonts w:cs="FrankRuehl" w:hint="cs"/>
          <w:rtl/>
        </w:rPr>
        <w:tab/>
        <w:t>אמנה זו לא תמנע כי החוק הפנימי של מדינה בעלת האמנה יתיר צורות העברה אחרות שלא נקבעו בסעיפים הקודמים, לשם המצאתם, בשטח ארצה, של כתבים הבאים מחוץ לארץ.</w:t>
      </w:r>
    </w:p>
    <w:p w14:paraId="627A2EF4" w14:textId="77777777" w:rsidR="00175826" w:rsidRDefault="00175826">
      <w:pPr>
        <w:pStyle w:val="medium-header"/>
        <w:keepNext w:val="0"/>
        <w:keepLines w:val="0"/>
        <w:ind w:left="0" w:right="1134"/>
        <w:rPr>
          <w:rFonts w:hint="cs"/>
          <w:rtl/>
        </w:rPr>
      </w:pPr>
      <w:r>
        <w:rPr>
          <w:rFonts w:hint="cs"/>
          <w:rtl/>
        </w:rPr>
        <w:t>סעיף 20</w:t>
      </w:r>
    </w:p>
    <w:p w14:paraId="046835EA" w14:textId="77777777" w:rsidR="00175826" w:rsidRDefault="00175826">
      <w:pPr>
        <w:pStyle w:val="P00"/>
        <w:spacing w:before="72"/>
        <w:ind w:left="0" w:right="1134"/>
        <w:rPr>
          <w:rStyle w:val="default"/>
          <w:rFonts w:cs="FrankRuehl" w:hint="cs"/>
          <w:rtl/>
        </w:rPr>
      </w:pPr>
      <w:r>
        <w:rPr>
          <w:rStyle w:val="default"/>
          <w:rFonts w:cs="FrankRuehl" w:hint="cs"/>
          <w:rtl/>
        </w:rPr>
        <w:tab/>
        <w:t>אמנה זו לא תמנע כי מדינות בעלות האמנה יבואו לכלל הסכם ביניהן לשם ויתור על:</w:t>
      </w:r>
    </w:p>
    <w:p w14:paraId="2CE8FB5F" w14:textId="77777777" w:rsidR="00175826" w:rsidRDefault="001758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הצורך בעותקים כפולים של המסמכים המועברים, כנדרש בפסקה השניה לסעיף 3,</w:t>
      </w:r>
    </w:p>
    <w:p w14:paraId="0100292F" w14:textId="77777777" w:rsidR="00175826" w:rsidRDefault="001758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הדרישות לעניין השימוש בשפה, של הפסקה השלישית לסעיף 5 וסעיף 7,</w:t>
      </w:r>
    </w:p>
    <w:p w14:paraId="7E388FFD" w14:textId="77777777" w:rsidR="00175826" w:rsidRDefault="0017582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הוראות הפסקה הרביעית לסעיף 5,</w:t>
      </w:r>
    </w:p>
    <w:p w14:paraId="5AF8EBA6" w14:textId="77777777" w:rsidR="00175826" w:rsidRDefault="0017582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הוראות הפסקה השניה לסעיף 12.</w:t>
      </w:r>
    </w:p>
    <w:p w14:paraId="1A7525BC" w14:textId="77777777" w:rsidR="00175826" w:rsidRDefault="00175826">
      <w:pPr>
        <w:pStyle w:val="medium-header"/>
        <w:keepNext w:val="0"/>
        <w:keepLines w:val="0"/>
        <w:ind w:left="0" w:right="1134"/>
        <w:rPr>
          <w:rFonts w:hint="cs"/>
          <w:rtl/>
        </w:rPr>
      </w:pPr>
      <w:r>
        <w:rPr>
          <w:rFonts w:hint="cs"/>
          <w:rtl/>
        </w:rPr>
        <w:t>סעיף 21</w:t>
      </w:r>
    </w:p>
    <w:p w14:paraId="1B355C64"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בעלת האמנה תודיע למיניסטריון לעניני חוץ של הולנד, אם בשעת הפקדתו של כתב אישרורה או הצטרפותה ואם לאחר מכן, על:</w:t>
      </w:r>
    </w:p>
    <w:p w14:paraId="6926198E" w14:textId="77777777" w:rsidR="00175826" w:rsidRDefault="001758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ציונן של הרשויות שנקבעו בסעיפים 2 ו-18,</w:t>
      </w:r>
    </w:p>
    <w:p w14:paraId="75AF4362" w14:textId="77777777" w:rsidR="00175826" w:rsidRDefault="001758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ציונה של הרשות המוסמכת לשם עריכת תעודת האישור שנקבעה בסעיף 6,</w:t>
      </w:r>
    </w:p>
    <w:p w14:paraId="5FB90EE5" w14:textId="77777777" w:rsidR="00175826" w:rsidRDefault="0017582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ציונה של הרשות המוסמכת לשם קבלתם של הכתבים שהועברו בצינורות הקונסולריים לפי סעיף 9.</w:t>
      </w:r>
    </w:p>
    <w:p w14:paraId="597D509D" w14:textId="77777777" w:rsidR="00175826" w:rsidRDefault="00175826">
      <w:pPr>
        <w:pStyle w:val="P00"/>
        <w:spacing w:before="72"/>
        <w:ind w:left="0" w:right="1134"/>
        <w:rPr>
          <w:rStyle w:val="default"/>
          <w:rFonts w:cs="FrankRuehl" w:hint="cs"/>
          <w:rtl/>
        </w:rPr>
      </w:pPr>
      <w:r>
        <w:rPr>
          <w:rStyle w:val="default"/>
          <w:rFonts w:cs="FrankRuehl" w:hint="cs"/>
          <w:rtl/>
        </w:rPr>
        <w:tab/>
        <w:t>היא תודיע, בשעת הצורך, באותם התנאים:</w:t>
      </w:r>
    </w:p>
    <w:p w14:paraId="378A86AE" w14:textId="77777777" w:rsidR="00175826" w:rsidRDefault="001758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על התנגדותה לשימוש בדרכי ההעברה שנקבעו בסעיפים 8 ו-10,</w:t>
      </w:r>
    </w:p>
    <w:p w14:paraId="585D8D69" w14:textId="77777777" w:rsidR="00175826" w:rsidRDefault="001758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על ההצהרות האמורות בסעיפים 15, פסקה 2, ו-16, פסקה 3,</w:t>
      </w:r>
    </w:p>
    <w:p w14:paraId="1806EAEF" w14:textId="77777777" w:rsidR="00175826" w:rsidRDefault="0017582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על כל שינוי של הציונים, ההתנגדות וההצהרות שצויינו לעיל.</w:t>
      </w:r>
    </w:p>
    <w:p w14:paraId="5C6F9AFB" w14:textId="77777777" w:rsidR="00175826" w:rsidRDefault="00175826">
      <w:pPr>
        <w:pStyle w:val="medium-header"/>
        <w:keepNext w:val="0"/>
        <w:keepLines w:val="0"/>
        <w:ind w:left="0" w:right="1134"/>
        <w:rPr>
          <w:rFonts w:hint="cs"/>
          <w:rtl/>
        </w:rPr>
      </w:pPr>
      <w:r>
        <w:rPr>
          <w:rFonts w:hint="cs"/>
          <w:rtl/>
        </w:rPr>
        <w:t>סעיף 22</w:t>
      </w:r>
    </w:p>
    <w:p w14:paraId="409965F3" w14:textId="77777777" w:rsidR="00175826" w:rsidRDefault="00175826">
      <w:pPr>
        <w:pStyle w:val="P00"/>
        <w:spacing w:before="72"/>
        <w:ind w:left="0" w:right="1134"/>
        <w:rPr>
          <w:rStyle w:val="default"/>
          <w:rFonts w:cs="FrankRuehl" w:hint="cs"/>
          <w:rtl/>
        </w:rPr>
      </w:pPr>
      <w:r>
        <w:rPr>
          <w:rStyle w:val="default"/>
          <w:rFonts w:cs="FrankRuehl" w:hint="cs"/>
          <w:rtl/>
        </w:rPr>
        <w:tab/>
        <w:t>אמנה זו תבוא במקומם של סעיפים 1 עד 7 של האמנות בדבר סדרי הדין האזרחי, שנחתמו בהאג ביום 17 ביולי, 1905, וביום 1 במארס, 1954, לגבי היחסים בין המדינות אשר יאשררוה, ככל שהמדינות האמורות הן צדדים לאחת או לאחרת מבין האמנות הללו.</w:t>
      </w:r>
    </w:p>
    <w:p w14:paraId="57E90227" w14:textId="77777777" w:rsidR="00175826" w:rsidRDefault="00175826">
      <w:pPr>
        <w:pStyle w:val="medium-header"/>
        <w:keepNext w:val="0"/>
        <w:keepLines w:val="0"/>
        <w:ind w:left="0" w:right="1134"/>
        <w:rPr>
          <w:rFonts w:hint="cs"/>
          <w:rtl/>
        </w:rPr>
      </w:pPr>
      <w:r>
        <w:rPr>
          <w:rFonts w:hint="cs"/>
          <w:rtl/>
        </w:rPr>
        <w:t>סעיף 23</w:t>
      </w:r>
    </w:p>
    <w:p w14:paraId="21047B12" w14:textId="77777777" w:rsidR="00175826" w:rsidRDefault="00175826">
      <w:pPr>
        <w:pStyle w:val="P00"/>
        <w:spacing w:before="72"/>
        <w:ind w:left="0" w:right="1134"/>
        <w:rPr>
          <w:rStyle w:val="default"/>
          <w:rFonts w:cs="FrankRuehl" w:hint="cs"/>
          <w:rtl/>
        </w:rPr>
      </w:pPr>
      <w:r>
        <w:rPr>
          <w:rStyle w:val="default"/>
          <w:rFonts w:cs="FrankRuehl" w:hint="cs"/>
          <w:rtl/>
        </w:rPr>
        <w:tab/>
        <w:t>אמנה זו לא תפגע בהחלתו של סעיף 23 לאמנה בדבר סדרי הדין האזרחי, שנחתמה בהאג ביום 17 ביולי 1905, או בסעיף 24 לאמנה בדבר סדרי הדין האזרחי, שנחתמה בהאג ביום 1 במארס 1954.</w:t>
      </w:r>
    </w:p>
    <w:p w14:paraId="43F22067" w14:textId="77777777" w:rsidR="00175826" w:rsidRDefault="00175826">
      <w:pPr>
        <w:pStyle w:val="P00"/>
        <w:spacing w:before="72"/>
        <w:ind w:left="0" w:right="1134"/>
        <w:rPr>
          <w:rStyle w:val="default"/>
          <w:rFonts w:cs="FrankRuehl" w:hint="cs"/>
          <w:rtl/>
        </w:rPr>
      </w:pPr>
      <w:r>
        <w:rPr>
          <w:rStyle w:val="default"/>
          <w:rFonts w:cs="FrankRuehl" w:hint="cs"/>
          <w:rtl/>
        </w:rPr>
        <w:tab/>
        <w:t>אף על פי כן, לא יהיו סעיפים אלה בני החלה אלא מקום שמשתמשים בדרכי קשר זהות לאלה שנקבעו באמנות האמורות.</w:t>
      </w:r>
    </w:p>
    <w:p w14:paraId="3AD1F878" w14:textId="77777777" w:rsidR="00175826" w:rsidRDefault="00175826">
      <w:pPr>
        <w:pStyle w:val="medium-header"/>
        <w:keepNext w:val="0"/>
        <w:keepLines w:val="0"/>
        <w:ind w:left="0" w:right="1134"/>
        <w:rPr>
          <w:rFonts w:hint="cs"/>
          <w:rtl/>
        </w:rPr>
      </w:pPr>
      <w:r>
        <w:rPr>
          <w:rFonts w:hint="cs"/>
          <w:rtl/>
        </w:rPr>
        <w:t>סעיף 24</w:t>
      </w:r>
    </w:p>
    <w:p w14:paraId="2435E066" w14:textId="77777777" w:rsidR="00175826" w:rsidRDefault="00175826">
      <w:pPr>
        <w:pStyle w:val="P00"/>
        <w:spacing w:before="72"/>
        <w:ind w:left="0" w:right="1134"/>
        <w:rPr>
          <w:rStyle w:val="default"/>
          <w:rFonts w:cs="FrankRuehl" w:hint="cs"/>
          <w:rtl/>
        </w:rPr>
      </w:pPr>
      <w:r>
        <w:rPr>
          <w:rStyle w:val="default"/>
          <w:rFonts w:cs="FrankRuehl" w:hint="cs"/>
          <w:rtl/>
        </w:rPr>
        <w:tab/>
        <w:t>הסכמים משלימים בין צדדים לאמנות מ-1905 ו-1954, יהיו רואים אותם כחלים באותה מידה לגבי אמנה זו, אלא אם כן הסכימו הצדדים אחרת.</w:t>
      </w:r>
    </w:p>
    <w:p w14:paraId="41EE6380" w14:textId="77777777" w:rsidR="00175826" w:rsidRDefault="00175826">
      <w:pPr>
        <w:pStyle w:val="medium-header"/>
        <w:keepNext w:val="0"/>
        <w:keepLines w:val="0"/>
        <w:ind w:left="0" w:right="1134"/>
        <w:rPr>
          <w:rFonts w:hint="cs"/>
          <w:rtl/>
        </w:rPr>
      </w:pPr>
      <w:r>
        <w:rPr>
          <w:rFonts w:hint="cs"/>
          <w:rtl/>
        </w:rPr>
        <w:t>סעיף 25</w:t>
      </w:r>
    </w:p>
    <w:p w14:paraId="716BF30C" w14:textId="77777777" w:rsidR="00175826" w:rsidRDefault="00175826">
      <w:pPr>
        <w:pStyle w:val="P00"/>
        <w:spacing w:before="72"/>
        <w:ind w:left="0" w:right="1134"/>
        <w:rPr>
          <w:rStyle w:val="default"/>
          <w:rFonts w:cs="FrankRuehl" w:hint="cs"/>
          <w:rtl/>
        </w:rPr>
      </w:pPr>
      <w:r>
        <w:rPr>
          <w:rStyle w:val="default"/>
          <w:rFonts w:cs="FrankRuehl" w:hint="cs"/>
          <w:rtl/>
        </w:rPr>
        <w:tab/>
        <w:t>בלא לפגוע בהוראות סעיפים 22 ו-24, לא תגרע אמנה זו מן האמנות שלהן צדדים המדינות בעלות האמנה, או יהיו צדדים כאמור, והכוללות הוראות בענינים המוסדרים באמנה זו.</w:t>
      </w:r>
    </w:p>
    <w:p w14:paraId="5558137C" w14:textId="77777777" w:rsidR="00175826" w:rsidRDefault="00175826">
      <w:pPr>
        <w:pStyle w:val="medium-header"/>
        <w:keepNext w:val="0"/>
        <w:keepLines w:val="0"/>
        <w:ind w:left="0" w:right="1134"/>
        <w:rPr>
          <w:rFonts w:hint="cs"/>
          <w:rtl/>
        </w:rPr>
      </w:pPr>
      <w:r>
        <w:rPr>
          <w:rFonts w:hint="cs"/>
          <w:rtl/>
        </w:rPr>
        <w:t>סעיף 26</w:t>
      </w:r>
    </w:p>
    <w:p w14:paraId="2EF06D44" w14:textId="77777777" w:rsidR="00175826" w:rsidRDefault="00175826">
      <w:pPr>
        <w:pStyle w:val="P00"/>
        <w:spacing w:before="72"/>
        <w:ind w:left="0" w:right="1134"/>
        <w:rPr>
          <w:rStyle w:val="default"/>
          <w:rFonts w:cs="FrankRuehl" w:hint="cs"/>
          <w:rtl/>
        </w:rPr>
      </w:pPr>
      <w:r>
        <w:rPr>
          <w:rStyle w:val="default"/>
          <w:rFonts w:cs="FrankRuehl" w:hint="cs"/>
          <w:rtl/>
        </w:rPr>
        <w:tab/>
        <w:t>אמנה זאת פתוחה לחתימתן של המדינות שיוצגו במושב העשירי של ועידת האג למשפט בין לאומי פרטי.</w:t>
      </w:r>
    </w:p>
    <w:p w14:paraId="589C8EC9" w14:textId="77777777" w:rsidR="00175826" w:rsidRDefault="00175826">
      <w:pPr>
        <w:pStyle w:val="P00"/>
        <w:spacing w:before="72"/>
        <w:ind w:left="0" w:right="1134"/>
        <w:rPr>
          <w:rStyle w:val="default"/>
          <w:rFonts w:cs="FrankRuehl" w:hint="cs"/>
          <w:rtl/>
        </w:rPr>
      </w:pPr>
      <w:r>
        <w:rPr>
          <w:rStyle w:val="default"/>
          <w:rFonts w:cs="FrankRuehl" w:hint="cs"/>
          <w:rtl/>
        </w:rPr>
        <w:tab/>
        <w:t>היא טעונה אישרור, וכתבי האישרור יופקדו אצל המיניסטריון לעניני חוץ של הולנד.</w:t>
      </w:r>
    </w:p>
    <w:p w14:paraId="091EA0FF" w14:textId="77777777" w:rsidR="00175826" w:rsidRDefault="00175826">
      <w:pPr>
        <w:pStyle w:val="medium-header"/>
        <w:keepNext w:val="0"/>
        <w:keepLines w:val="0"/>
        <w:ind w:left="0" w:right="1134"/>
        <w:rPr>
          <w:rFonts w:hint="cs"/>
          <w:rtl/>
        </w:rPr>
      </w:pPr>
      <w:r>
        <w:rPr>
          <w:rFonts w:hint="cs"/>
          <w:rtl/>
        </w:rPr>
        <w:t>סעיף 27</w:t>
      </w:r>
    </w:p>
    <w:p w14:paraId="7713004B" w14:textId="77777777" w:rsidR="00175826" w:rsidRDefault="00175826">
      <w:pPr>
        <w:pStyle w:val="P00"/>
        <w:spacing w:before="72"/>
        <w:ind w:left="0" w:right="1134"/>
        <w:rPr>
          <w:rStyle w:val="default"/>
          <w:rFonts w:cs="FrankRuehl" w:hint="cs"/>
          <w:rtl/>
        </w:rPr>
      </w:pPr>
      <w:r>
        <w:rPr>
          <w:rStyle w:val="default"/>
          <w:rFonts w:cs="FrankRuehl" w:hint="cs"/>
          <w:rtl/>
        </w:rPr>
        <w:tab/>
        <w:t>אמנה זאת תיכנס לתוקפה ביום הששים לאחר הפקדתו של כתב האישרור השלישי האמור בסעיף 26, פסקה 2.</w:t>
      </w:r>
    </w:p>
    <w:p w14:paraId="2EFF3D26" w14:textId="77777777" w:rsidR="00175826" w:rsidRDefault="00175826">
      <w:pPr>
        <w:pStyle w:val="P00"/>
        <w:spacing w:before="72"/>
        <w:ind w:left="0" w:right="1134"/>
        <w:rPr>
          <w:rStyle w:val="default"/>
          <w:rFonts w:cs="FrankRuehl" w:hint="cs"/>
          <w:rtl/>
        </w:rPr>
      </w:pPr>
      <w:r>
        <w:rPr>
          <w:rStyle w:val="default"/>
          <w:rFonts w:cs="FrankRuehl" w:hint="cs"/>
          <w:rtl/>
        </w:rPr>
        <w:tab/>
        <w:t>האמנה תיכנס לתוקפה לגבי כל מדינה חתומה המאשררת את האמנה לאחר מכן ביום הששים לאחר הפקדת כתב אישרורה.</w:t>
      </w:r>
    </w:p>
    <w:p w14:paraId="10D9B70B" w14:textId="77777777" w:rsidR="00175826" w:rsidRDefault="00175826">
      <w:pPr>
        <w:pStyle w:val="medium-header"/>
        <w:keepNext w:val="0"/>
        <w:keepLines w:val="0"/>
        <w:ind w:left="0" w:right="1134"/>
        <w:rPr>
          <w:rFonts w:hint="cs"/>
          <w:rtl/>
        </w:rPr>
      </w:pPr>
      <w:r>
        <w:rPr>
          <w:rFonts w:hint="cs"/>
          <w:rtl/>
        </w:rPr>
        <w:t>סעיף 28</w:t>
      </w:r>
    </w:p>
    <w:p w14:paraId="0B4FEB7A"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שלא יוצגה במושב העשירי של ועידת האג למשפט בין-לאומי פרטי תוכל להצטרף לאמנה זו לאחר כניסתה לתוקף, בהתאם לסעיף 27, פסקה ראשונה. כתב ההצטרפות יופקד אצל המיניסטריון לעניני חוץ של הולנד.</w:t>
      </w:r>
    </w:p>
    <w:p w14:paraId="14096FEE" w14:textId="77777777" w:rsidR="00175826" w:rsidRDefault="00175826">
      <w:pPr>
        <w:pStyle w:val="P00"/>
        <w:spacing w:before="72"/>
        <w:ind w:left="0" w:right="1134"/>
        <w:rPr>
          <w:rStyle w:val="default"/>
          <w:rFonts w:cs="FrankRuehl" w:hint="cs"/>
          <w:rtl/>
        </w:rPr>
      </w:pPr>
      <w:r>
        <w:rPr>
          <w:rStyle w:val="default"/>
          <w:rFonts w:cs="FrankRuehl" w:hint="cs"/>
          <w:rtl/>
        </w:rPr>
        <w:tab/>
        <w:t>האמנה תיכנס לתוקפה לגבי מדינה כאמור בהעדר כל התנגדות מצדה של מדינה, אשר אישררה את האמנה לפני הפקדה זו, שנמסרה הודעה עליה למיניסטריון לעניני חוץ של הולנד תוך פרק זמן של ששה חודשים לאחר התאריך שבו הודיע לה מיניסטריון זה על הצטרפות זו.</w:t>
      </w:r>
    </w:p>
    <w:p w14:paraId="4917B150" w14:textId="77777777" w:rsidR="00175826" w:rsidRDefault="00175826">
      <w:pPr>
        <w:pStyle w:val="P00"/>
        <w:spacing w:before="72"/>
        <w:ind w:left="0" w:right="1134"/>
        <w:rPr>
          <w:rStyle w:val="default"/>
          <w:rFonts w:cs="FrankRuehl" w:hint="cs"/>
          <w:rtl/>
        </w:rPr>
      </w:pPr>
      <w:r>
        <w:rPr>
          <w:rStyle w:val="default"/>
          <w:rFonts w:cs="FrankRuehl" w:hint="cs"/>
          <w:rtl/>
        </w:rPr>
        <w:tab/>
        <w:t>בהעדר התנגדות תיכנס האמנה לתוקפה לגבי המדינה המצטרפת ביום הראשון לחודש שלאחר תום האחרון בפרקי הזמן שצויינו בפסקה הקודמת.</w:t>
      </w:r>
    </w:p>
    <w:p w14:paraId="2CFA1837" w14:textId="77777777" w:rsidR="00175826" w:rsidRDefault="00175826">
      <w:pPr>
        <w:pStyle w:val="medium-header"/>
        <w:keepNext w:val="0"/>
        <w:keepLines w:val="0"/>
        <w:ind w:left="0" w:right="1134"/>
        <w:rPr>
          <w:rFonts w:hint="cs"/>
          <w:rtl/>
        </w:rPr>
      </w:pPr>
      <w:r>
        <w:rPr>
          <w:rFonts w:hint="cs"/>
          <w:rtl/>
        </w:rPr>
        <w:t>סעיף 29</w:t>
      </w:r>
    </w:p>
    <w:p w14:paraId="117FBAC5" w14:textId="77777777" w:rsidR="00175826" w:rsidRDefault="00175826">
      <w:pPr>
        <w:pStyle w:val="P00"/>
        <w:spacing w:before="72"/>
        <w:ind w:left="0" w:right="1134"/>
        <w:rPr>
          <w:rStyle w:val="default"/>
          <w:rFonts w:cs="FrankRuehl" w:hint="cs"/>
          <w:rtl/>
        </w:rPr>
      </w:pPr>
      <w:r>
        <w:rPr>
          <w:rStyle w:val="default"/>
          <w:rFonts w:cs="FrankRuehl" w:hint="cs"/>
          <w:rtl/>
        </w:rPr>
        <w:tab/>
        <w:t>כל מדינה רשאית להצהיר, בעת החתימה, האישרור או ההצטרפות, כי אמנה זו תחול על כל שטחי הארץ שהיא אחראית ליחסיהם הבין-לאומיים, או על אחד או אחדים מהם. הצהרה זו תנא בת פועל בתאריך כניסת האמנה לתוקפה לגבי המדינה הנוגעת בדבר. בכל זמן לאחר מכן, יודיעו על כל החלה מסוג זה למיניסטריון לעניני חוץ של הולנד.</w:t>
      </w:r>
    </w:p>
    <w:p w14:paraId="6C2CC14D" w14:textId="77777777" w:rsidR="00175826" w:rsidRDefault="00175826">
      <w:pPr>
        <w:pStyle w:val="P00"/>
        <w:spacing w:before="72"/>
        <w:ind w:left="0" w:right="1134"/>
        <w:rPr>
          <w:rStyle w:val="default"/>
          <w:rFonts w:cs="FrankRuehl" w:hint="cs"/>
          <w:rtl/>
        </w:rPr>
      </w:pPr>
      <w:r>
        <w:rPr>
          <w:rStyle w:val="default"/>
          <w:rFonts w:cs="FrankRuehl" w:hint="cs"/>
          <w:rtl/>
        </w:rPr>
        <w:tab/>
        <w:t>האמנה תיכנס לתוקפה לגבי שטחי הארץ שצויינו בהחלה כאמור ביום הששים לאחר ההודעה הנזכרה בפסקה הקודמת.</w:t>
      </w:r>
    </w:p>
    <w:p w14:paraId="0C00877C" w14:textId="77777777" w:rsidR="00175826" w:rsidRDefault="00175826">
      <w:pPr>
        <w:pStyle w:val="medium-header"/>
        <w:keepNext w:val="0"/>
        <w:keepLines w:val="0"/>
        <w:ind w:left="0" w:right="1134"/>
        <w:rPr>
          <w:rFonts w:hint="cs"/>
          <w:rtl/>
        </w:rPr>
      </w:pPr>
      <w:r>
        <w:rPr>
          <w:rFonts w:hint="cs"/>
          <w:rtl/>
        </w:rPr>
        <w:t>סעיף 30</w:t>
      </w:r>
    </w:p>
    <w:p w14:paraId="0B5A51BA" w14:textId="77777777" w:rsidR="00175826" w:rsidRDefault="00175826">
      <w:pPr>
        <w:pStyle w:val="P00"/>
        <w:spacing w:before="72"/>
        <w:ind w:left="0" w:right="1134"/>
        <w:rPr>
          <w:rStyle w:val="default"/>
          <w:rFonts w:cs="FrankRuehl" w:hint="cs"/>
          <w:rtl/>
        </w:rPr>
      </w:pPr>
      <w:r>
        <w:rPr>
          <w:rStyle w:val="default"/>
          <w:rFonts w:cs="FrankRuehl" w:hint="cs"/>
          <w:rtl/>
        </w:rPr>
        <w:tab/>
        <w:t>אמנה זו תעמוד בתוקפה למשך חמש שנים מתאריך כניסתה לתוקף בהתאם לפסקה הראשונה לסעיף 27, אפילו לגבי המדינות אשר יאשררוה, או יצטרפו אליה, לאחר מכן.</w:t>
      </w:r>
    </w:p>
    <w:p w14:paraId="22FE1075" w14:textId="77777777" w:rsidR="00175826" w:rsidRDefault="00175826">
      <w:pPr>
        <w:pStyle w:val="P00"/>
        <w:spacing w:before="72"/>
        <w:ind w:left="0" w:right="1134"/>
        <w:rPr>
          <w:rStyle w:val="default"/>
          <w:rFonts w:cs="FrankRuehl" w:hint="cs"/>
          <w:rtl/>
        </w:rPr>
      </w:pPr>
      <w:r>
        <w:rPr>
          <w:rStyle w:val="default"/>
          <w:rFonts w:cs="FrankRuehl" w:hint="cs"/>
          <w:rtl/>
        </w:rPr>
        <w:tab/>
        <w:t>האמנה תתחדש מאליה בכל חמש שנים, פרט למקרה של הסתלקות ממנה.</w:t>
      </w:r>
    </w:p>
    <w:p w14:paraId="07CA21B6" w14:textId="77777777" w:rsidR="00175826" w:rsidRDefault="00175826">
      <w:pPr>
        <w:pStyle w:val="P00"/>
        <w:spacing w:before="72"/>
        <w:ind w:left="0" w:right="1134"/>
        <w:rPr>
          <w:rStyle w:val="default"/>
          <w:rFonts w:cs="FrankRuehl" w:hint="cs"/>
          <w:rtl/>
        </w:rPr>
      </w:pPr>
      <w:r>
        <w:rPr>
          <w:rStyle w:val="default"/>
          <w:rFonts w:cs="FrankRuehl" w:hint="cs"/>
          <w:rtl/>
        </w:rPr>
        <w:tab/>
        <w:t>ההודעה על הסתלקות תינתן, לפחות ששה חודשים לפני תום התקופה של חמש שנים, למיניסטריון לעניני חוץ של הולנד.</w:t>
      </w:r>
    </w:p>
    <w:p w14:paraId="707C0859" w14:textId="77777777" w:rsidR="00175826" w:rsidRDefault="00175826">
      <w:pPr>
        <w:pStyle w:val="P00"/>
        <w:spacing w:before="72"/>
        <w:ind w:left="0" w:right="1134"/>
        <w:rPr>
          <w:rStyle w:val="default"/>
          <w:rFonts w:cs="FrankRuehl" w:hint="cs"/>
          <w:rtl/>
        </w:rPr>
      </w:pPr>
      <w:r>
        <w:rPr>
          <w:rStyle w:val="default"/>
          <w:rFonts w:cs="FrankRuehl" w:hint="cs"/>
          <w:rtl/>
        </w:rPr>
        <w:tab/>
        <w:t>ההסתלקות יכול שתהא מוגבלת לגבי אחדים משטחי הארץ שעליהם חלה האמנה.</w:t>
      </w:r>
    </w:p>
    <w:p w14:paraId="6159383D" w14:textId="77777777" w:rsidR="00175826" w:rsidRDefault="00175826">
      <w:pPr>
        <w:pStyle w:val="P00"/>
        <w:spacing w:before="72"/>
        <w:ind w:left="0" w:right="1134"/>
        <w:rPr>
          <w:rStyle w:val="default"/>
          <w:rFonts w:cs="FrankRuehl" w:hint="cs"/>
          <w:rtl/>
        </w:rPr>
      </w:pPr>
      <w:r>
        <w:rPr>
          <w:rStyle w:val="default"/>
          <w:rFonts w:cs="FrankRuehl" w:hint="cs"/>
          <w:rtl/>
        </w:rPr>
        <w:tab/>
        <w:t>ההסתלקות לא יהא כוחה יפה אלא לגבי המדינה שמסרה הודעה על כך. האמנה תוסיף לעמוד בתוקפה לגבי שאר המדינות בעלות האמנה.</w:t>
      </w:r>
    </w:p>
    <w:p w14:paraId="36CF6A61" w14:textId="77777777" w:rsidR="00175826" w:rsidRDefault="00175826">
      <w:pPr>
        <w:pStyle w:val="medium-header"/>
        <w:keepNext w:val="0"/>
        <w:keepLines w:val="0"/>
        <w:ind w:left="0" w:right="1134"/>
        <w:rPr>
          <w:rFonts w:hint="cs"/>
          <w:rtl/>
        </w:rPr>
      </w:pPr>
      <w:r>
        <w:rPr>
          <w:rFonts w:hint="cs"/>
          <w:rtl/>
        </w:rPr>
        <w:t>סעיף 31</w:t>
      </w:r>
    </w:p>
    <w:p w14:paraId="4E30EC7F" w14:textId="77777777" w:rsidR="00175826" w:rsidRDefault="00175826">
      <w:pPr>
        <w:pStyle w:val="P00"/>
        <w:spacing w:before="72"/>
        <w:ind w:left="0" w:right="1134"/>
        <w:rPr>
          <w:rStyle w:val="default"/>
          <w:rFonts w:cs="FrankRuehl" w:hint="cs"/>
          <w:rtl/>
        </w:rPr>
      </w:pPr>
      <w:r>
        <w:rPr>
          <w:rStyle w:val="default"/>
          <w:rFonts w:cs="FrankRuehl" w:hint="cs"/>
          <w:rtl/>
        </w:rPr>
        <w:tab/>
        <w:t>המיניסטריון לעניני חוץ של הולנד יודיע למדינות האמורות בסעיף 26, וכן למדינות אשר הצטרפו בהתאם להוראות סעיף 28 על:</w:t>
      </w:r>
    </w:p>
    <w:p w14:paraId="45ED9522" w14:textId="77777777" w:rsidR="00175826" w:rsidRDefault="001758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החתימות והאישרורים הנידונים בסעיף 26;</w:t>
      </w:r>
    </w:p>
    <w:p w14:paraId="467F20C1" w14:textId="77777777" w:rsidR="00175826" w:rsidRDefault="001758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התאריך שבו נכנסה אמנה זו לתוקפה בהתאם להוראות סעיף 27, פסקה ראשונה;</w:t>
      </w:r>
    </w:p>
    <w:p w14:paraId="16185911" w14:textId="77777777" w:rsidR="00175826" w:rsidRDefault="0017582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ההצטרפויות הנידונות בסעיף 28, והתאריך שבו נעשו בנות פועל;</w:t>
      </w:r>
    </w:p>
    <w:p w14:paraId="3F1DA98F" w14:textId="77777777" w:rsidR="00175826" w:rsidRDefault="0017582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הרחבות התחולה הנידונות בסעיף 29, והתאריך שבו נעשו בנות פועל;</w:t>
      </w:r>
    </w:p>
    <w:p w14:paraId="6FFE9841" w14:textId="77777777" w:rsidR="00175826" w:rsidRDefault="00175826">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הציונים, ההתנגדות וההצהרות הנזכרים בסעיף 21;</w:t>
      </w:r>
    </w:p>
    <w:p w14:paraId="1523F67E" w14:textId="77777777" w:rsidR="00175826" w:rsidRDefault="00175826">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ההסתלקויות הנידונות בסעיף 30, פסקה 3.</w:t>
      </w:r>
    </w:p>
    <w:p w14:paraId="1FB40370" w14:textId="77777777" w:rsidR="00175826" w:rsidRDefault="00175826">
      <w:pPr>
        <w:pStyle w:val="P00"/>
        <w:spacing w:before="72"/>
        <w:ind w:left="0" w:right="1134"/>
        <w:rPr>
          <w:rStyle w:val="default"/>
          <w:rFonts w:cs="FrankRuehl" w:hint="cs"/>
          <w:rtl/>
        </w:rPr>
      </w:pPr>
      <w:r>
        <w:rPr>
          <w:rStyle w:val="default"/>
          <w:rFonts w:cs="FrankRuehl" w:hint="cs"/>
          <w:rtl/>
        </w:rPr>
        <w:tab/>
        <w:t>ולראיה חתמו החתומים מטה, שהורשו לכך כדין, על אמנה זו.</w:t>
      </w:r>
    </w:p>
    <w:p w14:paraId="57F493FC" w14:textId="77777777" w:rsidR="00175826" w:rsidRDefault="00175826">
      <w:pPr>
        <w:pStyle w:val="P00"/>
        <w:spacing w:before="72"/>
        <w:ind w:left="0" w:right="1134"/>
        <w:rPr>
          <w:rStyle w:val="default"/>
          <w:rFonts w:cs="FrankRuehl" w:hint="cs"/>
          <w:rtl/>
        </w:rPr>
      </w:pPr>
      <w:r>
        <w:rPr>
          <w:rStyle w:val="default"/>
          <w:rFonts w:cs="FrankRuehl" w:hint="cs"/>
          <w:rtl/>
        </w:rPr>
        <w:tab/>
        <w:t>נעשה בהאג, ביום 15 בנובמבר 1965, בצרפתית ובאנגלית, ולשני הנוסחים דין מקור במידה שווה, בעותק יחיד אשר יופקד בארכיונה של ממשלת הולנד, ואשר העתק הימנו, שיאושר כנכון, יימסר, דרך הצינורות הדיפלומטיים, לכל אחת מן המדינות שיוצגו במושב העשירי של ועידת האג למשפט בין לאומי פרטי.</w:t>
      </w:r>
    </w:p>
    <w:p w14:paraId="5CDE2281" w14:textId="77777777" w:rsidR="00175826" w:rsidRDefault="00175826">
      <w:pPr>
        <w:pStyle w:val="P00"/>
        <w:spacing w:before="72"/>
        <w:ind w:left="0" w:right="1134"/>
        <w:rPr>
          <w:rStyle w:val="default"/>
          <w:rFonts w:cs="FrankRuehl" w:hint="cs"/>
          <w:rtl/>
        </w:rPr>
      </w:pPr>
    </w:p>
    <w:p w14:paraId="50DEA7A6" w14:textId="77777777" w:rsidR="00175826" w:rsidRDefault="00175826">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נספח לאמנה</w:t>
      </w:r>
    </w:p>
    <w:p w14:paraId="08D25DA8" w14:textId="77777777" w:rsidR="00801422" w:rsidRDefault="00A112CC" w:rsidP="00801422">
      <w:pPr>
        <w:pStyle w:val="P00"/>
        <w:spacing w:before="72"/>
        <w:ind w:left="0" w:right="1134"/>
        <w:jc w:val="left"/>
        <w:rPr>
          <w:rStyle w:val="default"/>
          <w:rFonts w:cs="FrankRuehl"/>
          <w:b/>
          <w:bCs/>
          <w:sz w:val="22"/>
          <w:szCs w:val="22"/>
        </w:rPr>
      </w:pPr>
      <w:hyperlink r:id="rId6" w:history="1">
        <w:r w:rsidR="00801422" w:rsidRPr="00A112CC">
          <w:rPr>
            <w:rStyle w:val="Hyperlink"/>
            <w:sz w:val="24"/>
            <w:szCs w:val="24"/>
          </w:rPr>
          <w:t>]</w:t>
        </w:r>
        <w:r w:rsidR="00801422" w:rsidRPr="00A112CC">
          <w:rPr>
            <w:rStyle w:val="Hyperlink"/>
            <w:rFonts w:hint="cs"/>
            <w:sz w:val="24"/>
            <w:szCs w:val="24"/>
            <w:rtl/>
          </w:rPr>
          <w:t>בקשה</w:t>
        </w:r>
        <w:r w:rsidR="00801422" w:rsidRPr="00A112CC">
          <w:rPr>
            <w:rStyle w:val="Hyperlink"/>
            <w:sz w:val="24"/>
            <w:szCs w:val="24"/>
          </w:rPr>
          <w:t xml:space="preserve"> </w:t>
        </w:r>
        <w:r w:rsidR="00801422" w:rsidRPr="00A112CC">
          <w:rPr>
            <w:rStyle w:val="Hyperlink"/>
            <w:rFonts w:hint="cs"/>
            <w:sz w:val="24"/>
            <w:szCs w:val="24"/>
            <w:rtl/>
          </w:rPr>
          <w:t>להמצאה בחוץ לארץ של כתבי בי דין וכתבים שלא מבי דין</w:t>
        </w:r>
      </w:hyperlink>
      <w:r w:rsidR="00801422" w:rsidRPr="001D0282">
        <w:rPr>
          <w:rStyle w:val="default"/>
          <w:rFonts w:cs="FrankRuehl"/>
          <w:sz w:val="24"/>
          <w:szCs w:val="24"/>
        </w:rPr>
        <w:t>[</w:t>
      </w:r>
    </w:p>
    <w:p w14:paraId="095F9B0D" w14:textId="77777777" w:rsidR="00175826" w:rsidRDefault="0080142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b/>
          <w:bCs/>
          <w:sz w:val="22"/>
          <w:szCs w:val="22"/>
        </w:rPr>
        <w:t xml:space="preserve"> </w:t>
      </w:r>
    </w:p>
    <w:p w14:paraId="33CBEADC" w14:textId="77777777" w:rsidR="00175826" w:rsidRDefault="00175826">
      <w:pPr>
        <w:pStyle w:val="P00"/>
        <w:spacing w:before="72"/>
        <w:ind w:left="0" w:right="1134"/>
        <w:rPr>
          <w:rStyle w:val="default"/>
          <w:rFonts w:cs="FrankRuehl" w:hint="cs"/>
          <w:sz w:val="22"/>
          <w:szCs w:val="22"/>
          <w:rtl/>
        </w:rPr>
      </w:pPr>
    </w:p>
    <w:p w14:paraId="30FDC90C" w14:textId="77777777" w:rsidR="00175826" w:rsidRDefault="00175826">
      <w:pPr>
        <w:pStyle w:val="P00"/>
        <w:spacing w:before="72"/>
        <w:ind w:left="0" w:right="1134"/>
        <w:rPr>
          <w:rStyle w:val="default"/>
          <w:rFonts w:cs="FrankRuehl" w:hint="cs"/>
          <w:sz w:val="22"/>
          <w:szCs w:val="22"/>
          <w:rtl/>
        </w:rPr>
      </w:pPr>
      <w:r>
        <w:rPr>
          <w:rStyle w:val="default"/>
          <w:rFonts w:cs="FrankRuehl" w:hint="cs"/>
          <w:sz w:val="22"/>
          <w:szCs w:val="22"/>
          <w:rtl/>
        </w:rPr>
        <w:t>(חלק מהתוספת הושמט, ר' קובץ התקנות)</w:t>
      </w:r>
    </w:p>
    <w:p w14:paraId="1316A402" w14:textId="77777777" w:rsidR="00175826" w:rsidRDefault="00175826">
      <w:pPr>
        <w:pStyle w:val="P00"/>
        <w:spacing w:before="72"/>
        <w:ind w:left="0" w:right="1134"/>
        <w:rPr>
          <w:rStyle w:val="default"/>
          <w:rFonts w:cs="FrankRuehl" w:hint="cs"/>
          <w:rtl/>
        </w:rPr>
      </w:pPr>
    </w:p>
    <w:p w14:paraId="669EA19D" w14:textId="77777777" w:rsidR="00175826" w:rsidRDefault="00175826">
      <w:pPr>
        <w:pStyle w:val="P00"/>
        <w:spacing w:before="72"/>
        <w:ind w:left="0" w:right="1134"/>
        <w:jc w:val="center"/>
        <w:rPr>
          <w:rStyle w:val="default"/>
          <w:rFonts w:cs="FrankRuehl" w:hint="cs"/>
          <w:b/>
          <w:bCs/>
          <w:rtl/>
        </w:rPr>
      </w:pPr>
      <w:r>
        <w:rPr>
          <w:b/>
          <w:bCs/>
          <w:rtl/>
          <w:lang w:val="he-IL"/>
        </w:rPr>
        <w:pict w14:anchorId="012E6BC8">
          <v:shapetype id="_x0000_t202" coordsize="21600,21600" o:spt="202" path="m,l,21600r21600,l21600,xe">
            <v:stroke joinstyle="miter"/>
            <v:path gradientshapeok="t" o:connecttype="rect"/>
          </v:shapetype>
          <v:shape id="_x0000_s1037" type="#_x0000_t202" style="position:absolute;left:0;text-align:left;margin-left:470.25pt;margin-top:7.1pt;width:1in;height:13.7pt;z-index:251663360" filled="f" stroked="f">
            <v:textbox inset="1mm,0,1mm,0">
              <w:txbxContent>
                <w:p w14:paraId="62E734AD" w14:textId="77777777" w:rsidR="00175826" w:rsidRDefault="00175826">
                  <w:pPr>
                    <w:spacing w:line="160" w:lineRule="exact"/>
                    <w:jc w:val="left"/>
                    <w:rPr>
                      <w:rFonts w:cs="Miriam" w:hint="cs"/>
                      <w:noProof/>
                      <w:szCs w:val="18"/>
                      <w:rtl/>
                    </w:rPr>
                  </w:pPr>
                  <w:r>
                    <w:rPr>
                      <w:rFonts w:cs="Miriam" w:hint="cs"/>
                      <w:szCs w:val="18"/>
                      <w:rtl/>
                    </w:rPr>
                    <w:t>תק' תשנ"ה-1995</w:t>
                  </w:r>
                </w:p>
              </w:txbxContent>
            </v:textbox>
          </v:shape>
        </w:pict>
      </w:r>
      <w:r>
        <w:rPr>
          <w:rStyle w:val="default"/>
          <w:rFonts w:cs="FrankRuehl" w:hint="cs"/>
          <w:b/>
          <w:bCs/>
          <w:rtl/>
        </w:rPr>
        <w:t>תוספת שניה</w:t>
      </w:r>
    </w:p>
    <w:p w14:paraId="6EAAE969" w14:textId="77777777" w:rsidR="00175826" w:rsidRDefault="00175826">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14:paraId="2DC95822" w14:textId="77777777" w:rsidR="00175826" w:rsidRDefault="00175826">
      <w:pPr>
        <w:pStyle w:val="P00"/>
        <w:spacing w:before="72"/>
        <w:ind w:left="0" w:right="1134"/>
        <w:rPr>
          <w:rStyle w:val="default"/>
          <w:rFonts w:cs="FrankRuehl" w:hint="cs"/>
          <w:rtl/>
        </w:rPr>
      </w:pPr>
      <w:r>
        <w:rPr>
          <w:rStyle w:val="default"/>
          <w:rFonts w:cs="FrankRuehl" w:hint="cs"/>
          <w:rtl/>
        </w:rPr>
        <w:t>איטליה, אירלנד, אנטיגואה וברבודה, ארצות הברית של אמריקה, בוטסואנה, בלגיה, ברבדוס, הממלכה המאוחדת של בריטניה הגדולה וצפון אירלנד, גרמניה, דנמרק, הולנד, ונצואלה, יוון, יפן, לוכסמבורג, מלאווי, מצרים, נורבגיה, סין, סיישל, סלובקיה, ספרד, פורטוגל, פינלנד, פקיסטן, צ'כיה, צרפת, קנדה, קפריסין, שבדיה, שווייץ, תורכיה.</w:t>
      </w:r>
    </w:p>
    <w:p w14:paraId="2046D4EA" w14:textId="77777777" w:rsidR="00175826" w:rsidRDefault="00175826">
      <w:pPr>
        <w:pStyle w:val="P00"/>
        <w:spacing w:before="72"/>
        <w:ind w:left="0" w:right="1134"/>
        <w:rPr>
          <w:rStyle w:val="default"/>
          <w:rFonts w:cs="FrankRuehl" w:hint="cs"/>
          <w:rtl/>
        </w:rPr>
      </w:pPr>
    </w:p>
    <w:p w14:paraId="5862D033" w14:textId="77777777" w:rsidR="00175826" w:rsidRDefault="00175826">
      <w:pPr>
        <w:pStyle w:val="P00"/>
        <w:spacing w:before="72"/>
        <w:ind w:left="0" w:right="1134"/>
        <w:rPr>
          <w:rStyle w:val="default"/>
          <w:rFonts w:cs="FrankRuehl"/>
          <w:rtl/>
        </w:rPr>
      </w:pPr>
    </w:p>
    <w:p w14:paraId="61DA2165" w14:textId="77777777" w:rsidR="00175826" w:rsidRDefault="00175826">
      <w:pPr>
        <w:pStyle w:val="P00"/>
        <w:spacing w:before="72"/>
        <w:ind w:left="0" w:right="1134"/>
        <w:rPr>
          <w:rStyle w:val="default"/>
          <w:rFonts w:cs="FrankRuehl"/>
          <w:rtl/>
        </w:rPr>
      </w:pPr>
      <w:bookmarkStart w:id="20" w:name="LawPartEnd"/>
    </w:p>
    <w:bookmarkEnd w:id="20"/>
    <w:p w14:paraId="08401CFA" w14:textId="77777777" w:rsidR="00CD2890" w:rsidRDefault="00CD2890">
      <w:pPr>
        <w:pStyle w:val="P00"/>
        <w:spacing w:before="72"/>
        <w:ind w:left="0" w:right="1134"/>
        <w:rPr>
          <w:rStyle w:val="default"/>
          <w:rFonts w:cs="FrankRuehl"/>
          <w:rtl/>
        </w:rPr>
      </w:pPr>
    </w:p>
    <w:p w14:paraId="1EA44AE9" w14:textId="77777777" w:rsidR="00CD2890" w:rsidRDefault="00CD2890">
      <w:pPr>
        <w:pStyle w:val="P00"/>
        <w:spacing w:before="72"/>
        <w:ind w:left="0" w:right="1134"/>
        <w:rPr>
          <w:rStyle w:val="default"/>
          <w:rFonts w:cs="FrankRuehl"/>
          <w:rtl/>
        </w:rPr>
      </w:pPr>
    </w:p>
    <w:p w14:paraId="1FDA86F1" w14:textId="77777777" w:rsidR="00CD2890" w:rsidRDefault="00CD2890" w:rsidP="00CD2890">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1D778B2B" w14:textId="77777777" w:rsidR="00E2243C" w:rsidRDefault="00E2243C" w:rsidP="00CD2890">
      <w:pPr>
        <w:pStyle w:val="P00"/>
        <w:spacing w:before="72"/>
        <w:ind w:left="0" w:right="1134"/>
        <w:jc w:val="center"/>
        <w:rPr>
          <w:rStyle w:val="default"/>
          <w:rFonts w:cs="David"/>
          <w:color w:val="0000FF"/>
          <w:szCs w:val="24"/>
          <w:u w:val="single"/>
          <w:rtl/>
        </w:rPr>
      </w:pPr>
    </w:p>
    <w:p w14:paraId="0E22AC44" w14:textId="77777777" w:rsidR="00E2243C" w:rsidRDefault="00E2243C" w:rsidP="00CD2890">
      <w:pPr>
        <w:pStyle w:val="P00"/>
        <w:spacing w:before="72"/>
        <w:ind w:left="0" w:right="1134"/>
        <w:jc w:val="center"/>
        <w:rPr>
          <w:rStyle w:val="default"/>
          <w:rFonts w:cs="David"/>
          <w:color w:val="0000FF"/>
          <w:szCs w:val="24"/>
          <w:u w:val="single"/>
          <w:rtl/>
        </w:rPr>
      </w:pPr>
    </w:p>
    <w:p w14:paraId="633776A8" w14:textId="77777777" w:rsidR="00E2243C" w:rsidRDefault="00E2243C" w:rsidP="00E2243C">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61CFEF95" w14:textId="77777777" w:rsidR="00175826" w:rsidRPr="00E2243C" w:rsidRDefault="00175826" w:rsidP="00E2243C">
      <w:pPr>
        <w:pStyle w:val="P00"/>
        <w:spacing w:before="72"/>
        <w:ind w:left="0" w:right="1134"/>
        <w:jc w:val="center"/>
        <w:rPr>
          <w:rStyle w:val="default"/>
          <w:rFonts w:cs="David"/>
          <w:color w:val="0000FF"/>
          <w:szCs w:val="24"/>
          <w:u w:val="single"/>
          <w:rtl/>
        </w:rPr>
      </w:pPr>
    </w:p>
    <w:sectPr w:rsidR="00175826" w:rsidRPr="00E2243C">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AC134" w14:textId="77777777" w:rsidR="00BD1ADA" w:rsidRDefault="00BD1ADA">
      <w:r>
        <w:separator/>
      </w:r>
    </w:p>
  </w:endnote>
  <w:endnote w:type="continuationSeparator" w:id="0">
    <w:p w14:paraId="47E27637" w14:textId="77777777" w:rsidR="00BD1ADA" w:rsidRDefault="00BD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79E1" w14:textId="77777777" w:rsidR="00175826" w:rsidRDefault="001758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9A9351" w14:textId="77777777" w:rsidR="00175826" w:rsidRDefault="001758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4125773" w14:textId="77777777" w:rsidR="00175826" w:rsidRDefault="001758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243C">
      <w:rPr>
        <w:rFonts w:cs="TopType Jerushalmi"/>
        <w:noProof/>
        <w:color w:val="000000"/>
        <w:sz w:val="14"/>
        <w:szCs w:val="14"/>
      </w:rPr>
      <w:t>Z:\00000000000000000000000=2014------------------------\05-May\2014-05-28\LawsForHofit\02\055_089.doc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EBEF5" w14:textId="77777777" w:rsidR="00175826" w:rsidRDefault="001758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112CC">
      <w:rPr>
        <w:rFonts w:hAnsi="FrankRuehl" w:cs="FrankRuehl"/>
        <w:noProof/>
        <w:sz w:val="24"/>
        <w:szCs w:val="24"/>
        <w:rtl/>
      </w:rPr>
      <w:t>8</w:t>
    </w:r>
    <w:r>
      <w:rPr>
        <w:rFonts w:hAnsi="FrankRuehl" w:cs="FrankRuehl"/>
        <w:sz w:val="24"/>
        <w:szCs w:val="24"/>
        <w:rtl/>
      </w:rPr>
      <w:fldChar w:fldCharType="end"/>
    </w:r>
  </w:p>
  <w:p w14:paraId="48F0BE41" w14:textId="77777777" w:rsidR="00175826" w:rsidRDefault="001758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6BFAA30" w14:textId="77777777" w:rsidR="00175826" w:rsidRDefault="001758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243C">
      <w:rPr>
        <w:rFonts w:cs="TopType Jerushalmi"/>
        <w:noProof/>
        <w:color w:val="000000"/>
        <w:sz w:val="14"/>
        <w:szCs w:val="14"/>
      </w:rPr>
      <w:t>Z:\00000000000000000000000=2014------------------------\05-May\2014-05-28\LawsForHofit\02\055_089.doc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99399" w14:textId="77777777" w:rsidR="00BD1ADA" w:rsidRDefault="00BD1ADA">
      <w:pPr>
        <w:spacing w:before="60" w:line="240" w:lineRule="auto"/>
        <w:ind w:right="1134"/>
      </w:pPr>
      <w:r>
        <w:separator/>
      </w:r>
    </w:p>
  </w:footnote>
  <w:footnote w:type="continuationSeparator" w:id="0">
    <w:p w14:paraId="6A5DADD3" w14:textId="77777777" w:rsidR="00BD1ADA" w:rsidRDefault="00BD1ADA">
      <w:r>
        <w:continuationSeparator/>
      </w:r>
    </w:p>
  </w:footnote>
  <w:footnote w:id="1">
    <w:p w14:paraId="22373157" w14:textId="77777777" w:rsidR="00175826" w:rsidRDefault="0017582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w:t>
        </w:r>
        <w:r>
          <w:rPr>
            <w:rStyle w:val="Hyperlink"/>
            <w:rFonts w:hint="cs"/>
            <w:sz w:val="20"/>
            <w:rtl/>
          </w:rPr>
          <w:t>ת</w:t>
        </w:r>
        <w:r>
          <w:rPr>
            <w:rStyle w:val="Hyperlink"/>
            <w:rFonts w:hint="cs"/>
            <w:sz w:val="20"/>
            <w:rtl/>
          </w:rPr>
          <w:t xml:space="preserve"> תשל"ו מס'</w:t>
        </w:r>
        <w:r>
          <w:rPr>
            <w:rStyle w:val="Hyperlink"/>
            <w:rFonts w:hint="cs"/>
            <w:sz w:val="20"/>
            <w:rtl/>
          </w:rPr>
          <w:t xml:space="preserve"> </w:t>
        </w:r>
        <w:r>
          <w:rPr>
            <w:rStyle w:val="Hyperlink"/>
            <w:rFonts w:hint="cs"/>
            <w:sz w:val="20"/>
            <w:rtl/>
          </w:rPr>
          <w:t>3430</w:t>
        </w:r>
      </w:hyperlink>
      <w:r>
        <w:rPr>
          <w:rFonts w:hint="cs"/>
          <w:sz w:val="20"/>
          <w:rtl/>
        </w:rPr>
        <w:t xml:space="preserve"> מיום 14.11.1975 עמ' 428.</w:t>
      </w:r>
    </w:p>
    <w:p w14:paraId="3A6C8B22" w14:textId="77777777" w:rsidR="00175826" w:rsidRDefault="0017582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תש"ם מס' 4099</w:t>
        </w:r>
      </w:hyperlink>
      <w:r>
        <w:rPr>
          <w:rFonts w:hint="cs"/>
          <w:sz w:val="20"/>
          <w:rtl/>
        </w:rPr>
        <w:t xml:space="preserve"> מיום 11.3.1980 עמ' 1141 </w:t>
      </w:r>
      <w:r>
        <w:rPr>
          <w:sz w:val="20"/>
          <w:rtl/>
        </w:rPr>
        <w:t>–</w:t>
      </w:r>
      <w:r>
        <w:rPr>
          <w:rFonts w:hint="cs"/>
          <w:sz w:val="20"/>
          <w:rtl/>
        </w:rPr>
        <w:t xml:space="preserve"> תק' תש"ם-1980.</w:t>
      </w:r>
    </w:p>
    <w:p w14:paraId="7122577D" w14:textId="77777777" w:rsidR="00175826" w:rsidRDefault="0017582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תשמ"ג מס' 4414</w:t>
        </w:r>
      </w:hyperlink>
      <w:r>
        <w:rPr>
          <w:rFonts w:hint="cs"/>
          <w:sz w:val="20"/>
          <w:rtl/>
        </w:rPr>
        <w:t xml:space="preserve"> מיום 30.9.1982 עמ' 81 </w:t>
      </w:r>
      <w:r>
        <w:rPr>
          <w:sz w:val="20"/>
          <w:rtl/>
        </w:rPr>
        <w:t>–</w:t>
      </w:r>
      <w:r>
        <w:rPr>
          <w:rFonts w:hint="cs"/>
          <w:sz w:val="20"/>
          <w:rtl/>
        </w:rPr>
        <w:t xml:space="preserve"> תק' תשמ"ג-1982.</w:t>
      </w:r>
    </w:p>
    <w:p w14:paraId="4D8342D5" w14:textId="77777777" w:rsidR="00175826" w:rsidRDefault="0017582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w:t>
        </w:r>
        <w:r>
          <w:rPr>
            <w:rStyle w:val="Hyperlink"/>
            <w:sz w:val="20"/>
            <w:rtl/>
          </w:rPr>
          <w:t>ד</w:t>
        </w:r>
        <w:r>
          <w:rPr>
            <w:rStyle w:val="Hyperlink"/>
            <w:rFonts w:hint="cs"/>
            <w:sz w:val="20"/>
            <w:rtl/>
          </w:rPr>
          <w:t xml:space="preserve"> מס' 4576</w:t>
        </w:r>
      </w:hyperlink>
      <w:r>
        <w:rPr>
          <w:rFonts w:hint="cs"/>
          <w:sz w:val="20"/>
          <w:rtl/>
        </w:rPr>
        <w:t xml:space="preserve"> מיום 12.1.1984 עמ' 720 </w:t>
      </w:r>
      <w:r>
        <w:rPr>
          <w:sz w:val="20"/>
          <w:rtl/>
        </w:rPr>
        <w:t>–</w:t>
      </w:r>
      <w:r>
        <w:rPr>
          <w:rFonts w:hint="cs"/>
          <w:sz w:val="20"/>
          <w:rtl/>
        </w:rPr>
        <w:t xml:space="preserve"> תק' תשמ"ד-1984.</w:t>
      </w:r>
    </w:p>
    <w:p w14:paraId="3FA7B8ED" w14:textId="77777777" w:rsidR="00175826" w:rsidRDefault="0017582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תשמ"ח מס' 5070</w:t>
        </w:r>
      </w:hyperlink>
      <w:r>
        <w:rPr>
          <w:rFonts w:hint="cs"/>
          <w:sz w:val="20"/>
          <w:rtl/>
        </w:rPr>
        <w:t xml:space="preserve"> מיום 17.12.1987 עמ' 238 </w:t>
      </w:r>
      <w:r>
        <w:rPr>
          <w:sz w:val="20"/>
          <w:rtl/>
        </w:rPr>
        <w:t>–</w:t>
      </w:r>
      <w:r>
        <w:rPr>
          <w:rFonts w:hint="cs"/>
          <w:sz w:val="20"/>
          <w:rtl/>
        </w:rPr>
        <w:t xml:space="preserve"> תק' תשמ"ח-1987.</w:t>
      </w:r>
    </w:p>
    <w:p w14:paraId="206E23E2" w14:textId="77777777" w:rsidR="00175826" w:rsidRDefault="001758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תשנ"ה מס' 5687</w:t>
        </w:r>
      </w:hyperlink>
      <w:r>
        <w:rPr>
          <w:rFonts w:hint="cs"/>
          <w:sz w:val="20"/>
          <w:rtl/>
        </w:rPr>
        <w:t xml:space="preserve"> מיום 29.6.1995 עמ' 1562 </w:t>
      </w:r>
      <w:r>
        <w:rPr>
          <w:sz w:val="20"/>
          <w:rtl/>
        </w:rPr>
        <w:t>–</w:t>
      </w:r>
      <w:r>
        <w:rPr>
          <w:rFonts w:hint="cs"/>
          <w:sz w:val="20"/>
          <w:rtl/>
        </w:rPr>
        <w:t xml:space="preserve"> תק' תשנ"ה-1995.</w:t>
      </w:r>
    </w:p>
  </w:footnote>
  <w:footnote w:id="2">
    <w:p w14:paraId="3C634907" w14:textId="77777777" w:rsidR="00175826" w:rsidRDefault="00175826">
      <w:pPr>
        <w:pStyle w:val="a5"/>
        <w:spacing w:before="72" w:line="240" w:lineRule="auto"/>
        <w:ind w:right="1134"/>
        <w:rPr>
          <w:rFonts w:hint="cs"/>
          <w:rtl/>
        </w:rPr>
      </w:pPr>
      <w:r>
        <w:rPr>
          <w:rStyle w:val="a6"/>
        </w:rPr>
        <w:footnoteRef/>
      </w:r>
      <w:r>
        <w:rPr>
          <w:rFonts w:cs="FrankRuehl" w:hint="cs"/>
          <w:sz w:val="22"/>
          <w:szCs w:val="22"/>
          <w:rtl/>
        </w:rPr>
        <w:t xml:space="preserve"> ראה הצהרות ישראל עם האישרור, כ"א 800, כרך 23, עמ' 57.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BBE7" w14:textId="77777777" w:rsidR="00175826" w:rsidRDefault="001758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המצאת מסמכים לפי אמנת האג 1965, תשל"ו–1975</w:t>
    </w:r>
  </w:p>
  <w:p w14:paraId="333C6915" w14:textId="77777777" w:rsidR="00175826" w:rsidRDefault="001758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980E24" w14:textId="77777777" w:rsidR="00175826" w:rsidRDefault="0017582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83AD" w14:textId="77777777" w:rsidR="00175826" w:rsidRDefault="001758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המצאת מסמכים לפי אמנת האג 1965, תשל"ו</w:t>
    </w:r>
    <w:r>
      <w:rPr>
        <w:rFonts w:hAnsi="FrankRuehl" w:cs="FrankRuehl" w:hint="cs"/>
        <w:color w:val="000000"/>
        <w:sz w:val="28"/>
        <w:szCs w:val="28"/>
        <w:rtl/>
      </w:rPr>
      <w:t>-</w:t>
    </w:r>
    <w:r>
      <w:rPr>
        <w:rFonts w:hAnsi="FrankRuehl" w:cs="FrankRuehl"/>
        <w:color w:val="000000"/>
        <w:sz w:val="28"/>
        <w:szCs w:val="28"/>
        <w:rtl/>
      </w:rPr>
      <w:t>1975</w:t>
    </w:r>
  </w:p>
  <w:p w14:paraId="78B65597" w14:textId="77777777" w:rsidR="00175826" w:rsidRDefault="001758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FE8895" w14:textId="77777777" w:rsidR="00175826" w:rsidRDefault="0017582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6A9E"/>
    <w:rsid w:val="00175826"/>
    <w:rsid w:val="00274065"/>
    <w:rsid w:val="00596A9E"/>
    <w:rsid w:val="005F350B"/>
    <w:rsid w:val="00801422"/>
    <w:rsid w:val="00A112CC"/>
    <w:rsid w:val="00BD1ADA"/>
    <w:rsid w:val="00CD2890"/>
    <w:rsid w:val="00E224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6D5E7C4"/>
  <w15:chartTrackingRefBased/>
  <w15:docId w15:val="{C566D143-8737-4391-AFCD-953D28EF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files/&#1496;&#1508;&#1505;&#1497;&#1501;/&#1496;&#1508;&#1505;&#1497;&#1501;%20&#1502;&#1513;&#1508;&#1496;&#1497;&#1497;&#1501;/&#1489;&#1514;&#1497;-&#1502;&#1513;&#1508;&#1496;/&#1492;&#1502;&#1510;&#1488;&#1492;/&#1488;&#1512;&#1499;&#1497;&#1493;&#1503;/&#1489;&#1511;&#1513;&#1492;%20&#1500;&#1492;&#1502;&#1510;&#1488;&#1492;%20&#1489;&#1495;&#1493;&#1509;%20&#1500;&#1488;&#1512;&#1509;%20&#1513;&#1500;%20&#1499;&#1514;&#1489;&#1497;%20&#1489;&#1497;%20&#1491;&#1497;&#1503;%20&#1493;&#1499;&#1514;&#1489;&#1497;&#1501;%20&#1513;&#1500;&#1488;%20&#1502;&#1489;&#1497;%20&#1491;&#1497;&#1503;.doc"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414.pdf" TargetMode="External"/><Relationship Id="rId2" Type="http://schemas.openxmlformats.org/officeDocument/2006/relationships/hyperlink" Target="http://www.nevo.co.il/Law_word/law06/TAK-4099.pdf" TargetMode="External"/><Relationship Id="rId1" Type="http://schemas.openxmlformats.org/officeDocument/2006/relationships/hyperlink" Target="http://www.nevo.co.il/Law_word/law06/TAK-3430.pdf" TargetMode="External"/><Relationship Id="rId6" Type="http://schemas.openxmlformats.org/officeDocument/2006/relationships/hyperlink" Target="http://www.nevo.co.il/Law_word/law06/TAK-5687.pdf" TargetMode="External"/><Relationship Id="rId5" Type="http://schemas.openxmlformats.org/officeDocument/2006/relationships/hyperlink" Target="http://www.nevo.co.il/Law_word/law06/TAK-5070.pdf" TargetMode="External"/><Relationship Id="rId4" Type="http://schemas.openxmlformats.org/officeDocument/2006/relationships/hyperlink" Target="http://www.nevo.co.il/Law_word/law06/TAK-45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17442</CharactersWithSpaces>
  <SharedDoc>false</SharedDoc>
  <HLinks>
    <vt:vector size="174" baseType="variant">
      <vt:variant>
        <vt:i4>393283</vt:i4>
      </vt:variant>
      <vt:variant>
        <vt:i4>126</vt:i4>
      </vt:variant>
      <vt:variant>
        <vt:i4>0</vt:i4>
      </vt:variant>
      <vt:variant>
        <vt:i4>5</vt:i4>
      </vt:variant>
      <vt:variant>
        <vt:lpwstr>http://www.nevo.co.il/advertisements/nevo-100.doc</vt:lpwstr>
      </vt:variant>
      <vt:variant>
        <vt:lpwstr/>
      </vt:variant>
      <vt:variant>
        <vt:i4>393283</vt:i4>
      </vt:variant>
      <vt:variant>
        <vt:i4>123</vt:i4>
      </vt:variant>
      <vt:variant>
        <vt:i4>0</vt:i4>
      </vt:variant>
      <vt:variant>
        <vt:i4>5</vt:i4>
      </vt:variant>
      <vt:variant>
        <vt:lpwstr>http://www.nevo.co.il/advertisements/nevo-100.doc</vt:lpwstr>
      </vt:variant>
      <vt:variant>
        <vt:lpwstr/>
      </vt:variant>
      <vt:variant>
        <vt:i4>591298</vt:i4>
      </vt:variant>
      <vt:variant>
        <vt:i4>120</vt:i4>
      </vt:variant>
      <vt:variant>
        <vt:i4>0</vt:i4>
      </vt:variant>
      <vt:variant>
        <vt:i4>5</vt:i4>
      </vt:variant>
      <vt:variant>
        <vt:lpwstr>https://www.nevo.co.il/files/טפסים/טפסים משפטיים/בתי-משפט/המצאה/ארכיון/בקשה להמצאה בחוץ לארץ של כתבי בי דין וכתבים שלא מבי דין.doc</vt:lpwstr>
      </vt:variant>
      <vt:variant>
        <vt:lpwstr/>
      </vt:variant>
      <vt:variant>
        <vt:i4>6094857</vt:i4>
      </vt:variant>
      <vt:variant>
        <vt:i4>114</vt:i4>
      </vt:variant>
      <vt:variant>
        <vt:i4>0</vt:i4>
      </vt:variant>
      <vt:variant>
        <vt:i4>5</vt:i4>
      </vt:variant>
      <vt:variant>
        <vt:lpwstr/>
      </vt:variant>
      <vt:variant>
        <vt:lpwstr>med8</vt:lpwstr>
      </vt:variant>
      <vt:variant>
        <vt:i4>5373961</vt:i4>
      </vt:variant>
      <vt:variant>
        <vt:i4>108</vt:i4>
      </vt:variant>
      <vt:variant>
        <vt:i4>0</vt:i4>
      </vt:variant>
      <vt:variant>
        <vt:i4>5</vt:i4>
      </vt:variant>
      <vt:variant>
        <vt:lpwstr/>
      </vt:variant>
      <vt:variant>
        <vt:lpwstr>med7</vt:lpwstr>
      </vt:variant>
      <vt:variant>
        <vt:i4>5439497</vt:i4>
      </vt:variant>
      <vt:variant>
        <vt:i4>102</vt:i4>
      </vt:variant>
      <vt:variant>
        <vt:i4>0</vt:i4>
      </vt:variant>
      <vt:variant>
        <vt:i4>5</vt:i4>
      </vt:variant>
      <vt:variant>
        <vt:lpwstr/>
      </vt:variant>
      <vt:variant>
        <vt:lpwstr>med6</vt:lpwstr>
      </vt:variant>
      <vt:variant>
        <vt:i4>5242889</vt:i4>
      </vt:variant>
      <vt:variant>
        <vt:i4>96</vt:i4>
      </vt:variant>
      <vt:variant>
        <vt:i4>0</vt:i4>
      </vt:variant>
      <vt:variant>
        <vt:i4>5</vt:i4>
      </vt:variant>
      <vt:variant>
        <vt:lpwstr/>
      </vt:variant>
      <vt:variant>
        <vt:lpwstr>med5</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5308425</vt:i4>
      </vt:variant>
      <vt:variant>
        <vt:i4>72</vt:i4>
      </vt:variant>
      <vt:variant>
        <vt:i4>0</vt:i4>
      </vt:variant>
      <vt:variant>
        <vt:i4>5</vt:i4>
      </vt:variant>
      <vt:variant>
        <vt:lpwstr/>
      </vt:variant>
      <vt:variant>
        <vt:lpwstr>med4</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7602185</vt:i4>
      </vt:variant>
      <vt:variant>
        <vt:i4>15</vt:i4>
      </vt:variant>
      <vt:variant>
        <vt:i4>0</vt:i4>
      </vt:variant>
      <vt:variant>
        <vt:i4>5</vt:i4>
      </vt:variant>
      <vt:variant>
        <vt:lpwstr>http://www.nevo.co.il/Law_word/law06/TAK-5687.pdf</vt:lpwstr>
      </vt:variant>
      <vt:variant>
        <vt:lpwstr/>
      </vt:variant>
      <vt:variant>
        <vt:i4>8060936</vt:i4>
      </vt:variant>
      <vt:variant>
        <vt:i4>12</vt:i4>
      </vt:variant>
      <vt:variant>
        <vt:i4>0</vt:i4>
      </vt:variant>
      <vt:variant>
        <vt:i4>5</vt:i4>
      </vt:variant>
      <vt:variant>
        <vt:lpwstr>http://www.nevo.co.il/Law_word/law06/TAK-5070.pdf</vt:lpwstr>
      </vt:variant>
      <vt:variant>
        <vt:lpwstr/>
      </vt:variant>
      <vt:variant>
        <vt:i4>7995403</vt:i4>
      </vt:variant>
      <vt:variant>
        <vt:i4>9</vt:i4>
      </vt:variant>
      <vt:variant>
        <vt:i4>0</vt:i4>
      </vt:variant>
      <vt:variant>
        <vt:i4>5</vt:i4>
      </vt:variant>
      <vt:variant>
        <vt:lpwstr>http://www.nevo.co.il/Law_word/law06/TAK-4576.pdf</vt:lpwstr>
      </vt:variant>
      <vt:variant>
        <vt:lpwstr/>
      </vt:variant>
      <vt:variant>
        <vt:i4>8126472</vt:i4>
      </vt:variant>
      <vt:variant>
        <vt:i4>6</vt:i4>
      </vt:variant>
      <vt:variant>
        <vt:i4>0</vt:i4>
      </vt:variant>
      <vt:variant>
        <vt:i4>5</vt:i4>
      </vt:variant>
      <vt:variant>
        <vt:lpwstr>http://www.nevo.co.il/Law_word/law06/TAK-4414.pdf</vt:lpwstr>
      </vt:variant>
      <vt:variant>
        <vt:lpwstr/>
      </vt:variant>
      <vt:variant>
        <vt:i4>7602177</vt:i4>
      </vt:variant>
      <vt:variant>
        <vt:i4>3</vt:i4>
      </vt:variant>
      <vt:variant>
        <vt:i4>0</vt:i4>
      </vt:variant>
      <vt:variant>
        <vt:i4>5</vt:i4>
      </vt:variant>
      <vt:variant>
        <vt:lpwstr>http://www.nevo.co.il/Law_word/law06/TAK-4099.pdf</vt:lpwstr>
      </vt:variant>
      <vt:variant>
        <vt:lpwstr/>
      </vt:variant>
      <vt:variant>
        <vt:i4>7929868</vt:i4>
      </vt:variant>
      <vt:variant>
        <vt:i4>0</vt:i4>
      </vt:variant>
      <vt:variant>
        <vt:i4>0</vt:i4>
      </vt:variant>
      <vt:variant>
        <vt:i4>5</vt:i4>
      </vt:variant>
      <vt:variant>
        <vt:lpwstr>http://www.nevo.co.il/Law_word/law06/TAK-3430.pdf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המצאת מסמכים לפי אמנת האג 1965, תשל"ו-1975</vt:lpwstr>
  </property>
  <property fmtid="{D5CDD505-2E9C-101B-9397-08002B2CF9AE}" pid="5" name="LAWNUMBER">
    <vt:lpwstr>0089</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אזרחי</vt:lpwstr>
  </property>
  <property fmtid="{D5CDD505-2E9C-101B-9397-08002B2CF9AE}" pid="9" name="NOSE31">
    <vt:lpwstr>המצאת מסמכים</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