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233" w:rsidRDefault="00DE723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המרשם הפלילי ותקנת השבים (כללי מסירת מידע בידי מחלקת בטחון שדה של צבא הגנה לישראל), תשנ"ח–1998</w:t>
      </w:r>
    </w:p>
    <w:p w:rsidR="00F1271C" w:rsidRPr="00F1271C" w:rsidRDefault="00F1271C" w:rsidP="00F1271C">
      <w:pPr>
        <w:spacing w:line="320" w:lineRule="auto"/>
        <w:jc w:val="left"/>
        <w:rPr>
          <w:rFonts w:cs="FrankRuehl"/>
          <w:szCs w:val="26"/>
          <w:rtl/>
        </w:rPr>
      </w:pPr>
    </w:p>
    <w:p w:rsidR="00F1271C" w:rsidRDefault="00F1271C" w:rsidP="00F1271C">
      <w:pPr>
        <w:spacing w:line="320" w:lineRule="auto"/>
        <w:jc w:val="left"/>
        <w:rPr>
          <w:rFonts w:cs="Miriam"/>
          <w:szCs w:val="22"/>
          <w:rtl/>
        </w:rPr>
      </w:pPr>
      <w:r w:rsidRPr="00F1271C">
        <w:rPr>
          <w:rFonts w:cs="Miriam"/>
          <w:szCs w:val="22"/>
          <w:rtl/>
        </w:rPr>
        <w:t>עונשין ומשפט פלילי</w:t>
      </w:r>
      <w:r w:rsidRPr="00F1271C">
        <w:rPr>
          <w:rFonts w:cs="FrankRuehl"/>
          <w:szCs w:val="26"/>
          <w:rtl/>
        </w:rPr>
        <w:t xml:space="preserve"> – מרשם פלילי – כללי מסירת מידע</w:t>
      </w:r>
    </w:p>
    <w:p w:rsidR="00F1271C" w:rsidRDefault="00F1271C" w:rsidP="00F1271C">
      <w:pPr>
        <w:spacing w:line="320" w:lineRule="auto"/>
        <w:jc w:val="left"/>
        <w:rPr>
          <w:rFonts w:cs="Miriam"/>
          <w:szCs w:val="22"/>
          <w:rtl/>
        </w:rPr>
      </w:pPr>
      <w:r w:rsidRPr="00F1271C">
        <w:rPr>
          <w:rFonts w:cs="Miriam"/>
          <w:szCs w:val="22"/>
          <w:rtl/>
        </w:rPr>
        <w:t>בתי משפט וסדרי דין</w:t>
      </w:r>
      <w:r w:rsidRPr="00F1271C">
        <w:rPr>
          <w:rFonts w:cs="FrankRuehl"/>
          <w:szCs w:val="26"/>
          <w:rtl/>
        </w:rPr>
        <w:t xml:space="preserve"> – סדר דין פלילי – מרשם פלילי – כללי מסירת מידע</w:t>
      </w:r>
    </w:p>
    <w:p w:rsidR="00B449B3" w:rsidRPr="00F1271C" w:rsidRDefault="00F1271C" w:rsidP="00F1271C">
      <w:pPr>
        <w:spacing w:line="320" w:lineRule="auto"/>
        <w:jc w:val="left"/>
        <w:rPr>
          <w:rFonts w:cs="Miriam"/>
          <w:szCs w:val="22"/>
          <w:rtl/>
        </w:rPr>
      </w:pPr>
      <w:r w:rsidRPr="00F1271C">
        <w:rPr>
          <w:rFonts w:cs="Miriam"/>
          <w:szCs w:val="22"/>
          <w:rtl/>
        </w:rPr>
        <w:t>בטחון</w:t>
      </w:r>
      <w:r w:rsidRPr="00F1271C">
        <w:rPr>
          <w:rFonts w:cs="FrankRuehl"/>
          <w:szCs w:val="26"/>
          <w:rtl/>
        </w:rPr>
        <w:t xml:space="preserve"> – צה"ל</w:t>
      </w:r>
    </w:p>
    <w:p w:rsidR="00DE7233" w:rsidRDefault="00DE723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E72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233" w:rsidRDefault="00DE72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E72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hyperlink w:anchor="Seif1" w:tooltip="בקשה לקבלת 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233" w:rsidRDefault="00DE72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לקבלת  מידע</w:t>
            </w:r>
          </w:p>
        </w:tc>
        <w:tc>
          <w:tcPr>
            <w:tcW w:w="124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DE72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hyperlink w:anchor="Seif2" w:tooltip="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233" w:rsidRDefault="00DE72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</w:t>
            </w:r>
          </w:p>
        </w:tc>
        <w:tc>
          <w:tcPr>
            <w:tcW w:w="124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DE72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hyperlink w:anchor="Seif3" w:tooltip="רישום מסירת 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233" w:rsidRDefault="00DE72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מסירת  מידע</w:t>
            </w:r>
          </w:p>
        </w:tc>
        <w:tc>
          <w:tcPr>
            <w:tcW w:w="124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DE723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E7233" w:rsidRDefault="00DE723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DE7233" w:rsidRDefault="00DE723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DE7233" w:rsidRDefault="00DE7233">
      <w:pPr>
        <w:pStyle w:val="big-header"/>
        <w:ind w:left="0" w:right="1134"/>
        <w:rPr>
          <w:rFonts w:cs="FrankRuehl"/>
          <w:sz w:val="32"/>
          <w:rtl/>
        </w:rPr>
      </w:pPr>
    </w:p>
    <w:p w:rsidR="00DE7233" w:rsidRPr="00B449B3" w:rsidRDefault="00DE7233" w:rsidP="00B449B3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המרשם הפלילי ותקנת השבים (כללי מסירת מידע בידי מחלקת בטחון שדה של צבא הגנה לישראל), תשנ"ח</w:t>
      </w:r>
      <w:r>
        <w:rPr>
          <w:rFonts w:cs="FrankRuehl"/>
          <w:sz w:val="32"/>
          <w:rtl/>
        </w:rPr>
        <w:t>–1998</w:t>
      </w:r>
      <w:r>
        <w:rPr>
          <w:rStyle w:val="super"/>
          <w:rFonts w:cs="Miriam"/>
          <w:noProof w:val="0"/>
          <w:rtl/>
          <w:lang w:eastAsia="he-IL"/>
        </w:rPr>
        <w:t>(2/48)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 לחוק המרשם הפלילי ותקנת השבים, תשמ"א</w:t>
      </w:r>
      <w:r>
        <w:rPr>
          <w:rStyle w:val="default"/>
          <w:rFonts w:cs="FrankRuehl"/>
          <w:rtl/>
        </w:rPr>
        <w:t>–1981 (</w:t>
      </w:r>
      <w:r>
        <w:rPr>
          <w:rStyle w:val="default"/>
          <w:rFonts w:cs="FrankRuehl" w:hint="cs"/>
          <w:rtl/>
        </w:rPr>
        <w:t xml:space="preserve">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החוק), לאחר התייעצו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עם שר הבטחון ובאישור ועדת החוקה ח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 xml:space="preserve"> ומשפט של הכנסת, אני מתקין תקנות אלה:</w:t>
      </w:r>
    </w:p>
    <w:p w:rsidR="00DE7233" w:rsidRDefault="00DE7233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בקש"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בעל תפקיד מן המפורטים בסעיף 5(ד) לחוק;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ידע"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כל אחד מאלה:</w:t>
      </w:r>
    </w:p>
    <w:p w:rsidR="00DE7233" w:rsidRDefault="00DE72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כמשמעותם בסע</w:t>
      </w:r>
      <w:r>
        <w:rPr>
          <w:rStyle w:val="default"/>
          <w:rFonts w:cs="FrankRuehl"/>
          <w:rtl/>
        </w:rPr>
        <w:t>יף</w:t>
      </w:r>
      <w:r>
        <w:rPr>
          <w:rStyle w:val="default"/>
          <w:rFonts w:cs="FrankRuehl" w:hint="cs"/>
          <w:rtl/>
        </w:rPr>
        <w:t xml:space="preserve"> 2 לחוק;</w:t>
      </w:r>
    </w:p>
    <w:p w:rsidR="00DE7233" w:rsidRDefault="00DE72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רטים בדבר חקירות שבהן התגבש חומר לשם פתיחת תיק, ומשפטים פליליים תלויים ועומדים כמשמעותם בסעיף 11 לחוק.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4.95pt;z-index:251656192" o:allowincell="f" filled="f" stroked="f" strokecolor="lime" strokeweight=".25pt">
            <v:textbox inset="0,0,0,0">
              <w:txbxContent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שה לקבלת </w:t>
                  </w:r>
                </w:p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לקבלת מידע תופנה בידי המבקש עצמו או באמצעות ראש לשכתו, ויפורט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בה העילה לבקשת המידע, שמו של האדם שאליו מתייחסת הבקשה, מספר ז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תו או מספרו האישי, מענו וסוג המידע המבוקש; המבקש יצמצם את בקשתו לסוג המידע הדרוש לו לשם מילוי תפקידו.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לשכתו של המבקש ינהל רישום על הבקשות שהוגשו לפי סעיף קטן (א) שיכלול את הפרטים המפ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רטים בסעיף האמור; רישום כאמור יישמר לתקופה של חמש שנים ממועד ה</w:t>
      </w:r>
      <w:r>
        <w:rPr>
          <w:rStyle w:val="default"/>
          <w:rFonts w:cs="FrankRuehl"/>
          <w:rtl/>
        </w:rPr>
        <w:t>גש</w:t>
      </w:r>
      <w:r>
        <w:rPr>
          <w:rStyle w:val="default"/>
          <w:rFonts w:cs="FrankRuehl" w:hint="cs"/>
          <w:rtl/>
        </w:rPr>
        <w:t>ת הבקשה.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ידע יימסר למבקש בידי ראש מחלקת בטחון שדה או עוזרו, או בידי ראש ענף אבחון בטחוני במחלקת בטחון שדה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מוסר המידע).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יימסר מידע אלא לאחר שבדק מוסר המידע את כל אלה:</w:t>
      </w:r>
    </w:p>
    <w:p w:rsidR="00DE7233" w:rsidRDefault="00DE72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יות המבקש נמנה עם הרשויות ועם בעלי התפקידים המפורטים בסעיף</w:t>
      </w:r>
      <w:r>
        <w:rPr>
          <w:rStyle w:val="default"/>
          <w:rFonts w:cs="FrankRuehl"/>
          <w:rtl/>
        </w:rPr>
        <w:t xml:space="preserve"> 5(ד</w:t>
      </w:r>
      <w:r>
        <w:rPr>
          <w:rStyle w:val="default"/>
          <w:rFonts w:cs="FrankRuehl" w:hint="cs"/>
          <w:rtl/>
        </w:rPr>
        <w:t>) לחוק;</w:t>
      </w:r>
    </w:p>
    <w:p w:rsidR="00DE7233" w:rsidRDefault="00DE72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יקף המידע שניתן למסור למבקש לענין </w:t>
      </w:r>
      <w:r>
        <w:rPr>
          <w:rStyle w:val="default"/>
          <w:rFonts w:cs="FrankRuehl"/>
          <w:rtl/>
        </w:rPr>
        <w:t>—</w:t>
      </w:r>
    </w:p>
    <w:p w:rsidR="00DE7233" w:rsidRDefault="00DE7233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שביצעו קטינים וצווים מיוחדים כאמור בסעיף 13 לחוק;</w:t>
      </w:r>
    </w:p>
    <w:p w:rsidR="00DE7233" w:rsidRDefault="00DE7233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רטי רישום שנמחקו לפי סעיף 16 לחוק;</w:t>
      </w:r>
    </w:p>
    <w:p w:rsidR="00DE7233" w:rsidRDefault="00DE7233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בירות המפורטות בסעיף 17 לחוק;</w:t>
      </w:r>
    </w:p>
    <w:p w:rsidR="00DE7233" w:rsidRDefault="00DE723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 המידע המבוקש.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יימסר מידע על תיק תלוי ועומד לבעלי תפ</w:t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 xml:space="preserve">דים המפורטים בתוספת הראשונה לחוק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הגופים) כמפורט בטור א' בתוספת לגבי עבירות כאמור בטור ב' לצדו, אם חלפה למן פתיחת התיק התקופה כמפורט לצדם בטור ג', אלא אם כן הוגש כתב אישום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בענין; הוגש כתב אישום, יימסר מידע כאמור, כל עוד לא נסתיימו ההליכים המשפטיי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תיק.</w:t>
      </w:r>
    </w:p>
    <w:p w:rsidR="00B449B3" w:rsidRDefault="00B449B3" w:rsidP="00B449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מידע יימסר למבקש בתוך 30 ימים מיום קבלת הבקשה.</w:t>
      </w:r>
    </w:p>
    <w:p w:rsidR="00B449B3" w:rsidRDefault="00B449B3" w:rsidP="00B449B3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B449B3" w:rsidRDefault="00B449B3" w:rsidP="00B449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(2/48)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B449B3">
          <w:rPr>
            <w:rStyle w:val="Hyperlink"/>
            <w:rFonts w:cs="FrankRuehl" w:hint="cs"/>
            <w:rtl/>
          </w:rPr>
          <w:t>ק"ת תשנ"ח מס' 5925</w:t>
        </w:r>
      </w:hyperlink>
      <w:r>
        <w:rPr>
          <w:rFonts w:cs="FrankRuehl" w:hint="cs"/>
          <w:rtl/>
        </w:rPr>
        <w:t xml:space="preserve"> מיום 14.9.1998 עמ' 1302. 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9.55pt;z-index:251658240" o:allowincell="f" filled="f" stroked="f" strokecolor="lime" strokeweight=".25pt">
            <v:textbox inset="0,0,0,0">
              <w:txbxContent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שום מסירת </w:t>
                  </w:r>
                </w:p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סר מידע על פי בקשה לפי תקנה 2, יירשמו בידי מוסר המידע פרטיו של מי שנמסר לו המידע, עילת המסירה, פרטי האדם שלגביו נמסר המידע וסוג המידע שנמסר; רישום כאמור יישמר לתקו</w:t>
      </w:r>
      <w:r>
        <w:rPr>
          <w:rStyle w:val="default"/>
          <w:rFonts w:cs="FrankRuehl"/>
          <w:rtl/>
        </w:rPr>
        <w:t>פה</w:t>
      </w:r>
      <w:r>
        <w:rPr>
          <w:rStyle w:val="default"/>
          <w:rFonts w:cs="FrankRuehl" w:hint="cs"/>
          <w:rtl/>
        </w:rPr>
        <w:t xml:space="preserve"> של חמש שנים ממועד מסירת המידע.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חילתן של תקנות אלה תשעים ימים מיום פרסומן.</w:t>
      </w:r>
    </w:p>
    <w:p w:rsidR="00DE7233" w:rsidRDefault="00DE72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DE7233" w:rsidRDefault="00DE723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תשס"ב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אף האמור בתקנת משנה (א), תחילתן של תקנה 3(ג) ושל התוספת, תהיה עם כניסתה לפעולה במשטרת ישראל של המערכת הממוחשבת "פלילי 2000" ולא יאוחר מיום כ"ו </w:t>
      </w:r>
      <w:r>
        <w:rPr>
          <w:rStyle w:val="default"/>
          <w:rFonts w:cs="FrankRuehl" w:hint="cs"/>
          <w:rtl/>
        </w:rPr>
        <w:lastRenderedPageBreak/>
        <w:t>בטבת תשס"ג (31 בדצ</w:t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ר 2002).</w:t>
      </w:r>
    </w:p>
    <w:p w:rsidR="00DE7233" w:rsidRDefault="00DE723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/>
          <w:b/>
          <w:bCs/>
          <w:rtl/>
        </w:rPr>
        <w:t>תו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DE7233" w:rsidRDefault="00DE7233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3ג)</w:t>
      </w:r>
    </w:p>
    <w:p w:rsidR="00DE7233" w:rsidRDefault="00DE72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 xml:space="preserve">                      ט</w:t>
      </w:r>
      <w:r>
        <w:rPr>
          <w:rFonts w:cs="FrankRuehl" w:hint="cs"/>
          <w:szCs w:val="20"/>
          <w:rtl/>
        </w:rPr>
        <w:t xml:space="preserve">ור א' </w:t>
      </w:r>
      <w:r>
        <w:rPr>
          <w:rFonts w:cs="FrankRuehl"/>
          <w:szCs w:val="20"/>
          <w:rtl/>
        </w:rPr>
        <w:tab/>
        <w:t xml:space="preserve">   </w:t>
      </w:r>
      <w:r>
        <w:rPr>
          <w:rFonts w:cs="FrankRuehl" w:hint="cs"/>
          <w:szCs w:val="20"/>
          <w:rtl/>
        </w:rPr>
        <w:t>טור ב'</w:t>
      </w:r>
      <w:r>
        <w:rPr>
          <w:rFonts w:cs="FrankRuehl"/>
          <w:szCs w:val="20"/>
          <w:rtl/>
        </w:rPr>
        <w:tab/>
        <w:t>ט</w:t>
      </w:r>
      <w:r>
        <w:rPr>
          <w:rFonts w:cs="FrankRuehl" w:hint="cs"/>
          <w:szCs w:val="20"/>
          <w:rtl/>
        </w:rPr>
        <w:t>ור ג'</w:t>
      </w:r>
    </w:p>
    <w:p w:rsidR="00DE7233" w:rsidRDefault="00DE72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u w:val="single"/>
          <w:rtl/>
        </w:rPr>
      </w:pPr>
      <w:r>
        <w:rPr>
          <w:rFonts w:cs="FrankRuehl"/>
          <w:szCs w:val="20"/>
          <w:u w:val="single"/>
          <w:rtl/>
        </w:rPr>
        <w:t>הג</w:t>
      </w:r>
      <w:r>
        <w:rPr>
          <w:rFonts w:cs="FrankRuehl" w:hint="cs"/>
          <w:szCs w:val="20"/>
          <w:u w:val="single"/>
          <w:rtl/>
        </w:rPr>
        <w:t>ופים לפי פרטי התוספת הראשונה</w:t>
      </w:r>
      <w:r>
        <w:rPr>
          <w:rFonts w:cs="FrankRuehl"/>
          <w:szCs w:val="20"/>
          <w:u w:val="single"/>
          <w:rtl/>
        </w:rPr>
        <w:tab/>
        <w:t>ס</w:t>
      </w:r>
      <w:r>
        <w:rPr>
          <w:rFonts w:cs="FrankRuehl" w:hint="cs"/>
          <w:szCs w:val="20"/>
          <w:u w:val="single"/>
          <w:rtl/>
        </w:rPr>
        <w:t>וג העבירה</w:t>
      </w:r>
      <w:r>
        <w:rPr>
          <w:rFonts w:cs="FrankRuehl"/>
          <w:szCs w:val="20"/>
          <w:u w:val="single"/>
          <w:rtl/>
        </w:rPr>
        <w:tab/>
        <w:t>ת</w:t>
      </w:r>
      <w:r>
        <w:rPr>
          <w:rFonts w:cs="FrankRuehl" w:hint="cs"/>
          <w:szCs w:val="20"/>
          <w:u w:val="single"/>
          <w:rtl/>
        </w:rPr>
        <w:t>קופה</w:t>
      </w:r>
      <w:r>
        <w:rPr>
          <w:rFonts w:cs="FrankRuehl"/>
          <w:szCs w:val="20"/>
          <w:u w:val="single"/>
          <w:rtl/>
        </w:rPr>
        <w:tab/>
      </w:r>
    </w:p>
    <w:p w:rsidR="00DE7233" w:rsidRDefault="00DE7233">
      <w:pPr>
        <w:pStyle w:val="P05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283"/>
          <w:tab w:val="left" w:pos="2551"/>
          <w:tab w:val="left" w:pos="4536"/>
        </w:tabs>
        <w:spacing w:before="72"/>
        <w:ind w:left="0" w:right="1134" w:firstLine="0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(1)</w:t>
      </w:r>
      <w:r>
        <w:rPr>
          <w:rFonts w:cs="FrankRuehl"/>
          <w:szCs w:val="20"/>
          <w:rtl/>
        </w:rPr>
        <w:tab/>
        <w:t>ל</w:t>
      </w:r>
      <w:r>
        <w:rPr>
          <w:rFonts w:cs="FrankRuehl" w:hint="cs"/>
          <w:szCs w:val="20"/>
          <w:rtl/>
        </w:rPr>
        <w:t>פי פרט (כו)</w:t>
      </w:r>
      <w:r>
        <w:rPr>
          <w:rFonts w:cs="FrankRuehl"/>
          <w:szCs w:val="20"/>
          <w:rtl/>
        </w:rPr>
        <w:tab/>
        <w:t>פ</w:t>
      </w:r>
      <w:r>
        <w:rPr>
          <w:rFonts w:cs="FrankRuehl" w:hint="cs"/>
          <w:szCs w:val="20"/>
          <w:rtl/>
        </w:rPr>
        <w:t>שע שעבר בגיר</w:t>
      </w:r>
      <w:r>
        <w:rPr>
          <w:rFonts w:cs="FrankRuehl"/>
          <w:szCs w:val="20"/>
          <w:rtl/>
        </w:rPr>
        <w:tab/>
        <w:t xml:space="preserve">5 </w:t>
      </w:r>
      <w:r>
        <w:rPr>
          <w:rFonts w:cs="FrankRuehl" w:hint="cs"/>
          <w:szCs w:val="20"/>
          <w:rtl/>
        </w:rPr>
        <w:t>שנים</w:t>
      </w:r>
    </w:p>
    <w:p w:rsidR="00DE7233" w:rsidRDefault="00DE7233">
      <w:pPr>
        <w:pStyle w:val="P55"/>
        <w:tabs>
          <w:tab w:val="clear" w:pos="283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> </w:t>
      </w: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>וון שעבר בגיר</w:t>
      </w:r>
      <w:r>
        <w:rPr>
          <w:rFonts w:cs="FrankRuehl"/>
          <w:szCs w:val="20"/>
          <w:rtl/>
        </w:rPr>
        <w:tab/>
        <w:t xml:space="preserve">3 </w:t>
      </w:r>
      <w:r>
        <w:rPr>
          <w:rFonts w:cs="FrankRuehl" w:hint="cs"/>
          <w:szCs w:val="20"/>
          <w:rtl/>
        </w:rPr>
        <w:t>שנים</w:t>
      </w:r>
    </w:p>
    <w:p w:rsidR="00DE7233" w:rsidRDefault="00DE7233">
      <w:pPr>
        <w:pStyle w:val="P55"/>
        <w:tabs>
          <w:tab w:val="clear" w:pos="2835"/>
          <w:tab w:val="left" w:pos="2551"/>
          <w:tab w:val="left" w:pos="4536"/>
        </w:tabs>
        <w:spacing w:before="72"/>
        <w:ind w:left="0" w:right="1134"/>
        <w:rPr>
          <w:rFonts w:cs="FrankRuehl"/>
          <w:szCs w:val="20"/>
          <w:rtl/>
        </w:rPr>
      </w:pPr>
      <w:r>
        <w:rPr>
          <w:rFonts w:cs="FrankRuehl"/>
          <w:szCs w:val="20"/>
          <w:rtl/>
        </w:rPr>
        <w:tab/>
        <w:t>ע</w:t>
      </w:r>
      <w:r>
        <w:rPr>
          <w:rFonts w:cs="FrankRuehl" w:hint="cs"/>
          <w:szCs w:val="20"/>
          <w:rtl/>
        </w:rPr>
        <w:t>בירה שעבר קטין</w:t>
      </w:r>
      <w:r>
        <w:rPr>
          <w:rFonts w:cs="FrankRuehl"/>
          <w:szCs w:val="20"/>
          <w:rtl/>
        </w:rPr>
        <w:tab/>
        <w:t xml:space="preserve">3 </w:t>
      </w:r>
      <w:r>
        <w:rPr>
          <w:rFonts w:cs="FrankRuehl" w:hint="cs"/>
          <w:szCs w:val="20"/>
          <w:rtl/>
        </w:rPr>
        <w:t>שנים</w:t>
      </w:r>
    </w:p>
    <w:p w:rsidR="00DE7233" w:rsidRDefault="00DE7233">
      <w:pPr>
        <w:pStyle w:val="P55"/>
        <w:spacing w:before="72"/>
        <w:ind w:left="2381" w:right="1134"/>
        <w:rPr>
          <w:rFonts w:cs="FrankRuehl"/>
          <w:sz w:val="26"/>
          <w:rtl/>
        </w:rPr>
      </w:pPr>
    </w:p>
    <w:p w:rsidR="00DE7233" w:rsidRDefault="00DE723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באלול תשנ"ח (30 באוגוסט 1998)</w:t>
      </w:r>
      <w:r>
        <w:rPr>
          <w:rFonts w:cs="FrankRuehl"/>
          <w:sz w:val="26"/>
          <w:rtl/>
        </w:rPr>
        <w:tab/>
        <w:t>צ</w:t>
      </w:r>
      <w:r>
        <w:rPr>
          <w:rFonts w:cs="FrankRuehl" w:hint="cs"/>
          <w:sz w:val="26"/>
          <w:rtl/>
        </w:rPr>
        <w:t>חי הנגבי</w:t>
      </w:r>
    </w:p>
    <w:p w:rsidR="00DE7233" w:rsidRDefault="00DE723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המשפטים</w:t>
      </w:r>
    </w:p>
    <w:p w:rsidR="00DE7233" w:rsidRDefault="00DE7233">
      <w:pPr>
        <w:ind w:right="1134"/>
        <w:rPr>
          <w:rFonts w:cs="David"/>
          <w:sz w:val="24"/>
          <w:rtl/>
        </w:rPr>
      </w:pPr>
      <w:bookmarkStart w:id="5" w:name="LawPartEnd"/>
    </w:p>
    <w:bookmarkEnd w:id="5"/>
    <w:p w:rsidR="00DE7233" w:rsidRDefault="00DE7233">
      <w:pPr>
        <w:ind w:right="1134"/>
        <w:rPr>
          <w:rFonts w:cs="David"/>
          <w:sz w:val="24"/>
          <w:rtl/>
        </w:rPr>
      </w:pPr>
    </w:p>
    <w:sectPr w:rsidR="00DE7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72A9" w:rsidRDefault="00F872A9">
      <w:r>
        <w:separator/>
      </w:r>
    </w:p>
  </w:endnote>
  <w:endnote w:type="continuationSeparator" w:id="0">
    <w:p w:rsidR="00F872A9" w:rsidRDefault="00F8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233" w:rsidRDefault="00DE72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233" w:rsidRDefault="00DE72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E7233" w:rsidRDefault="00DE72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233" w:rsidRDefault="00DE723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181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E7233" w:rsidRDefault="00DE723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DE7233" w:rsidRDefault="00DE723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M:\0a-lishca\law\gideon-03-02-13\law01\073_051.doc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233" w:rsidRDefault="00DE7233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72A9" w:rsidRDefault="00F872A9">
      <w:r>
        <w:separator/>
      </w:r>
    </w:p>
  </w:footnote>
  <w:footnote w:type="continuationSeparator" w:id="0">
    <w:p w:rsidR="00F872A9" w:rsidRDefault="00F8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233" w:rsidRDefault="00DE72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(כללי מסירת מידע בידי מחלקת בטחון שדה של צבא הגנה לישראל), תשנ"ח–1998</w:t>
    </w:r>
  </w:p>
  <w:p w:rsidR="00DE7233" w:rsidRDefault="00DE72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233" w:rsidRDefault="00DE72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233" w:rsidRDefault="00DE723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המרשם הפלילי ותקנת השבים (כללי מסירת מידע בידי מחלקת בטחון שדה של צבא הגנה לישראל), תשנ"ח–1998</w:t>
    </w:r>
  </w:p>
  <w:p w:rsidR="00DE7233" w:rsidRDefault="00DE72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E7233" w:rsidRDefault="00DE723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233" w:rsidRDefault="00DE7233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49B3"/>
    <w:rsid w:val="00466009"/>
    <w:rsid w:val="008D241F"/>
    <w:rsid w:val="00A2085C"/>
    <w:rsid w:val="00B449B3"/>
    <w:rsid w:val="00DE7233"/>
    <w:rsid w:val="00EA78E6"/>
    <w:rsid w:val="00F1271C"/>
    <w:rsid w:val="00F862A3"/>
    <w:rsid w:val="00F872A9"/>
    <w:rsid w:val="00F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4BD6756-8167-4B65-8ECF-F8EE5415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925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3243</CharactersWithSpaces>
  <SharedDoc>false</SharedDoc>
  <HLinks>
    <vt:vector size="36" baseType="variant">
      <vt:variant>
        <vt:i4>8257540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http://www.nevo.co.il/Law_word/law06/TAK-5925.pdf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המרשם הפלילי ותקנת השבים (כללי מסירת מידע בידי מחלקת בטחון שדה של צבא הגנה לישראל), תשנ"ח–1998</vt:lpwstr>
  </property>
  <property fmtid="{D5CDD505-2E9C-101B-9397-08002B2CF9AE}" pid="5" name="LAWNUMBER">
    <vt:lpwstr>0051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מרשם פלילי</vt:lpwstr>
  </property>
  <property fmtid="{D5CDD505-2E9C-101B-9397-08002B2CF9AE}" pid="9" name="NOSE31">
    <vt:lpwstr>כללי מסירת מידע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מרשם פלילי</vt:lpwstr>
  </property>
  <property fmtid="{D5CDD505-2E9C-101B-9397-08002B2CF9AE}" pid="14" name="NOSE42">
    <vt:lpwstr>כללי מסירת מידע</vt:lpwstr>
  </property>
  <property fmtid="{D5CDD505-2E9C-101B-9397-08002B2CF9AE}" pid="15" name="NOSE13">
    <vt:lpwstr>בטחון</vt:lpwstr>
  </property>
  <property fmtid="{D5CDD505-2E9C-101B-9397-08002B2CF9AE}" pid="16" name="NOSE23">
    <vt:lpwstr>צה"ל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המרשם הפלילי ותקנת השבים</vt:lpwstr>
  </property>
  <property fmtid="{D5CDD505-2E9C-101B-9397-08002B2CF9AE}" pid="48" name="MEKOR_SAIF1">
    <vt:lpwstr>5X</vt:lpwstr>
  </property>
</Properties>
</file>