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156" w:rsidRDefault="001C215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המרשם הפלילי ותקנת השבים (כללי מסירת מידע בידי משטרת ישראל), תשנ"ח–1998</w:t>
      </w:r>
    </w:p>
    <w:p w:rsidR="008F60EF" w:rsidRPr="008F60EF" w:rsidRDefault="008F60EF" w:rsidP="008F60EF">
      <w:pPr>
        <w:spacing w:line="320" w:lineRule="auto"/>
        <w:jc w:val="left"/>
        <w:rPr>
          <w:rFonts w:cs="FrankRuehl"/>
          <w:szCs w:val="26"/>
          <w:rtl/>
        </w:rPr>
      </w:pPr>
    </w:p>
    <w:p w:rsidR="008F60EF" w:rsidRDefault="008F60EF" w:rsidP="008F60EF">
      <w:pPr>
        <w:spacing w:line="320" w:lineRule="auto"/>
        <w:jc w:val="left"/>
        <w:rPr>
          <w:rFonts w:cs="Miriam"/>
          <w:szCs w:val="22"/>
          <w:rtl/>
        </w:rPr>
      </w:pPr>
      <w:r w:rsidRPr="008F60EF">
        <w:rPr>
          <w:rFonts w:cs="Miriam"/>
          <w:szCs w:val="22"/>
          <w:rtl/>
        </w:rPr>
        <w:t>עונשין ומשפט פלילי</w:t>
      </w:r>
      <w:r w:rsidRPr="008F60EF">
        <w:rPr>
          <w:rFonts w:cs="FrankRuehl"/>
          <w:szCs w:val="26"/>
          <w:rtl/>
        </w:rPr>
        <w:t xml:space="preserve"> – מרשם פלילי – כללי מסירת מידע</w:t>
      </w:r>
    </w:p>
    <w:p w:rsidR="008F60EF" w:rsidRDefault="008F60EF" w:rsidP="008F60EF">
      <w:pPr>
        <w:spacing w:line="320" w:lineRule="auto"/>
        <w:jc w:val="left"/>
        <w:rPr>
          <w:rFonts w:cs="Miriam"/>
          <w:szCs w:val="22"/>
          <w:rtl/>
        </w:rPr>
      </w:pPr>
      <w:r w:rsidRPr="008F60EF">
        <w:rPr>
          <w:rFonts w:cs="Miriam"/>
          <w:szCs w:val="22"/>
          <w:rtl/>
        </w:rPr>
        <w:t>בתי משפט וסדרי דין</w:t>
      </w:r>
      <w:r w:rsidRPr="008F60EF">
        <w:rPr>
          <w:rFonts w:cs="FrankRuehl"/>
          <w:szCs w:val="26"/>
          <w:rtl/>
        </w:rPr>
        <w:t xml:space="preserve"> – סדר דין פלילי – מרשם פלילי – כללי מסירת מידע</w:t>
      </w:r>
    </w:p>
    <w:p w:rsidR="008F60EF" w:rsidRPr="008F60EF" w:rsidRDefault="008F60EF" w:rsidP="008F60EF">
      <w:pPr>
        <w:spacing w:line="320" w:lineRule="auto"/>
        <w:jc w:val="left"/>
        <w:rPr>
          <w:rFonts w:cs="Miriam" w:hint="cs"/>
          <w:szCs w:val="22"/>
          <w:rtl/>
        </w:rPr>
      </w:pPr>
      <w:r w:rsidRPr="008F60EF">
        <w:rPr>
          <w:rFonts w:cs="Miriam"/>
          <w:szCs w:val="22"/>
          <w:rtl/>
        </w:rPr>
        <w:t>בטחון</w:t>
      </w:r>
      <w:r w:rsidRPr="008F60EF">
        <w:rPr>
          <w:rFonts w:cs="FrankRuehl"/>
          <w:szCs w:val="26"/>
          <w:rtl/>
        </w:rPr>
        <w:t xml:space="preserve"> – משטרה – מידע בידי משטרת ישראל</w:t>
      </w:r>
    </w:p>
    <w:p w:rsidR="001C2156" w:rsidRDefault="001C215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C21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2156" w:rsidRDefault="001C21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C21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hyperlink w:anchor="Seif1" w:tooltip="בקשה לקבלת 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2156" w:rsidRDefault="001C21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לקבלת  מידע</w:t>
            </w:r>
          </w:p>
        </w:tc>
        <w:tc>
          <w:tcPr>
            <w:tcW w:w="124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C21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hyperlink w:anchor="Seif2" w:tooltip="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2156" w:rsidRDefault="001C21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מידע</w:t>
            </w:r>
          </w:p>
        </w:tc>
        <w:tc>
          <w:tcPr>
            <w:tcW w:w="124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C21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hyperlink w:anchor="Seif3" w:tooltip="רישום 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2156" w:rsidRDefault="001C21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מסירת מידע</w:t>
            </w:r>
          </w:p>
        </w:tc>
        <w:tc>
          <w:tcPr>
            <w:tcW w:w="124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C215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2156" w:rsidRDefault="001C215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C2156" w:rsidRDefault="001C215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1C2156" w:rsidRDefault="001C2156">
      <w:pPr>
        <w:pStyle w:val="big-header"/>
        <w:ind w:left="0" w:right="1134"/>
        <w:rPr>
          <w:rFonts w:cs="FrankRuehl"/>
          <w:sz w:val="32"/>
          <w:rtl/>
        </w:rPr>
      </w:pPr>
    </w:p>
    <w:p w:rsidR="001C2156" w:rsidRPr="008F60EF" w:rsidRDefault="001C2156" w:rsidP="008F60EF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המרשם הפלילי ותקנת השבים (כללי מסירת מידע בידי משטרת ישראל), תשנ"ח</w:t>
      </w:r>
      <w:r>
        <w:rPr>
          <w:rFonts w:cs="FrankRuehl"/>
          <w:sz w:val="32"/>
          <w:rtl/>
        </w:rPr>
        <w:t>–1998</w:t>
      </w:r>
      <w:r>
        <w:rPr>
          <w:rStyle w:val="super"/>
          <w:rFonts w:cs="Miriam"/>
          <w:noProof w:val="0"/>
          <w:rtl/>
          <w:lang w:eastAsia="he-IL"/>
        </w:rPr>
        <w:t>(1/48)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 לחוק המרשם הפלילי ותקנת השבים, תשמ"א</w:t>
      </w:r>
      <w:r>
        <w:rPr>
          <w:rStyle w:val="default"/>
          <w:rFonts w:cs="FrankRuehl"/>
          <w:rtl/>
        </w:rPr>
        <w:t>–1981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החוק), לאחר התייעצות עם השר לבטחון הפנים ובאישור ועדת החוקה חוק ומשפט של הכנס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אני מתקין תקנות אלה: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1C2156" w:rsidRDefault="001C21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מ"ן"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אגף המודיעין במטה הארצי של משטרת ישראל;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בקש"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רשות או בעל תפקיד מן המפורטים בתוספת הראשונה לחוק, המגיש בקשה לקבלת מידע;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ידע"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אחד מאלה:</w:t>
      </w:r>
    </w:p>
    <w:p w:rsidR="001C2156" w:rsidRDefault="001C2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כמשמעותם בסעיף 2 לחוק;</w:t>
      </w:r>
    </w:p>
    <w:p w:rsidR="001C2156" w:rsidRDefault="001C2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בדבר חקירו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שבהן התגבש חומר לשם פתיחת תיק, ומשפט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פליליים תלויים ועומדים כמשמעותם בסעיף 11 לחוק;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אגר מידע"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אוסף נתוני מידע המוחזק במחשב כהגדרתו בחוק המחשבים, תשנ"ה</w:t>
      </w:r>
      <w:r>
        <w:rPr>
          <w:rStyle w:val="default"/>
          <w:rFonts w:cs="FrankRuehl"/>
          <w:rtl/>
        </w:rPr>
        <w:t xml:space="preserve">–1995; 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ענ"א"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המרכז לעיבוד נתונים אוטומטי במטה הארצי של משטרת ישראל;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ח"ק"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מחלקת חקירות ותביעות במטה הארצי של משטרת ישראל.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48.95pt;z-index:251656192" o:allowincell="f" filled="f" stroked="f" strokecolor="lime" strokeweight=".25pt">
            <v:textbox inset="0,0,0,0">
              <w:txbxContent>
                <w:p w:rsidR="001C2156" w:rsidRDefault="001C215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שה לקבלת </w:t>
                  </w:r>
                </w:p>
                <w:p w:rsidR="001C2156" w:rsidRDefault="001C21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לקבלת מידע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הבקשה), תוגש באחת מדרכים אלה:</w:t>
      </w:r>
    </w:p>
    <w:p w:rsidR="001C2156" w:rsidRDefault="001C2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אמצעות מסמך חתום ביד המבקש, שבו צוינו הפרטים האלה: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 xml:space="preserve">שם </w:t>
      </w:r>
      <w:r>
        <w:rPr>
          <w:rStyle w:val="default"/>
          <w:rFonts w:cs="FrankRuehl" w:hint="cs"/>
          <w:rtl/>
        </w:rPr>
        <w:t>הרשות או בעל התפק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 המבקשים את המידע;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הפונה ומספר זהותו, ופרטי הגורמים שלהם תהיה גישה למידע במסגרת תפקידם;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עילה לבקשת המידע;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האדם שאליו מתייחסת הבקשה, מספר זהותו ומענו;</w:t>
      </w:r>
    </w:p>
    <w:p w:rsidR="001C2156" w:rsidRDefault="001C2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גבי אמצעי מגנטי, לפי דרישת מענ"א; במקרים שתקבע מענ"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 xml:space="preserve">יצורף מסמך הכולל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ת הפרטים המפורטים בפסקה (1). 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תקנת משנה (א) לא יחולו על העברת מידע לגוף המפורט בפרטים (י), (יא) ו-(יב) לתוספת הראשונה לחוק, לצורך חקירה או הליך משפטי.</w:t>
      </w:r>
    </w:p>
    <w:p w:rsidR="008F60EF" w:rsidRDefault="008F60EF" w:rsidP="008F60E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8F60EF" w:rsidRDefault="008F60EF" w:rsidP="008F60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(1/48)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8F60EF">
          <w:rPr>
            <w:rStyle w:val="Hyperlink"/>
            <w:rFonts w:cs="FrankRuehl" w:hint="cs"/>
            <w:rtl/>
          </w:rPr>
          <w:t>ק"ת תשנ"ח מס' 5914</w:t>
        </w:r>
      </w:hyperlink>
      <w:r>
        <w:rPr>
          <w:rFonts w:cs="FrankRuehl" w:hint="cs"/>
          <w:rtl/>
        </w:rPr>
        <w:t xml:space="preserve"> מיום 30.7.1998 עמ' 1056. 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1C2156" w:rsidRDefault="001C21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ידע יימסר בידי מח"ק, ובמקרים מיוחדים שייקבעו בנוהלי משטרת ישראל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גם בידי מענ"א, אמ"ן וקציני קישור משטרה </w:t>
      </w:r>
      <w:r>
        <w:rPr>
          <w:rStyle w:val="default"/>
          <w:rFonts w:cs="FrankRuehl"/>
          <w:rtl/>
        </w:rPr>
        <w:t>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>רקליטות.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יימסר מידע אלא לאחר שמח"ק בדקה את כל אלה:</w:t>
      </w:r>
    </w:p>
    <w:p w:rsidR="001C2156" w:rsidRDefault="001C2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יות המבקש נמנה עם הרשויות ובעלי התפקידים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מפורטים בתוספת הראשונה לחוק;</w:t>
      </w:r>
    </w:p>
    <w:p w:rsidR="001C2156" w:rsidRDefault="001C21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יקף המידע שניתן למסור למבקש לענין </w:t>
      </w:r>
      <w:r>
        <w:rPr>
          <w:rStyle w:val="default"/>
          <w:rFonts w:cs="FrankRuehl"/>
          <w:rtl/>
        </w:rPr>
        <w:t>—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שביצעו קטינים וצווים מי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>דים,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בסעיף 13 לחוק;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שהתיישנו לפי סעיף 14 לחוק;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שנמחקו לפי סעיף 16 לחוק;</w:t>
      </w:r>
    </w:p>
    <w:p w:rsidR="001C2156" w:rsidRDefault="001C2156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המפורטות בסעיף 17 לחוק.</w:t>
      </w:r>
    </w:p>
    <w:p w:rsidR="001C2156" w:rsidRDefault="001C215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יימסר מידע על תיק תלוי ועומד לרשויות ולבעלי תפקידים מן המפורטים בתוספת הראשונ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לחוק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הגופים), כמפורט בטור א' בתוספת לגבי עבירות כאמור בטור ב' לצדו, אם חלפה למן פתיחת התיק התקופה כמפורט לצדם בטור ג', אלא אם כן הוגש כתב אישום בענין; הוגש כתב אישום, יימסר מידע כאמור כל עוד לא נסתיימו ההליכים המשפטיים בתיק.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משנה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ג), רשאי היועץ המשפטי לממשלה לאשר מסירת מידע על תיקים תלויים ועומדים לגופים, שלא על פי המגבלות הקבועות בתוספת, מנימוקים מיוחדים שיירשמו ועל סמך בקשה מנומקת מטעם הגוף המבקש.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חת לשנה תערוך מח"ק בקרה במשטרת ישראל על מצב התיקים התלויים ועומדים, ל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בדי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ה אם ניתן להגיש כתב אישום, אם יש צורך בהמשך החקירה או אם יש מקום לסגור את התיק; דיווח על תוצאות הבקרה יוגש לוועדת החוקה חוק ומשפט של הכנסת.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מידע יימסר למבקש בתוך 30 ימים מיום קבלת הבקשה.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1C2156" w:rsidRDefault="001C21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מסירת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>סר מידע על פי בקשה לפי תקנה 2(א), יירשמו במאגר המי</w:t>
      </w:r>
      <w:r>
        <w:rPr>
          <w:rStyle w:val="default"/>
          <w:rFonts w:cs="FrankRuehl"/>
          <w:rtl/>
        </w:rPr>
        <w:t>דע</w:t>
      </w:r>
      <w:r>
        <w:rPr>
          <w:rStyle w:val="default"/>
          <w:rFonts w:cs="FrankRuehl" w:hint="cs"/>
          <w:rtl/>
        </w:rPr>
        <w:t xml:space="preserve"> שם הגוף המבקש, פרטים מזהים של הפונה והיקף המידע שנמסר לו; רישום כאמור יישמר לתקופה של חמש שנים ממועד מסירת המידע.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1C2156" w:rsidRDefault="001C21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חילתן של תקנות אלה תשעים ימים מיום פרסומן.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1C2156" w:rsidRDefault="001C21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–2001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בתקנת משנה (א), תחילתן של תקנות 3(ג) ו-(ד) ו-4 לענין רישום הפרטים המז</w:t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 xml:space="preserve">ם של הפונה ושל התוספת, תהיה עם כניסתה של המערכת הממוחשבת "פלילי 2000" לפעולה במשטרת ישראל, ולא יאוחר מיום כ"ו בטבת תשס"ג (31 בדצמבר 2002). </w:t>
      </w: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2156" w:rsidRDefault="001C21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2156" w:rsidRDefault="001C2156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1C2156" w:rsidRDefault="001C2156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1C2156" w:rsidRDefault="001C2156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1C2156" w:rsidRDefault="001C2156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1C2156" w:rsidRDefault="001C2156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1C2156" w:rsidRDefault="001C2156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 w:val="24"/>
          <w:szCs w:val="24"/>
          <w:rtl/>
        </w:rPr>
      </w:pPr>
      <w:r>
        <w:rPr>
          <w:rFonts w:cs="FrankRuehl"/>
          <w:b/>
          <w:bCs/>
          <w:position w:val="0"/>
          <w:sz w:val="24"/>
          <w:szCs w:val="24"/>
          <w:rtl/>
        </w:rPr>
        <w:t>תו</w:t>
      </w:r>
      <w:r>
        <w:rPr>
          <w:rFonts w:cs="FrankRuehl" w:hint="cs"/>
          <w:b/>
          <w:bCs/>
          <w:position w:val="0"/>
          <w:sz w:val="24"/>
          <w:szCs w:val="24"/>
          <w:rtl/>
        </w:rPr>
        <w:t>ספת</w:t>
      </w:r>
    </w:p>
    <w:p w:rsidR="001C2156" w:rsidRDefault="001C2156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3(ג))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  <w:t xml:space="preserve">           </w:t>
      </w:r>
      <w:r>
        <w:rPr>
          <w:rFonts w:cs="FrankRuehl" w:hint="cs"/>
          <w:szCs w:val="20"/>
          <w:rtl/>
        </w:rPr>
        <w:t xml:space="preserve">טור א' 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 xml:space="preserve"> </w:t>
      </w:r>
      <w:r>
        <w:rPr>
          <w:rFonts w:cs="FrankRuehl"/>
          <w:szCs w:val="20"/>
          <w:rtl/>
        </w:rPr>
        <w:t>ט</w:t>
      </w:r>
      <w:r>
        <w:rPr>
          <w:rFonts w:cs="FrankRuehl" w:hint="cs"/>
          <w:szCs w:val="20"/>
          <w:rtl/>
        </w:rPr>
        <w:t>ור ב'</w:t>
      </w:r>
      <w:r>
        <w:rPr>
          <w:rFonts w:cs="FrankRuehl"/>
          <w:szCs w:val="20"/>
          <w:rtl/>
        </w:rPr>
        <w:tab/>
        <w:t xml:space="preserve"> </w:t>
      </w:r>
      <w:r>
        <w:rPr>
          <w:rFonts w:cs="FrankRuehl" w:hint="cs"/>
          <w:szCs w:val="20"/>
          <w:rtl/>
        </w:rPr>
        <w:t>טור ג'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u w:val="single"/>
          <w:rtl/>
        </w:rPr>
      </w:pPr>
      <w:r>
        <w:rPr>
          <w:rFonts w:cs="FrankRuehl"/>
          <w:szCs w:val="20"/>
          <w:u w:val="single"/>
          <w:rtl/>
        </w:rPr>
        <w:t>הג</w:t>
      </w:r>
      <w:r>
        <w:rPr>
          <w:rFonts w:cs="FrankRuehl" w:hint="cs"/>
          <w:szCs w:val="20"/>
          <w:u w:val="single"/>
          <w:rtl/>
        </w:rPr>
        <w:t xml:space="preserve">ופים </w:t>
      </w:r>
      <w:r>
        <w:rPr>
          <w:rFonts w:cs="FrankRuehl"/>
          <w:szCs w:val="20"/>
          <w:u w:val="single"/>
          <w:rtl/>
        </w:rPr>
        <w:t>לפ</w:t>
      </w:r>
      <w:r>
        <w:rPr>
          <w:rFonts w:cs="FrankRuehl" w:hint="cs"/>
          <w:szCs w:val="20"/>
          <w:u w:val="single"/>
          <w:rtl/>
        </w:rPr>
        <w:t>י פרטי התוספת הראשונה</w:t>
      </w:r>
      <w:r>
        <w:rPr>
          <w:rFonts w:cs="FrankRuehl"/>
          <w:szCs w:val="20"/>
          <w:u w:val="single"/>
          <w:rtl/>
        </w:rPr>
        <w:tab/>
        <w:t>ס</w:t>
      </w:r>
      <w:r>
        <w:rPr>
          <w:rFonts w:cs="FrankRuehl" w:hint="cs"/>
          <w:szCs w:val="20"/>
          <w:u w:val="single"/>
          <w:rtl/>
        </w:rPr>
        <w:t xml:space="preserve">וג העבירה </w:t>
      </w:r>
      <w:r>
        <w:rPr>
          <w:rFonts w:cs="FrankRuehl"/>
          <w:szCs w:val="20"/>
          <w:u w:val="single"/>
          <w:rtl/>
        </w:rPr>
        <w:tab/>
        <w:t>ת</w:t>
      </w:r>
      <w:r>
        <w:rPr>
          <w:rFonts w:cs="FrankRuehl" w:hint="cs"/>
          <w:szCs w:val="20"/>
          <w:u w:val="single"/>
          <w:rtl/>
        </w:rPr>
        <w:t>קופה</w:t>
      </w:r>
      <w:r>
        <w:rPr>
          <w:rFonts w:cs="FrankRuehl"/>
          <w:szCs w:val="20"/>
          <w:u w:val="single"/>
          <w:rtl/>
        </w:rPr>
        <w:tab/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(1)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פי פרטים (ו), למעט לצורך</w:t>
      </w:r>
      <w:r>
        <w:rPr>
          <w:rFonts w:cs="FrankRuehl"/>
          <w:szCs w:val="20"/>
          <w:rtl/>
        </w:rPr>
        <w:tab/>
        <w:t>פ</w:t>
      </w:r>
      <w:r>
        <w:rPr>
          <w:rFonts w:cs="FrankRuehl" w:hint="cs"/>
          <w:szCs w:val="20"/>
          <w:rtl/>
        </w:rPr>
        <w:t xml:space="preserve">שע שעבר בגיר 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נתיים וחצי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  <w:t>ה</w:t>
      </w:r>
      <w:r>
        <w:rPr>
          <w:rFonts w:cs="FrankRuehl" w:hint="cs"/>
          <w:szCs w:val="20"/>
          <w:rtl/>
        </w:rPr>
        <w:t>עסקה בתפקיד מסווג שמור</w:t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 xml:space="preserve">וון שעבר בגיר 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נתיים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  <w:t>ו</w:t>
      </w:r>
      <w:r>
        <w:rPr>
          <w:rFonts w:cs="FrankRuehl" w:hint="cs"/>
          <w:szCs w:val="20"/>
          <w:rtl/>
        </w:rPr>
        <w:t>מעלה, ו-(כז)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(2)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פי פרט (כא)</w:t>
      </w:r>
      <w:r>
        <w:rPr>
          <w:rFonts w:cs="FrankRuehl"/>
          <w:szCs w:val="20"/>
          <w:rtl/>
        </w:rPr>
        <w:tab/>
        <w:t>פ</w:t>
      </w:r>
      <w:r>
        <w:rPr>
          <w:rFonts w:cs="FrankRuehl" w:hint="cs"/>
          <w:szCs w:val="20"/>
          <w:rtl/>
        </w:rPr>
        <w:t xml:space="preserve">שע שעבר בגיר 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נתיים וחצי</w:t>
      </w:r>
    </w:p>
    <w:p w:rsidR="001C2156" w:rsidRDefault="001C2156">
      <w:pPr>
        <w:pStyle w:val="P55"/>
        <w:tabs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 xml:space="preserve">וון שעבר בגיר 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נתיים</w:t>
      </w:r>
    </w:p>
    <w:p w:rsidR="001C2156" w:rsidRDefault="001C2156">
      <w:pPr>
        <w:pStyle w:val="P55"/>
        <w:tabs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>בירה שעבר קטין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נה</w:t>
      </w:r>
    </w:p>
    <w:p w:rsidR="001C2156" w:rsidRDefault="001C2156">
      <w:pPr>
        <w:pStyle w:val="P55"/>
        <w:tabs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(3)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 xml:space="preserve">פי פרטים (טז), (יז), (יט) </w:t>
      </w:r>
      <w:r>
        <w:rPr>
          <w:rFonts w:cs="FrankRuehl"/>
          <w:szCs w:val="20"/>
          <w:rtl/>
        </w:rPr>
        <w:tab/>
        <w:t>פ</w:t>
      </w:r>
      <w:r>
        <w:rPr>
          <w:rFonts w:cs="FrankRuehl" w:hint="cs"/>
          <w:szCs w:val="20"/>
          <w:rtl/>
        </w:rPr>
        <w:t>שע שעבר בגיר</w:t>
      </w:r>
      <w:r>
        <w:rPr>
          <w:rFonts w:cs="FrankRuehl"/>
          <w:szCs w:val="20"/>
          <w:rtl/>
        </w:rPr>
        <w:tab/>
        <w:t>ח</w:t>
      </w:r>
      <w:r>
        <w:rPr>
          <w:rFonts w:cs="FrankRuehl" w:hint="cs"/>
          <w:szCs w:val="20"/>
          <w:rtl/>
        </w:rPr>
        <w:t>מש שנים</w:t>
      </w:r>
    </w:p>
    <w:p w:rsidR="001C2156" w:rsidRDefault="001C2156">
      <w:pPr>
        <w:pStyle w:val="P55"/>
        <w:tabs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ו</w:t>
      </w:r>
      <w:r>
        <w:rPr>
          <w:rFonts w:cs="FrankRuehl"/>
          <w:szCs w:val="20"/>
          <w:rtl/>
        </w:rPr>
        <w:t>-(</w:t>
      </w:r>
      <w:r>
        <w:rPr>
          <w:rFonts w:cs="FrankRuehl" w:hint="cs"/>
          <w:szCs w:val="20"/>
          <w:rtl/>
        </w:rPr>
        <w:t>כו)</w:t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>וון שעבר בגיר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לוש שנים</w:t>
      </w:r>
    </w:p>
    <w:p w:rsidR="001C2156" w:rsidRDefault="001C2156">
      <w:pPr>
        <w:pStyle w:val="P55"/>
        <w:tabs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 xml:space="preserve">בירה שעבר קטין 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לוש שנים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(4)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פי פרטים (ו), לענין העסקה</w:t>
      </w:r>
      <w:r>
        <w:rPr>
          <w:rFonts w:cs="FrankRuehl"/>
          <w:szCs w:val="20"/>
          <w:rtl/>
        </w:rPr>
        <w:tab/>
        <w:t>כ</w:t>
      </w:r>
      <w:r>
        <w:rPr>
          <w:rFonts w:cs="FrankRuehl" w:hint="cs"/>
          <w:szCs w:val="20"/>
          <w:rtl/>
        </w:rPr>
        <w:t xml:space="preserve">ל עבירה, למעט 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לא הגבלה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ab/>
        <w:t>ב</w:t>
      </w:r>
      <w:r>
        <w:rPr>
          <w:rFonts w:cs="FrankRuehl" w:hint="cs"/>
          <w:szCs w:val="20"/>
          <w:rtl/>
        </w:rPr>
        <w:t>תפקיד מסווג שמור ומעלה, (ז)</w:t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 xml:space="preserve">בירה </w:t>
      </w:r>
      <w:r>
        <w:rPr>
          <w:rFonts w:cs="FrankRuehl"/>
          <w:szCs w:val="20"/>
          <w:rtl/>
        </w:rPr>
        <w:t>ש</w:t>
      </w:r>
      <w:r>
        <w:rPr>
          <w:rFonts w:cs="FrankRuehl" w:hint="cs"/>
          <w:szCs w:val="20"/>
          <w:rtl/>
        </w:rPr>
        <w:t xml:space="preserve">עבר קטין 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>ד (ט), (כ), (כג), (כה1) ו-(כט</w:t>
      </w:r>
      <w:r>
        <w:rPr>
          <w:rFonts w:cs="FrankRuehl"/>
          <w:szCs w:val="20"/>
          <w:rtl/>
        </w:rPr>
        <w:t>)</w:t>
      </w:r>
      <w:r>
        <w:rPr>
          <w:rFonts w:cs="FrankRuehl"/>
          <w:szCs w:val="20"/>
          <w:rtl/>
        </w:rPr>
        <w:tab/>
        <w:t>ש</w:t>
      </w:r>
      <w:r>
        <w:rPr>
          <w:rFonts w:cs="FrankRuehl" w:hint="cs"/>
          <w:szCs w:val="20"/>
          <w:rtl/>
        </w:rPr>
        <w:t>טרם מלאו לו 16 שנה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(5)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פי פרטים (א) עד (ה), (י)</w:t>
      </w:r>
      <w:r>
        <w:rPr>
          <w:rFonts w:cs="FrankRuehl"/>
          <w:szCs w:val="20"/>
          <w:rtl/>
        </w:rPr>
        <w:tab/>
        <w:t>כ</w:t>
      </w:r>
      <w:r>
        <w:rPr>
          <w:rFonts w:cs="FrankRuehl" w:hint="cs"/>
          <w:szCs w:val="20"/>
          <w:rtl/>
        </w:rPr>
        <w:t xml:space="preserve">ל עבירה 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לא הגבלה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>ד (יד), (טו), (יח), (כב), (כד),</w:t>
      </w:r>
    </w:p>
    <w:p w:rsidR="001C2156" w:rsidRDefault="001C21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42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ab/>
        <w:t>(</w:t>
      </w:r>
      <w:r>
        <w:rPr>
          <w:rFonts w:cs="FrankRuehl" w:hint="cs"/>
          <w:szCs w:val="20"/>
          <w:rtl/>
        </w:rPr>
        <w:t>כה) ו-(כח)</w:t>
      </w:r>
    </w:p>
    <w:p w:rsidR="001C2156" w:rsidRDefault="001C2156">
      <w:pPr>
        <w:pStyle w:val="P05"/>
        <w:spacing w:before="72"/>
        <w:ind w:left="2381" w:right="1134"/>
        <w:rPr>
          <w:rFonts w:cs="FrankRuehl"/>
          <w:sz w:val="26"/>
          <w:rtl/>
        </w:rPr>
      </w:pPr>
    </w:p>
    <w:p w:rsidR="001C2156" w:rsidRDefault="001C215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באב תשנ"ח (29 ביולי 1998)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חי הנגבי</w:t>
      </w:r>
    </w:p>
    <w:p w:rsidR="001C2156" w:rsidRDefault="001C215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1C2156" w:rsidRDefault="001C2156">
      <w:pPr>
        <w:ind w:right="1134"/>
        <w:rPr>
          <w:rFonts w:cs="David"/>
          <w:sz w:val="24"/>
          <w:rtl/>
        </w:rPr>
      </w:pPr>
      <w:bookmarkStart w:id="5" w:name="LawPartEnd"/>
    </w:p>
    <w:bookmarkEnd w:id="5"/>
    <w:p w:rsidR="001C2156" w:rsidRDefault="001C2156">
      <w:pPr>
        <w:ind w:right="1134"/>
        <w:rPr>
          <w:rFonts w:cs="David"/>
          <w:sz w:val="24"/>
          <w:rtl/>
        </w:rPr>
      </w:pPr>
    </w:p>
    <w:sectPr w:rsidR="001C21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347D" w:rsidRDefault="0054347D">
      <w:r>
        <w:separator/>
      </w:r>
    </w:p>
  </w:endnote>
  <w:endnote w:type="continuationSeparator" w:id="0">
    <w:p w:rsidR="0054347D" w:rsidRDefault="0054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156" w:rsidRDefault="001C21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C2156" w:rsidRDefault="001C21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2156" w:rsidRDefault="001C21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156" w:rsidRDefault="001C21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76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C2156" w:rsidRDefault="001C21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2156" w:rsidRDefault="001C21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156" w:rsidRDefault="001C215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347D" w:rsidRDefault="0054347D">
      <w:r>
        <w:separator/>
      </w:r>
    </w:p>
  </w:footnote>
  <w:footnote w:type="continuationSeparator" w:id="0">
    <w:p w:rsidR="0054347D" w:rsidRDefault="00543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156" w:rsidRDefault="001C21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(כללי מסירת מידע בידי משטרת ישראל), תשנ"ח–1998</w:t>
    </w:r>
  </w:p>
  <w:p w:rsidR="001C2156" w:rsidRDefault="001C2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2156" w:rsidRDefault="001C2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156" w:rsidRDefault="001C21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(כללי מסירת מידע בידי משטרת ישראל), תשנ"ח–1998</w:t>
    </w:r>
  </w:p>
  <w:p w:rsidR="001C2156" w:rsidRDefault="001C2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2156" w:rsidRDefault="001C21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156" w:rsidRDefault="001C215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0EF"/>
    <w:rsid w:val="001C2156"/>
    <w:rsid w:val="003F34E8"/>
    <w:rsid w:val="0054347D"/>
    <w:rsid w:val="007E761F"/>
    <w:rsid w:val="008F60EF"/>
    <w:rsid w:val="00B1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15BB68E-5E43-4018-9E71-65CFA3E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14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4645</CharactersWithSpaces>
  <SharedDoc>false</SharedDoc>
  <HLinks>
    <vt:vector size="36" baseType="variant">
      <vt:variant>
        <vt:i4>8192005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http://www.nevo.co.il/Law_word/law06/TAK-5914.pdf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המרשם הפלילי ותקנת השבים (כללי מסירת מידע בידי משטרת ישראל), תשנ"ח–1998</vt:lpwstr>
  </property>
  <property fmtid="{D5CDD505-2E9C-101B-9397-08002B2CF9AE}" pid="5" name="LAWNUMBER">
    <vt:lpwstr>0050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מרשם פלילי</vt:lpwstr>
  </property>
  <property fmtid="{D5CDD505-2E9C-101B-9397-08002B2CF9AE}" pid="9" name="NOSE31">
    <vt:lpwstr>כללי מסירת מידע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מרשם פלילי</vt:lpwstr>
  </property>
  <property fmtid="{D5CDD505-2E9C-101B-9397-08002B2CF9AE}" pid="14" name="NOSE42">
    <vt:lpwstr>כללי מסירת מידע</vt:lpwstr>
  </property>
  <property fmtid="{D5CDD505-2E9C-101B-9397-08002B2CF9AE}" pid="15" name="NOSE13">
    <vt:lpwstr>בטחון</vt:lpwstr>
  </property>
  <property fmtid="{D5CDD505-2E9C-101B-9397-08002B2CF9AE}" pid="16" name="NOSE23">
    <vt:lpwstr>משטרה</vt:lpwstr>
  </property>
  <property fmtid="{D5CDD505-2E9C-101B-9397-08002B2CF9AE}" pid="17" name="NOSE33">
    <vt:lpwstr>מידע בידי משטרת ישראל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המרשם הפלילי ותקנת השבים</vt:lpwstr>
  </property>
  <property fmtid="{D5CDD505-2E9C-101B-9397-08002B2CF9AE}" pid="48" name="MEKOR_SAIF1">
    <vt:lpwstr>5X</vt:lpwstr>
  </property>
</Properties>
</file>