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47AE" w14:textId="77777777" w:rsidR="001B70D5" w:rsidRDefault="001B70D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המרשם הפלילי ותקנת השבים (כללי מסירת מידע — שירות הבטחון הכללי), תשנ"ט–1999</w:t>
      </w:r>
    </w:p>
    <w:p w14:paraId="699EC2FD" w14:textId="77777777" w:rsidR="00424F09" w:rsidRPr="00424F09" w:rsidRDefault="00424F09" w:rsidP="00424F09">
      <w:pPr>
        <w:spacing w:line="320" w:lineRule="auto"/>
        <w:jc w:val="left"/>
        <w:rPr>
          <w:rFonts w:cs="FrankRuehl"/>
          <w:szCs w:val="26"/>
          <w:rtl/>
        </w:rPr>
      </w:pPr>
    </w:p>
    <w:p w14:paraId="0AAB4997" w14:textId="77777777" w:rsidR="00424F09" w:rsidRDefault="00424F09" w:rsidP="00424F09">
      <w:pPr>
        <w:spacing w:line="320" w:lineRule="auto"/>
        <w:jc w:val="left"/>
        <w:rPr>
          <w:rFonts w:cs="Miriam"/>
          <w:szCs w:val="22"/>
          <w:rtl/>
        </w:rPr>
      </w:pPr>
      <w:r w:rsidRPr="00424F09">
        <w:rPr>
          <w:rFonts w:cs="Miriam"/>
          <w:szCs w:val="22"/>
          <w:rtl/>
        </w:rPr>
        <w:t>עונשין ומשפט פלילי</w:t>
      </w:r>
      <w:r w:rsidRPr="00424F09">
        <w:rPr>
          <w:rFonts w:cs="FrankRuehl"/>
          <w:szCs w:val="26"/>
          <w:rtl/>
        </w:rPr>
        <w:t xml:space="preserve"> – מרשם פלילי – כללי מסירת מידע</w:t>
      </w:r>
    </w:p>
    <w:p w14:paraId="6832EBFC" w14:textId="77777777" w:rsidR="00424F09" w:rsidRDefault="00424F09" w:rsidP="00424F09">
      <w:pPr>
        <w:spacing w:line="320" w:lineRule="auto"/>
        <w:jc w:val="left"/>
        <w:rPr>
          <w:rFonts w:cs="Miriam"/>
          <w:szCs w:val="22"/>
          <w:rtl/>
        </w:rPr>
      </w:pPr>
      <w:r w:rsidRPr="00424F09">
        <w:rPr>
          <w:rFonts w:cs="Miriam"/>
          <w:szCs w:val="22"/>
          <w:rtl/>
        </w:rPr>
        <w:t>בתי משפט וסדרי דין</w:t>
      </w:r>
      <w:r w:rsidRPr="00424F09">
        <w:rPr>
          <w:rFonts w:cs="FrankRuehl"/>
          <w:szCs w:val="26"/>
          <w:rtl/>
        </w:rPr>
        <w:t xml:space="preserve"> – סדר דין פלילי – מרשם פלילי – כללי מסירת מידע</w:t>
      </w:r>
    </w:p>
    <w:p w14:paraId="0494235A" w14:textId="77777777" w:rsidR="00424F09" w:rsidRPr="00424F09" w:rsidRDefault="00424F09" w:rsidP="00424F09">
      <w:pPr>
        <w:spacing w:line="320" w:lineRule="auto"/>
        <w:jc w:val="left"/>
        <w:rPr>
          <w:rFonts w:cs="Miriam" w:hint="cs"/>
          <w:szCs w:val="22"/>
          <w:rtl/>
        </w:rPr>
      </w:pPr>
      <w:r w:rsidRPr="00424F09">
        <w:rPr>
          <w:rFonts w:cs="Miriam"/>
          <w:szCs w:val="22"/>
          <w:rtl/>
        </w:rPr>
        <w:t>בטחון</w:t>
      </w:r>
      <w:r w:rsidRPr="00424F09">
        <w:rPr>
          <w:rFonts w:cs="FrankRuehl"/>
          <w:szCs w:val="26"/>
          <w:rtl/>
        </w:rPr>
        <w:t xml:space="preserve"> – שירות הביטחון הכללי – מידע בידי השירות </w:t>
      </w:r>
    </w:p>
    <w:p w14:paraId="421CF063" w14:textId="77777777" w:rsidR="001B70D5" w:rsidRDefault="001B70D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B70D5" w14:paraId="60EC6E3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B3EE4BF" w14:textId="77777777" w:rsidR="001B70D5" w:rsidRDefault="001B70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DA6AF8" w14:textId="77777777" w:rsidR="001B70D5" w:rsidRDefault="001B70D5">
            <w:pPr>
              <w:spacing w:line="240" w:lineRule="auto"/>
              <w:rPr>
                <w:sz w:val="24"/>
              </w:rPr>
            </w:pPr>
            <w:hyperlink w:anchor="Seif6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446A866" w14:textId="77777777" w:rsidR="001B70D5" w:rsidRDefault="001B70D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05B73803" w14:textId="77777777" w:rsidR="001B70D5" w:rsidRDefault="001B70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B70D5" w14:paraId="75B8A3A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4DAE8A" w14:textId="77777777" w:rsidR="001B70D5" w:rsidRDefault="001B70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42DCD8E" w14:textId="77777777" w:rsidR="001B70D5" w:rsidRDefault="001B70D5">
            <w:pPr>
              <w:spacing w:line="240" w:lineRule="auto"/>
              <w:rPr>
                <w:sz w:val="24"/>
              </w:rPr>
            </w:pPr>
            <w:hyperlink w:anchor="Seif7" w:tooltip="מסירת מידע בידי הש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C33B03B" w14:textId="77777777" w:rsidR="001B70D5" w:rsidRDefault="001B70D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מידע בידי השירות</w:t>
            </w:r>
          </w:p>
        </w:tc>
        <w:tc>
          <w:tcPr>
            <w:tcW w:w="1247" w:type="dxa"/>
          </w:tcPr>
          <w:p w14:paraId="75FC93A2" w14:textId="77777777" w:rsidR="001B70D5" w:rsidRDefault="001B70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B70D5" w14:paraId="08715C2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76A92BC" w14:textId="77777777" w:rsidR="001B70D5" w:rsidRDefault="001B70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8C0D23" w14:textId="77777777" w:rsidR="001B70D5" w:rsidRDefault="001B70D5">
            <w:pPr>
              <w:spacing w:line="240" w:lineRule="auto"/>
              <w:rPr>
                <w:sz w:val="24"/>
              </w:rPr>
            </w:pPr>
            <w:hyperlink w:anchor="Seif0" w:tooltip="בדיקה לפני מסירת מיד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E0E58F" w14:textId="77777777" w:rsidR="001B70D5" w:rsidRDefault="001B70D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בדיקה לפני מסירת מידע</w:t>
            </w:r>
          </w:p>
        </w:tc>
        <w:tc>
          <w:tcPr>
            <w:tcW w:w="1247" w:type="dxa"/>
          </w:tcPr>
          <w:p w14:paraId="77D383BA" w14:textId="77777777" w:rsidR="001B70D5" w:rsidRDefault="001B70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B70D5" w14:paraId="78F25E4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E9E982" w14:textId="77777777" w:rsidR="001B70D5" w:rsidRDefault="001B70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BB02526" w14:textId="77777777" w:rsidR="001B70D5" w:rsidRDefault="001B70D5">
            <w:pPr>
              <w:spacing w:line="240" w:lineRule="auto"/>
              <w:rPr>
                <w:sz w:val="24"/>
              </w:rPr>
            </w:pPr>
            <w:hyperlink w:anchor="Seif1" w:tooltip="רישום מסירת מיד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F8E05A3" w14:textId="77777777" w:rsidR="001B70D5" w:rsidRDefault="001B70D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רישום מסירת מידע</w:t>
            </w:r>
          </w:p>
        </w:tc>
        <w:tc>
          <w:tcPr>
            <w:tcW w:w="1247" w:type="dxa"/>
          </w:tcPr>
          <w:p w14:paraId="467B0818" w14:textId="77777777" w:rsidR="001B70D5" w:rsidRDefault="001B70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1B70D5" w14:paraId="5065E0B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518AB29" w14:textId="77777777" w:rsidR="001B70D5" w:rsidRDefault="001B70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6AE8B0" w14:textId="77777777" w:rsidR="001B70D5" w:rsidRDefault="001B70D5">
            <w:pPr>
              <w:spacing w:line="240" w:lineRule="auto"/>
              <w:rPr>
                <w:sz w:val="24"/>
              </w:rPr>
            </w:pPr>
            <w:hyperlink w:anchor="Seif2" w:tooltip="סימון המידע כמסוו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6D6289" w14:textId="77777777" w:rsidR="001B70D5" w:rsidRDefault="001B70D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סימון המידע כמסווג</w:t>
            </w:r>
          </w:p>
        </w:tc>
        <w:tc>
          <w:tcPr>
            <w:tcW w:w="1247" w:type="dxa"/>
          </w:tcPr>
          <w:p w14:paraId="2D69D6E5" w14:textId="77777777" w:rsidR="001B70D5" w:rsidRDefault="001B70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1B70D5" w14:paraId="067C629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F6A97EE" w14:textId="77777777" w:rsidR="001B70D5" w:rsidRDefault="001B70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753824A" w14:textId="77777777" w:rsidR="001B70D5" w:rsidRDefault="001B70D5">
            <w:pPr>
              <w:spacing w:line="240" w:lineRule="auto"/>
              <w:rPr>
                <w:sz w:val="24"/>
              </w:rPr>
            </w:pPr>
            <w:hyperlink w:anchor="Seif3" w:tooltip="מתן הנחיות לקציני בטח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9BA4267" w14:textId="77777777" w:rsidR="001B70D5" w:rsidRDefault="001B70D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הנחיות לקציני בטחון</w:t>
            </w:r>
          </w:p>
        </w:tc>
        <w:tc>
          <w:tcPr>
            <w:tcW w:w="1247" w:type="dxa"/>
          </w:tcPr>
          <w:p w14:paraId="49922403" w14:textId="77777777" w:rsidR="001B70D5" w:rsidRDefault="001B70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1B70D5" w14:paraId="2C84A35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DE9949" w14:textId="77777777" w:rsidR="001B70D5" w:rsidRDefault="001B70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AB7756" w14:textId="77777777" w:rsidR="001B70D5" w:rsidRDefault="001B70D5">
            <w:pPr>
              <w:spacing w:line="240" w:lineRule="auto"/>
              <w:rPr>
                <w:sz w:val="24"/>
              </w:rPr>
            </w:pPr>
            <w:hyperlink w:anchor="Seif4" w:tooltip="בדיקה תקופת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70DF4C8" w14:textId="77777777" w:rsidR="001B70D5" w:rsidRDefault="001B70D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בדיקה תקופתית</w:t>
            </w:r>
          </w:p>
        </w:tc>
        <w:tc>
          <w:tcPr>
            <w:tcW w:w="1247" w:type="dxa"/>
          </w:tcPr>
          <w:p w14:paraId="6D7494FD" w14:textId="77777777" w:rsidR="001B70D5" w:rsidRDefault="001B70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1B70D5" w14:paraId="626C7A7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77A72E7" w14:textId="77777777" w:rsidR="001B70D5" w:rsidRDefault="001B70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F96FA43" w14:textId="77777777" w:rsidR="001B70D5" w:rsidRDefault="001B70D5">
            <w:pPr>
              <w:spacing w:line="240" w:lineRule="auto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E0B9702" w14:textId="77777777" w:rsidR="001B70D5" w:rsidRDefault="001B70D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2DAD0A2F" w14:textId="77777777" w:rsidR="001B70D5" w:rsidRDefault="001B70D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14:paraId="76A36625" w14:textId="77777777" w:rsidR="001B70D5" w:rsidRDefault="001B70D5">
      <w:pPr>
        <w:pStyle w:val="big-header"/>
        <w:ind w:left="0" w:right="1134"/>
        <w:rPr>
          <w:rFonts w:cs="FrankRuehl"/>
          <w:sz w:val="32"/>
          <w:rtl/>
        </w:rPr>
      </w:pPr>
    </w:p>
    <w:p w14:paraId="759292BF" w14:textId="77777777" w:rsidR="001B70D5" w:rsidRPr="00424F09" w:rsidRDefault="001B70D5" w:rsidP="00424F09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המרשם הפלילי ותקנת השבים (כללי מסירת מידע </w:t>
      </w:r>
      <w:r>
        <w:rPr>
          <w:rFonts w:cs="FrankRuehl"/>
          <w:sz w:val="32"/>
          <w:rtl/>
        </w:rPr>
        <w:t xml:space="preserve">— </w:t>
      </w:r>
      <w:r>
        <w:rPr>
          <w:rFonts w:cs="FrankRuehl" w:hint="cs"/>
          <w:sz w:val="32"/>
          <w:rtl/>
        </w:rPr>
        <w:t>שירות הבטחון הכללי), תשנ"ט</w:t>
      </w:r>
      <w:r>
        <w:rPr>
          <w:rFonts w:cs="FrankRuehl"/>
          <w:sz w:val="32"/>
          <w:rtl/>
        </w:rPr>
        <w:t>–1999</w:t>
      </w:r>
      <w:r>
        <w:rPr>
          <w:rStyle w:val="super"/>
          <w:rFonts w:cs="Miriam"/>
          <w:noProof w:val="0"/>
          <w:rtl/>
          <w:lang w:eastAsia="he-IL"/>
        </w:rPr>
        <w:t>(4/48)</w:t>
      </w:r>
    </w:p>
    <w:p w14:paraId="1314AC97" w14:textId="77777777" w:rsidR="001B70D5" w:rsidRDefault="001B70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5 לחוק המרשם הפלילי ותקנת השבים, תשמ"א</w:t>
      </w:r>
      <w:r>
        <w:rPr>
          <w:rStyle w:val="default"/>
          <w:rFonts w:cs="FrankRuehl"/>
          <w:rtl/>
        </w:rPr>
        <w:t>–1981 (</w:t>
      </w:r>
      <w:r>
        <w:rPr>
          <w:rStyle w:val="default"/>
          <w:rFonts w:cs="FrankRuehl" w:hint="cs"/>
          <w:rtl/>
        </w:rPr>
        <w:t>להלן</w:t>
      </w:r>
      <w:r>
        <w:rPr>
          <w:rStyle w:val="default"/>
          <w:rFonts w:cs="FrankRuehl"/>
          <w:rtl/>
        </w:rPr>
        <w:t xml:space="preserve"> — </w:t>
      </w:r>
      <w:r>
        <w:rPr>
          <w:rStyle w:val="default"/>
          <w:rFonts w:cs="FrankRuehl" w:hint="cs"/>
          <w:rtl/>
        </w:rPr>
        <w:t>החוק), לאחר התייעצות עם ראש הממשלה ובאישור ועדת החוקה חוק ומשפט של הכנסת,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ני מתקין תקנות אלה:</w:t>
      </w:r>
    </w:p>
    <w:p w14:paraId="1B2DD26F" w14:textId="77777777" w:rsidR="001B70D5" w:rsidRDefault="001B70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6"/>
      <w:bookmarkEnd w:id="0"/>
      <w:r>
        <w:rPr>
          <w:lang w:val="he-IL"/>
        </w:rPr>
        <w:pict w14:anchorId="412BD946">
          <v:rect id="_x0000_s1026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14:paraId="7CB29B46" w14:textId="77777777" w:rsidR="001B70D5" w:rsidRDefault="001B70D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—</w:t>
      </w:r>
    </w:p>
    <w:p w14:paraId="47EE9AEE" w14:textId="77777777" w:rsidR="001B70D5" w:rsidRDefault="001B70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שירות"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שירות הבטחון הכללי;</w:t>
      </w:r>
    </w:p>
    <w:p w14:paraId="27BA758D" w14:textId="77777777" w:rsidR="001B70D5" w:rsidRDefault="001B70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ידע"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כל אחד מאלה:</w:t>
      </w:r>
    </w:p>
    <w:p w14:paraId="373C7AF0" w14:textId="77777777" w:rsidR="001B70D5" w:rsidRDefault="001B70D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 רישום כמשמעותם בסעיף 2 לחוק;</w:t>
      </w:r>
    </w:p>
    <w:p w14:paraId="2645256D" w14:textId="77777777" w:rsidR="001B70D5" w:rsidRDefault="001B70D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רטים בדבר חקירות שבהן התגבש חומר לשם פתיחת תיק, ומשפטים פליליים תלויים ועומדים כמשמעותם בסעיף 11 לחוק.</w:t>
      </w:r>
    </w:p>
    <w:p w14:paraId="45B99114" w14:textId="77777777" w:rsidR="001B70D5" w:rsidRDefault="001B70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7"/>
      <w:bookmarkEnd w:id="1"/>
      <w:r>
        <w:rPr>
          <w:lang w:val="he-IL"/>
        </w:rPr>
        <w:pict w14:anchorId="4A3B3316">
          <v:rect id="_x0000_s1027" style="position:absolute;left:0;text-align:left;margin-left:464.5pt;margin-top:8.05pt;width:75.05pt;height:16pt;z-index:251661312" o:allowincell="f" filled="f" stroked="f" strokecolor="lime" strokeweight=".25pt">
            <v:textbox inset="0,0,0,0">
              <w:txbxContent>
                <w:p w14:paraId="59844D8F" w14:textId="77777777" w:rsidR="001B70D5" w:rsidRDefault="001B70D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מידע</w:t>
                  </w:r>
                </w:p>
                <w:p w14:paraId="43A051DF" w14:textId="77777777" w:rsidR="001B70D5" w:rsidRDefault="001B70D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 השירות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שירות ר</w:t>
      </w:r>
      <w:r>
        <w:rPr>
          <w:rStyle w:val="default"/>
          <w:rFonts w:cs="FrankRuehl"/>
          <w:rtl/>
        </w:rPr>
        <w:t>שא</w:t>
      </w:r>
      <w:r>
        <w:rPr>
          <w:rStyle w:val="default"/>
          <w:rFonts w:cs="FrankRuehl" w:hint="cs"/>
          <w:rtl/>
        </w:rPr>
        <w:t>י למסור מידע לגופים המפורטים בתוספת הראשונה לחוק, במסגרת מילוי תפקידי השירות כמפורט בסעיף 4 לכללי המרשם הפלילי (גישה למידע לפי סעיף 4 לחוק המרשם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הפלילי ותקנת השבים, תשמ"א</w:t>
      </w:r>
      <w:r>
        <w:rPr>
          <w:rStyle w:val="default"/>
          <w:rFonts w:cs="FrankRuehl"/>
          <w:rtl/>
        </w:rPr>
        <w:t xml:space="preserve">–1981, </w:t>
      </w:r>
      <w:r>
        <w:rPr>
          <w:rStyle w:val="default"/>
          <w:rFonts w:cs="FrankRuehl" w:hint="cs"/>
          <w:rtl/>
        </w:rPr>
        <w:t>שירות הבטחון הכללי), תשנ"ט</w:t>
      </w:r>
      <w:r>
        <w:rPr>
          <w:rStyle w:val="default"/>
          <w:rFonts w:cs="FrankRuehl"/>
          <w:rtl/>
        </w:rPr>
        <w:t xml:space="preserve">–1999. </w:t>
      </w:r>
    </w:p>
    <w:p w14:paraId="7AFF74DE" w14:textId="77777777" w:rsidR="001B70D5" w:rsidRDefault="001B70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עברת המידע תיעשה באחת מדרכים אלה:</w:t>
      </w:r>
    </w:p>
    <w:p w14:paraId="3533693A" w14:textId="77777777" w:rsidR="001B70D5" w:rsidRDefault="001B70D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מסמך שבו צוינו הפרטים האלה:</w:t>
      </w:r>
    </w:p>
    <w:p w14:paraId="1058A439" w14:textId="77777777" w:rsidR="001B70D5" w:rsidRDefault="001B70D5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רשות או בעל התפקיד המיועדים לקבל את המידע ופרטי הגורמים להם תהיה גישה למידע במסגרת תפקידם;</w:t>
      </w:r>
    </w:p>
    <w:p w14:paraId="33A0E37E" w14:textId="77777777" w:rsidR="001B70D5" w:rsidRDefault="001B70D5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של המקבל ותפ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ידו;</w:t>
      </w:r>
    </w:p>
    <w:p w14:paraId="3E4428DF" w14:textId="77777777" w:rsidR="001B70D5" w:rsidRDefault="001B70D5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של האדם שאליו מתייחסת הפניה ומספר זהותו.</w:t>
      </w:r>
    </w:p>
    <w:p w14:paraId="57E0D385" w14:textId="77777777" w:rsidR="001B70D5" w:rsidRDefault="001B70D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גבי אמצעי מגנטי הכולל את הפרטים המפורטים בפסקה (</w:t>
      </w:r>
      <w:r>
        <w:rPr>
          <w:rStyle w:val="default"/>
          <w:rFonts w:cs="FrankRuehl"/>
          <w:rtl/>
        </w:rPr>
        <w:t xml:space="preserve">1). </w:t>
      </w:r>
    </w:p>
    <w:p w14:paraId="671F6D5B" w14:textId="77777777" w:rsidR="001B70D5" w:rsidRDefault="001B70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וראות סעיף קטן (ב) לא יחולו על העברת מידע לגוף המפורט בפרטים (י) עד (יב) לתוספת הראשונה לחוק, לצורך מילוי תפקידו.</w:t>
      </w:r>
    </w:p>
    <w:p w14:paraId="3BB3264F" w14:textId="77777777" w:rsidR="001B70D5" w:rsidRDefault="001B70D5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62D16DE7" w14:textId="77777777" w:rsidR="001B70D5" w:rsidRDefault="001B70D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(4/48)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424F09">
          <w:rPr>
            <w:rStyle w:val="Hyperlink"/>
            <w:rFonts w:cs="FrankRuehl" w:hint="cs"/>
            <w:rtl/>
          </w:rPr>
          <w:t>ק"ת תשנ"ט מס' 5960</w:t>
        </w:r>
      </w:hyperlink>
      <w:r>
        <w:rPr>
          <w:rFonts w:cs="FrankRuehl" w:hint="cs"/>
          <w:rtl/>
        </w:rPr>
        <w:t xml:space="preserve"> מיום 18.3.1999 עמ' 516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תק' תשנ"ט</w:t>
      </w:r>
      <w:r>
        <w:rPr>
          <w:rFonts w:cs="FrankRuehl"/>
          <w:rtl/>
        </w:rPr>
        <w:t xml:space="preserve">–1999; </w:t>
      </w:r>
      <w:r>
        <w:rPr>
          <w:rFonts w:cs="FrankRuehl" w:hint="cs"/>
          <w:rtl/>
        </w:rPr>
        <w:t>תחילתן 90 ימים מיום פרסומן.</w:t>
      </w:r>
    </w:p>
    <w:p w14:paraId="17722285" w14:textId="77777777" w:rsidR="001B70D5" w:rsidRDefault="001B70D5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10A2F580" w14:textId="77777777" w:rsidR="001B70D5" w:rsidRDefault="001B70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קבל המידע ישמור עותק מבקשתו על פי נוהלי השירות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הנחיותיו לתקופה של חמש שנים.</w:t>
      </w:r>
    </w:p>
    <w:p w14:paraId="56B0F748" w14:textId="77777777" w:rsidR="001B70D5" w:rsidRDefault="001B70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0"/>
      <w:bookmarkEnd w:id="2"/>
      <w:r>
        <w:rPr>
          <w:lang w:val="he-IL"/>
        </w:rPr>
        <w:pict w14:anchorId="5C23B8F8">
          <v:rect id="_x0000_s1028" style="position:absolute;left:0;text-align:left;margin-left:464.5pt;margin-top:8.05pt;width:75.05pt;height:8pt;z-index:251654144" o:allowincell="f" filled="f" stroked="f" strokecolor="lime" strokeweight=".25pt">
            <v:textbox style="mso-next-textbox:#_x0000_s1028" inset="0,0,0,0">
              <w:txbxContent>
                <w:p w14:paraId="3DE8DC8C" w14:textId="77777777" w:rsidR="001B70D5" w:rsidRDefault="001B70D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יקה לפני מסירת מידע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>דע לא יימסר בטרם נבדקו על ידי המוסר כל אלה:</w:t>
      </w:r>
    </w:p>
    <w:p w14:paraId="5E0B5F71" w14:textId="77777777" w:rsidR="001B70D5" w:rsidRDefault="001B70D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י מקבל המידע נמנה עם הרשויות ובעלי התפקידים המפורטים בתוספת הראשונה לחוק;</w:t>
      </w:r>
    </w:p>
    <w:p w14:paraId="75596D88" w14:textId="77777777" w:rsidR="001B70D5" w:rsidRDefault="001B70D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יקף המידע שניתן למסור למקב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 xml:space="preserve">לענין </w:t>
      </w:r>
      <w:r>
        <w:rPr>
          <w:rStyle w:val="default"/>
          <w:rFonts w:cs="FrankRuehl"/>
          <w:rtl/>
        </w:rPr>
        <w:t>—</w:t>
      </w:r>
    </w:p>
    <w:p w14:paraId="02CBE170" w14:textId="77777777" w:rsidR="001B70D5" w:rsidRDefault="001B70D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בירות שביצעו קטינים וצווים מיוחדים כאמור בסעיף 13 לחוק;</w:t>
      </w:r>
    </w:p>
    <w:p w14:paraId="62942FDF" w14:textId="77777777" w:rsidR="001B70D5" w:rsidRDefault="001B70D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 רישום שנמחקו לפי סעיף 16 לחוק;</w:t>
      </w:r>
    </w:p>
    <w:p w14:paraId="69FD61F7" w14:textId="77777777" w:rsidR="001B70D5" w:rsidRDefault="001B70D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בירות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מפורטות בסעיף 17 לחוק.</w:t>
      </w:r>
    </w:p>
    <w:p w14:paraId="38A43D69" w14:textId="77777777" w:rsidR="001B70D5" w:rsidRDefault="001B70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 w14:anchorId="617BE419">
          <v:rect id="_x0000_s1029" style="position:absolute;left:0;text-align:left;margin-left:464.5pt;margin-top:8.05pt;width:75.05pt;height:8pt;z-index:251655168" o:allowincell="f" filled="f" stroked="f" strokecolor="lime" strokeweight=".25pt">
            <v:textbox style="mso-next-textbox:#_x0000_s1029" inset="0,0,0,0">
              <w:txbxContent>
                <w:p w14:paraId="25BD299E" w14:textId="77777777" w:rsidR="001B70D5" w:rsidRDefault="001B70D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שום מסירת מידע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מסר מידע, יתועדו על ידי מוסר המידע פרטי שם הגוף שאליו הועבר המידע וסוג המידע שהועבר.</w:t>
      </w:r>
    </w:p>
    <w:p w14:paraId="0FD4C894" w14:textId="77777777" w:rsidR="001B70D5" w:rsidRDefault="001B70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יעוד לפי ת</w:t>
      </w:r>
      <w:r>
        <w:rPr>
          <w:rStyle w:val="default"/>
          <w:rFonts w:cs="FrankRuehl"/>
          <w:rtl/>
        </w:rPr>
        <w:t>קנ</w:t>
      </w:r>
      <w:r>
        <w:rPr>
          <w:rStyle w:val="default"/>
          <w:rFonts w:cs="FrankRuehl" w:hint="cs"/>
          <w:rtl/>
        </w:rPr>
        <w:t>ה זו, לרבות תיעוד על גבי אמצעי מגנטי, יישמר לתקופה של חמש שנים ממועד מסירת המידע.</w:t>
      </w:r>
    </w:p>
    <w:p w14:paraId="711F8AAA" w14:textId="77777777" w:rsidR="001B70D5" w:rsidRDefault="001B70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 w14:anchorId="68EA8366">
          <v:rect id="_x0000_s1030" style="position:absolute;left:0;text-align:left;margin-left:464.5pt;margin-top:8.05pt;width:75.05pt;height:8pt;z-index:251656192" o:allowincell="f" filled="f" stroked="f" strokecolor="lime" strokeweight=".25pt">
            <v:textbox style="mso-next-textbox:#_x0000_s1030" inset="0,0,0,0">
              <w:txbxContent>
                <w:p w14:paraId="3DD6EF64" w14:textId="77777777" w:rsidR="001B70D5" w:rsidRDefault="001B70D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מון המידע כמסווג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>דע שנמסר לפי תקנות אלה יסומן כחומר "שמור</w:t>
      </w:r>
      <w:r>
        <w:rPr>
          <w:rStyle w:val="default"/>
          <w:rFonts w:cs="FrankRuehl"/>
          <w:rtl/>
        </w:rPr>
        <w:t>–ר</w:t>
      </w:r>
      <w:r>
        <w:rPr>
          <w:rStyle w:val="default"/>
          <w:rFonts w:cs="FrankRuehl" w:hint="cs"/>
          <w:rtl/>
        </w:rPr>
        <w:t xml:space="preserve">גיש" והמגלה את תוכנו למי שאינו </w:t>
      </w:r>
      <w:r>
        <w:rPr>
          <w:rStyle w:val="default"/>
          <w:rFonts w:cs="FrankRuehl" w:hint="cs"/>
          <w:rtl/>
        </w:rPr>
        <w:lastRenderedPageBreak/>
        <w:t>מוסמך לכך, עובר עבירה.</w:t>
      </w:r>
    </w:p>
    <w:p w14:paraId="62177EBD" w14:textId="77777777" w:rsidR="001B70D5" w:rsidRDefault="001B70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 w14:anchorId="07BFC49D">
          <v:rect id="_x0000_s1031" style="position:absolute;left:0;text-align:left;margin-left:464.5pt;margin-top:8.05pt;width:75.05pt;height:8pt;z-index:251657216" o:allowincell="f" filled="f" stroked="f" strokecolor="lime" strokeweight=".25pt">
            <v:textbox style="mso-next-textbox:#_x0000_s1031" inset="0,0,0,0">
              <w:txbxContent>
                <w:p w14:paraId="23DAE047" w14:textId="77777777" w:rsidR="001B70D5" w:rsidRDefault="001B70D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הנחיות לקציני בטחון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קצ</w:t>
      </w:r>
      <w:r>
        <w:rPr>
          <w:rStyle w:val="default"/>
          <w:rFonts w:cs="FrankRuehl" w:hint="cs"/>
          <w:rtl/>
        </w:rPr>
        <w:t>יני הבטחון של משרדי הממשלה ושל גופים שהממשלה קבעה כי השירות מופק</w:t>
      </w:r>
      <w:r>
        <w:rPr>
          <w:rStyle w:val="default"/>
          <w:rFonts w:cs="FrankRuehl"/>
          <w:rtl/>
        </w:rPr>
        <w:t xml:space="preserve">ד </w:t>
      </w:r>
      <w:r>
        <w:rPr>
          <w:rStyle w:val="default"/>
          <w:rFonts w:cs="FrankRuehl" w:hint="cs"/>
          <w:rtl/>
        </w:rPr>
        <w:t>על מתן הנחיות בדבר אבטחתם, ינהגו במידע שנמסר להם בידי השירות על פי הוראות השירות כפי שנקבעו בנהליו.</w:t>
      </w:r>
    </w:p>
    <w:p w14:paraId="3A65F08D" w14:textId="77777777" w:rsidR="001B70D5" w:rsidRDefault="001B70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 w14:anchorId="62E6655E">
          <v:rect id="_x0000_s1032" style="position:absolute;left:0;text-align:left;margin-left:464.5pt;margin-top:8.05pt;width:75.05pt;height:8pt;z-index:251658240" o:allowincell="f" filled="f" stroked="f" strokecolor="lime" strokeweight=".25pt">
            <v:textbox style="mso-next-textbox:#_x0000_s1032" inset="0,0,0,0">
              <w:txbxContent>
                <w:p w14:paraId="49988E03" w14:textId="77777777" w:rsidR="001B70D5" w:rsidRDefault="001B70D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יקה תקופתית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ירות יבדוק אחת לשנה, באופן מדגמי אצל הגופים המנויים בתוספת הראשונה שאליהם הועבר המידע מהשירות, את עילות העברת המידע לגופים אלה ואת אופן הטיפול במידע</w:t>
      </w:r>
      <w:r>
        <w:rPr>
          <w:rStyle w:val="default"/>
          <w:rFonts w:cs="FrankRuehl"/>
          <w:rtl/>
        </w:rPr>
        <w:t>.</w:t>
      </w:r>
    </w:p>
    <w:p w14:paraId="73CA2D88" w14:textId="77777777" w:rsidR="001B70D5" w:rsidRDefault="001B70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 w14:anchorId="3BCBB90A">
          <v:rect id="_x0000_s1033" style="position:absolute;left:0;text-align:left;margin-left:464.5pt;margin-top:8.05pt;width:75.05pt;height:8pt;z-index:251659264" o:allowincell="f" filled="f" stroked="f" strokecolor="lime" strokeweight=".25pt">
            <v:textbox style="mso-next-textbox:#_x0000_s1033" inset="0,0,0,0">
              <w:txbxContent>
                <w:p w14:paraId="43945A03" w14:textId="77777777" w:rsidR="001B70D5" w:rsidRDefault="001B70D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 xml:space="preserve">ילתן של תקנות אלה תשעים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מים מיום פרסומן.</w:t>
      </w:r>
    </w:p>
    <w:p w14:paraId="2E41B238" w14:textId="77777777" w:rsidR="001B70D5" w:rsidRDefault="001B70D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95ED2E8" w14:textId="77777777" w:rsidR="001B70D5" w:rsidRDefault="001B70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ח בשבט תשנ"ט (14 בפברואר 1999)                     צחי הנגבי</w:t>
      </w:r>
    </w:p>
    <w:p w14:paraId="35CDC97A" w14:textId="77777777" w:rsidR="001B70D5" w:rsidRDefault="001B70D5">
      <w:pPr>
        <w:pStyle w:val="sig-1"/>
        <w:widowControl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המשפטים</w:t>
      </w:r>
    </w:p>
    <w:p w14:paraId="32B713D4" w14:textId="77777777" w:rsidR="001B70D5" w:rsidRDefault="001B70D5">
      <w:pPr>
        <w:ind w:right="1134"/>
        <w:rPr>
          <w:rFonts w:cs="David"/>
          <w:sz w:val="24"/>
          <w:rtl/>
        </w:rPr>
      </w:pPr>
      <w:bookmarkStart w:id="8" w:name="LawPartEnd"/>
    </w:p>
    <w:bookmarkEnd w:id="8"/>
    <w:p w14:paraId="348082EF" w14:textId="77777777" w:rsidR="001B70D5" w:rsidRDefault="001B70D5">
      <w:pPr>
        <w:ind w:right="1134"/>
        <w:rPr>
          <w:rFonts w:cs="David"/>
          <w:sz w:val="24"/>
          <w:rtl/>
        </w:rPr>
      </w:pPr>
    </w:p>
    <w:sectPr w:rsidR="001B70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C9011" w14:textId="77777777" w:rsidR="00714B99" w:rsidRDefault="00714B99">
      <w:r>
        <w:separator/>
      </w:r>
    </w:p>
  </w:endnote>
  <w:endnote w:type="continuationSeparator" w:id="0">
    <w:p w14:paraId="3DC699AE" w14:textId="77777777" w:rsidR="00714B99" w:rsidRDefault="00714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1BEAD" w14:textId="77777777" w:rsidR="001B70D5" w:rsidRDefault="001B70D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79CC318" w14:textId="77777777" w:rsidR="001B70D5" w:rsidRDefault="001B70D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3F55E2A" w14:textId="77777777" w:rsidR="001B70D5" w:rsidRDefault="001B70D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M:\0a-lishca\law\gideon-03-02-13\law01\073_053.doc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460D2" w14:textId="77777777" w:rsidR="001B70D5" w:rsidRDefault="001B70D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E485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7D35EEF" w14:textId="77777777" w:rsidR="001B70D5" w:rsidRDefault="001B70D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2EDE065" w14:textId="77777777" w:rsidR="001B70D5" w:rsidRDefault="001B70D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M:\0a-lishca\law\gideon-03-02-13\law01\073_053.doc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0BAF9" w14:textId="77777777" w:rsidR="001B70D5" w:rsidRDefault="001B70D5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69212" w14:textId="77777777" w:rsidR="00714B99" w:rsidRDefault="00714B99">
      <w:r>
        <w:separator/>
      </w:r>
    </w:p>
  </w:footnote>
  <w:footnote w:type="continuationSeparator" w:id="0">
    <w:p w14:paraId="462499A1" w14:textId="77777777" w:rsidR="00714B99" w:rsidRDefault="00714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88F78" w14:textId="77777777" w:rsidR="001B70D5" w:rsidRDefault="001B70D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המרשם הפלילי ותקנת השבים (כללי מסירת מידע — שירות הבטחון הכללי), תשנ"ט–1999</w:t>
    </w:r>
  </w:p>
  <w:p w14:paraId="1D34A884" w14:textId="77777777" w:rsidR="001B70D5" w:rsidRDefault="001B70D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319318" w14:textId="77777777" w:rsidR="001B70D5" w:rsidRDefault="001B70D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B6765" w14:textId="77777777" w:rsidR="001B70D5" w:rsidRDefault="001B70D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המרשם הפלילי ותקנת השבים (כללי מסירת מידע — שירות הבטחון הכללי), תשנ"ט–1999</w:t>
    </w:r>
  </w:p>
  <w:p w14:paraId="5ACA3746" w14:textId="77777777" w:rsidR="001B70D5" w:rsidRDefault="001B70D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AB7715E" w14:textId="77777777" w:rsidR="001B70D5" w:rsidRDefault="001B70D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3C165" w14:textId="77777777" w:rsidR="001B70D5" w:rsidRDefault="001B70D5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4F09"/>
    <w:rsid w:val="001B70D5"/>
    <w:rsid w:val="00424F09"/>
    <w:rsid w:val="00714B99"/>
    <w:rsid w:val="009E07BC"/>
    <w:rsid w:val="00AB5459"/>
    <w:rsid w:val="00AE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238FC26"/>
  <w15:chartTrackingRefBased/>
  <w15:docId w15:val="{379D1E8A-692D-4894-AA99-6DC884B2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960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73</vt:lpstr>
    </vt:vector>
  </TitlesOfParts>
  <Company/>
  <LinksUpToDate>false</LinksUpToDate>
  <CharactersWithSpaces>3486</CharactersWithSpaces>
  <SharedDoc>false</SharedDoc>
  <HLinks>
    <vt:vector size="54" baseType="variant">
      <vt:variant>
        <vt:i4>7995393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http://www.nevo.co.il/Law_word/law06/TAK-5960.pdf</vt:lpwstr>
      </vt:variant>
      <vt:variant>
        <vt:lpwstr/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73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0073</vt:lpwstr>
  </property>
  <property fmtid="{D5CDD505-2E9C-101B-9397-08002B2CF9AE}" pid="3" name="CHNAME">
    <vt:lpwstr>דיני עונשין</vt:lpwstr>
  </property>
  <property fmtid="{D5CDD505-2E9C-101B-9397-08002B2CF9AE}" pid="4" name="LAWNAME">
    <vt:lpwstr>תקנות המרשם הפלילי ותקנת השבים (כללי מסירת מידע — שירות הבטחון הכללי), תשנ"ט–1999</vt:lpwstr>
  </property>
  <property fmtid="{D5CDD505-2E9C-101B-9397-08002B2CF9AE}" pid="5" name="LAWNUMBER">
    <vt:lpwstr>0053</vt:lpwstr>
  </property>
  <property fmtid="{D5CDD505-2E9C-101B-9397-08002B2CF9AE}" pid="6" name="TYPE">
    <vt:lpwstr>01</vt:lpwstr>
  </property>
  <property fmtid="{D5CDD505-2E9C-101B-9397-08002B2CF9AE}" pid="7" name="NOSE11">
    <vt:lpwstr>עונשין ומשפט פלילי</vt:lpwstr>
  </property>
  <property fmtid="{D5CDD505-2E9C-101B-9397-08002B2CF9AE}" pid="8" name="NOSE21">
    <vt:lpwstr>מרשם פלילי</vt:lpwstr>
  </property>
  <property fmtid="{D5CDD505-2E9C-101B-9397-08002B2CF9AE}" pid="9" name="NOSE31">
    <vt:lpwstr>כללי מסירת מידע</vt:lpwstr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סדר דין פלילי</vt:lpwstr>
  </property>
  <property fmtid="{D5CDD505-2E9C-101B-9397-08002B2CF9AE}" pid="13" name="NOSE32">
    <vt:lpwstr>מרשם פלילי</vt:lpwstr>
  </property>
  <property fmtid="{D5CDD505-2E9C-101B-9397-08002B2CF9AE}" pid="14" name="NOSE42">
    <vt:lpwstr>כללי מסירת מידע</vt:lpwstr>
  </property>
  <property fmtid="{D5CDD505-2E9C-101B-9397-08002B2CF9AE}" pid="15" name="NOSE13">
    <vt:lpwstr>בטחון</vt:lpwstr>
  </property>
  <property fmtid="{D5CDD505-2E9C-101B-9397-08002B2CF9AE}" pid="16" name="NOSE23">
    <vt:lpwstr>שירות הביטחון הכללי</vt:lpwstr>
  </property>
  <property fmtid="{D5CDD505-2E9C-101B-9397-08002B2CF9AE}" pid="17" name="NOSE33">
    <vt:lpwstr>מידע בידי השירות 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המרשם הפלילי ותקנת השבים</vt:lpwstr>
  </property>
  <property fmtid="{D5CDD505-2E9C-101B-9397-08002B2CF9AE}" pid="48" name="MEKOR_SAIF1">
    <vt:lpwstr>5X</vt:lpwstr>
  </property>
</Properties>
</file>