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073" w:rsidRDefault="002C5073" w:rsidP="0062668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 (פרטי רישום שלא יירשמו או שלא יימסר מידע עליהם ועבירות שהרשעה בהן לא תפסיק את תקופות ההתיישנות או המחיקה), תשמ"ד</w:t>
      </w:r>
      <w:r w:rsidR="0062668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8C21CA" w:rsidRDefault="008C21CA" w:rsidP="008C21C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C31047" w:rsidRPr="008C21CA" w:rsidRDefault="00C31047" w:rsidP="008C21C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C21CA" w:rsidRDefault="008C21CA" w:rsidP="008C21CA">
      <w:pPr>
        <w:spacing w:line="320" w:lineRule="auto"/>
        <w:jc w:val="left"/>
        <w:rPr>
          <w:rFonts w:cs="Miriam"/>
          <w:szCs w:val="22"/>
          <w:rtl/>
        </w:rPr>
      </w:pPr>
      <w:r w:rsidRPr="008C21CA">
        <w:rPr>
          <w:rFonts w:cs="Miriam"/>
          <w:szCs w:val="22"/>
          <w:rtl/>
        </w:rPr>
        <w:t>בתי משפט וסדרי דין</w:t>
      </w:r>
      <w:r w:rsidRPr="008C21CA">
        <w:rPr>
          <w:rFonts w:cs="FrankRuehl"/>
          <w:szCs w:val="26"/>
          <w:rtl/>
        </w:rPr>
        <w:t xml:space="preserve"> – סדר דין פלילי – מרשם פלילי – כללי מסירת מידע</w:t>
      </w:r>
    </w:p>
    <w:p w:rsidR="008C21CA" w:rsidRDefault="008C21CA" w:rsidP="008C21CA">
      <w:pPr>
        <w:spacing w:line="320" w:lineRule="auto"/>
        <w:jc w:val="left"/>
        <w:rPr>
          <w:rFonts w:cs="Miriam"/>
          <w:szCs w:val="22"/>
          <w:rtl/>
        </w:rPr>
      </w:pPr>
      <w:r w:rsidRPr="008C21CA">
        <w:rPr>
          <w:rFonts w:cs="Miriam"/>
          <w:szCs w:val="22"/>
          <w:rtl/>
        </w:rPr>
        <w:t>עונשין ומשפט פלילי</w:t>
      </w:r>
      <w:r w:rsidRPr="008C21CA">
        <w:rPr>
          <w:rFonts w:cs="FrankRuehl"/>
          <w:szCs w:val="26"/>
          <w:rtl/>
        </w:rPr>
        <w:t xml:space="preserve"> – מרשם פלילי – כללי מסירת מידע</w:t>
      </w:r>
    </w:p>
    <w:p w:rsidR="008C21CA" w:rsidRPr="008C21CA" w:rsidRDefault="008C21CA" w:rsidP="008C21CA">
      <w:pPr>
        <w:spacing w:line="320" w:lineRule="auto"/>
        <w:jc w:val="left"/>
        <w:rPr>
          <w:rFonts w:cs="Miriam" w:hint="cs"/>
          <w:szCs w:val="22"/>
          <w:rtl/>
        </w:rPr>
      </w:pPr>
      <w:r w:rsidRPr="008C21CA">
        <w:rPr>
          <w:rFonts w:cs="Miriam"/>
          <w:szCs w:val="22"/>
          <w:rtl/>
        </w:rPr>
        <w:t>בתי משפט וסדרי דין</w:t>
      </w:r>
      <w:r w:rsidRPr="008C21CA">
        <w:rPr>
          <w:rFonts w:cs="FrankRuehl"/>
          <w:szCs w:val="26"/>
          <w:rtl/>
        </w:rPr>
        <w:t xml:space="preserve"> – התיישנות</w:t>
      </w:r>
    </w:p>
    <w:p w:rsidR="002C5073" w:rsidRDefault="002C507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50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668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hyperlink w:anchor="Seif0" w:tooltip="עוונות שלא יהוו פרט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5073" w:rsidRDefault="002C5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עוונות שלא יהוו פרט רישום</w:t>
            </w:r>
          </w:p>
        </w:tc>
        <w:tc>
          <w:tcPr>
            <w:tcW w:w="124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C50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668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hyperlink w:anchor="Seif1" w:tooltip="סייג ל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5073" w:rsidRDefault="002C5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למסירת מידע</w:t>
            </w:r>
          </w:p>
        </w:tc>
        <w:tc>
          <w:tcPr>
            <w:tcW w:w="124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C50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668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hyperlink w:anchor="Seif2" w:tooltip="אי הפסקת תקו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5073" w:rsidRDefault="002C5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הפסקת תקופות</w:t>
            </w:r>
          </w:p>
        </w:tc>
        <w:tc>
          <w:tcPr>
            <w:tcW w:w="124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C50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668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5073" w:rsidRDefault="002C5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2C5073" w:rsidRDefault="002C5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2C5073" w:rsidRDefault="002C5073">
      <w:pPr>
        <w:pStyle w:val="big-header"/>
        <w:ind w:left="0" w:right="1134"/>
        <w:rPr>
          <w:rFonts w:cs="FrankRuehl"/>
          <w:sz w:val="32"/>
          <w:rtl/>
        </w:rPr>
      </w:pPr>
    </w:p>
    <w:p w:rsidR="002C5073" w:rsidRDefault="002C5073" w:rsidP="0062668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המרשם הפלילי ותקנת השבים (פרטי רישום שלא יירשמו או שלא יימסר מידע עליהם ועבירות שהרשעה בהן לא תפסיק את תקופות ההתיישנות או המחיקה), תשמ"ד</w:t>
      </w:r>
      <w:r w:rsidR="0062668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62668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C5073" w:rsidRDefault="002C5073" w:rsidP="00626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25 לחוק המרשם הפלילי ותקנת השבים, תשמ"א</w:t>
      </w:r>
      <w:r w:rsidR="006266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6266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תייעצו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עם שר הפנים ובאישור ועדת החוקה, חוק ומשפט של הכנסת, אני מתקין תקנות אלה: </w:t>
      </w:r>
    </w:p>
    <w:p w:rsidR="002C5073" w:rsidRDefault="002C5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65pt;z-index:251655680" o:allowincell="f" filled="f" stroked="f" strokecolor="lime" strokeweight=".25pt">
            <v:textbox style="mso-next-textbox:#_x0000_s1026" inset="0,0,0,0">
              <w:txbxContent>
                <w:p w:rsidR="002C5073" w:rsidRDefault="002C5073" w:rsidP="00626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ונות שלא יהוו</w:t>
                  </w:r>
                  <w:r w:rsidR="0062668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לא יהוו פרט רישום במרשם הפלילי:</w:t>
      </w:r>
    </w:p>
    <w:p w:rsidR="002C5073" w:rsidRDefault="002C50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בירות שנקבעו בחוק עזר לפי פקודת העיריות או לפי פקודת המועצות המקומיות; </w:t>
      </w:r>
    </w:p>
    <w:p w:rsidR="002C5073" w:rsidRDefault="002C5073" w:rsidP="00C3104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1.3pt;z-index:251656704" o:allowincell="f" filled="f" stroked="f" strokecolor="lime" strokeweight=".25pt">
            <v:textbox style="mso-next-textbox:#_x0000_s1027" inset="0,0,0,0">
              <w:txbxContent>
                <w:p w:rsidR="002C5073" w:rsidRDefault="007729F4" w:rsidP="007729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62668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C31047">
                    <w:rPr>
                      <w:rFonts w:cs="Miriam" w:hint="cs"/>
                      <w:sz w:val="18"/>
                      <w:szCs w:val="18"/>
                      <w:rtl/>
                    </w:rPr>
                    <w:t>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 w:rsidR="00C31047">
        <w:rPr>
          <w:rStyle w:val="default"/>
          <w:rFonts w:cs="FrankRuehl" w:hint="cs"/>
          <w:rtl/>
        </w:rPr>
        <w:t>עבירה כאמור בסעיף 404א(ה) ובתוספת השנייה לחוק השיפוט הצבאי, התשט"ו-1955;</w:t>
      </w:r>
    </w:p>
    <w:p w:rsidR="002C5073" w:rsidRDefault="002C507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קנס, למעט עבירות קנס לפי פקודת התעבורה.</w:t>
      </w:r>
    </w:p>
    <w:p w:rsidR="008C18A0" w:rsidRPr="00C31047" w:rsidRDefault="008C18A0" w:rsidP="00C9197C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4273B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13</w:t>
      </w:r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A4273B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A4273B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:rsidR="008C18A0" w:rsidRPr="00C31047" w:rsidRDefault="008C18A0" w:rsidP="00C9197C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A4273B"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A4273B"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8C18A0" w:rsidRPr="00C31047" w:rsidRDefault="00A4273B" w:rsidP="00C9197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3104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Pr="00C3104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ת </w:t>
        </w:r>
        <w:r w:rsidRPr="00C3104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תשמ"ד מס' 4645</w:t>
        </w:r>
      </w:hyperlink>
      <w:r w:rsidR="008C18A0" w:rsidRPr="00C3104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13</w:t>
      </w:r>
      <w:r w:rsidR="008C18A0" w:rsidRPr="00C3104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8C18A0" w:rsidRPr="00C31047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8C18A0" w:rsidRPr="00C3104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1720</w:t>
      </w:r>
    </w:p>
    <w:p w:rsidR="001703B7" w:rsidRPr="00C31047" w:rsidRDefault="001703B7" w:rsidP="00626687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בירות לפי </w:t>
      </w: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עיפים 48, 49, </w:t>
      </w:r>
      <w:r w:rsidR="00C91D2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54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="00C91D2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67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רישה</w:t>
      </w: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="00C91D2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69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="00C91D2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80(א),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82,</w:t>
      </w:r>
      <w:r w:rsidR="00C91D2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91, 106,</w:t>
      </w:r>
      <w:r w:rsidR="00C573B3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108(3)</w:t>
      </w:r>
      <w:r w:rsidR="00A023F3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109(</w:t>
      </w:r>
      <w:r w:rsidR="00A023F3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אא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), 117,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937F47"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="00540048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40048" w:rsidRPr="00C310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122 רישה</w:t>
      </w:r>
      <w:r w:rsidR="00937F47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123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="002D6A3B"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softHyphen/>
      </w:r>
      <w:r w:rsidR="002D6A3B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D6A3B" w:rsidRPr="00C310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124,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71BB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127, 128, 129, 130, 132 ו-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133 לחוק השיפוט הצבאי, </w:t>
      </w:r>
      <w:r w:rsidR="00B71BB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תשט"ו</w:t>
      </w:r>
      <w:r w:rsidR="00626687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נסיון או קשר לעבור </w:t>
      </w:r>
      <w:r w:rsidR="00B71BB6"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אחת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מעבירות אלה כאמור בסעיפים 17 ו-13</w:t>
      </w:r>
      <w:r w:rsidRPr="00C310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5 </w:t>
      </w:r>
      <w:r w:rsidRPr="00C310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לאותו חוק;</w:t>
      </w:r>
    </w:p>
    <w:p w:rsidR="001703B7" w:rsidRPr="00C31047" w:rsidRDefault="001703B7" w:rsidP="00626687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A049F" w:rsidRPr="00C31047" w:rsidRDefault="005A049F" w:rsidP="009142C2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142C2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142C2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9142C2" w:rsidRPr="00C31047">
        <w:rPr>
          <w:rFonts w:cs="FrankRuehl" w:hint="cs"/>
          <w:vanish/>
          <w:color w:val="FF0000"/>
          <w:szCs w:val="20"/>
          <w:shd w:val="clear" w:color="auto" w:fill="FFFF99"/>
          <w:rtl/>
        </w:rPr>
        <w:t>98</w:t>
      </w:r>
    </w:p>
    <w:p w:rsidR="005A049F" w:rsidRPr="00C31047" w:rsidRDefault="00464EDF" w:rsidP="00464ED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</w:t>
      </w:r>
      <w:r w:rsidR="005A049F"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98</w:t>
      </w:r>
    </w:p>
    <w:p w:rsidR="005A049F" w:rsidRPr="00C31047" w:rsidRDefault="00464EDF" w:rsidP="00464EDF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3104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104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104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5890</w:t>
        </w:r>
      </w:hyperlink>
      <w:r w:rsidR="005A049F" w:rsidRPr="00C3104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5A049F" w:rsidRPr="00C31047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5A049F" w:rsidRPr="00C31047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98</w:t>
      </w:r>
      <w:r w:rsidR="005A049F" w:rsidRPr="00C31047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C31047">
        <w:rPr>
          <w:rFonts w:cs="FrankRuehl" w:hint="cs"/>
          <w:vanish/>
          <w:szCs w:val="20"/>
          <w:shd w:val="clear" w:color="auto" w:fill="FFFF99"/>
          <w:rtl/>
        </w:rPr>
        <w:t>604</w:t>
      </w:r>
    </w:p>
    <w:p w:rsidR="00526ED6" w:rsidRPr="00C31047" w:rsidRDefault="00526ED6" w:rsidP="00464ED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1(2)</w:t>
      </w:r>
    </w:p>
    <w:p w:rsidR="00526ED6" w:rsidRPr="00C31047" w:rsidRDefault="00526ED6" w:rsidP="000908DD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26ED6" w:rsidRPr="00C31047" w:rsidRDefault="00526ED6" w:rsidP="00B1222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בירות לפי 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עיפים 48, 49, 54, 67 רישה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69, 80(א), 82, 91, 106, 108(3), 109(אא), 117, 122 רישה, 123,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softHyphen/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124, 127, 128, 129, 130, 132 ו-133 לחוק השיפוט הצבאי, התשט"ו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–1955,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וכן נסיון או קשר לעבור אחת מעבירות אלה כאמור בסעיפים 17 ו-13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5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לאותו חוק;</w:t>
      </w:r>
    </w:p>
    <w:p w:rsidR="00C31047" w:rsidRPr="00C31047" w:rsidRDefault="00C31047" w:rsidP="00B1222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31047" w:rsidRPr="00C31047" w:rsidRDefault="00C31047" w:rsidP="00B12223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104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2.4.2012</w:t>
      </w:r>
    </w:p>
    <w:p w:rsidR="00C31047" w:rsidRPr="00C31047" w:rsidRDefault="00C31047" w:rsidP="00B1222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104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C31047" w:rsidRPr="00C31047" w:rsidRDefault="00C31047" w:rsidP="00B1222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3104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7105</w:t>
        </w:r>
      </w:hyperlink>
      <w:r w:rsidRPr="00C3104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2.4.2012 עמ' 978</w:t>
      </w:r>
    </w:p>
    <w:p w:rsidR="00C31047" w:rsidRPr="00C31047" w:rsidRDefault="00C31047" w:rsidP="00C31047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1(2)</w:t>
      </w:r>
    </w:p>
    <w:p w:rsidR="00C31047" w:rsidRPr="00C31047" w:rsidRDefault="00C31047" w:rsidP="00C31047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104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C31047" w:rsidRPr="00C31047" w:rsidRDefault="00C31047" w:rsidP="00C31047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בירות לפי 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C31047" w:rsidRPr="00C31047" w:rsidRDefault="00C31047" w:rsidP="00C31047">
      <w:pPr>
        <w:pStyle w:val="P33"/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עיפים 48, 49, 53, 54, 58(א) רישה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 62, 64, 67(א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 רישה, 68, 70, 71, 80 רישה, 82, 89, 90, 91, 95, 96, 106, 109(א), 116, 117, 122 רישה, 123 רישה, 124, 127 עד 133 לחוק השיפוט הצבאי, תשט"ו-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1955,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וכן נסיון או קשר לעבור עבירה מעבירות אלה כאמור בסעיפים 17 ו-13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5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לאותו חוק;</w:t>
      </w:r>
    </w:p>
    <w:p w:rsidR="00C31047" w:rsidRPr="00C31047" w:rsidRDefault="00C31047" w:rsidP="00C31047">
      <w:pPr>
        <w:pStyle w:val="P33"/>
        <w:spacing w:before="0"/>
        <w:ind w:left="1474" w:right="1134"/>
        <w:rPr>
          <w:rStyle w:val="default"/>
          <w:rFonts w:cs="FrankRuehl"/>
          <w:sz w:val="2"/>
          <w:szCs w:val="2"/>
          <w:rtl/>
        </w:rPr>
      </w:pP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6 ו-12, למעט א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ם </w:t>
      </w:r>
      <w:r w:rsidRPr="00C310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היה הרכוש נשק, כלי טיס, כלי שיט או כלי תחבורה אחר, לתקנות שירות בטחון (חובות אנשי מילואים), תשט"ז-</w:t>
      </w:r>
      <w:r w:rsidRPr="00C3104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1956;</w:t>
      </w:r>
      <w:bookmarkEnd w:id="1"/>
    </w:p>
    <w:p w:rsidR="002C5073" w:rsidRDefault="002C5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7728" o:allowincell="f" filled="f" stroked="f" strokecolor="lime" strokeweight=".25pt">
            <v:textbox style="mso-next-textbox:#_x0000_s1028" inset="0,0,0,0">
              <w:txbxContent>
                <w:p w:rsidR="002C5073" w:rsidRDefault="002C5073" w:rsidP="00626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למסירת</w:t>
                  </w:r>
                  <w:r w:rsidR="0062668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 מן המרשם לא יכלול את העבירות המפורטות להלן אלא אם כן היתה בקשה לכלול במידע עבירות אלה או לת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מידע על עבירות אלה בלבד:</w:t>
      </w:r>
    </w:p>
    <w:p w:rsidR="002C5073" w:rsidRDefault="002C5073" w:rsidP="006266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בירת תעבורה כהגדרתה בפקודת התעבורה (להלן </w:t>
      </w:r>
      <w:r w:rsidR="006266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עבירת תעבורה), למעט עבירה לפי סעיפים 64 או 64א לפקודה האמורה; </w:t>
      </w:r>
    </w:p>
    <w:p w:rsidR="002C5073" w:rsidRDefault="002C5073" w:rsidP="006266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בירה לפי פקודת ביטוח רכב מנועי [נוסח חדש], תש"ל</w:t>
      </w:r>
      <w:r w:rsidR="006266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1970. </w:t>
      </w:r>
    </w:p>
    <w:p w:rsidR="002C5073" w:rsidRDefault="002C5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8752" o:allowincell="f" filled="f" stroked="f" strokecolor="lime" strokeweight=".25pt">
            <v:textbox style="mso-next-textbox:#_x0000_s1029" inset="0,0,0,0">
              <w:txbxContent>
                <w:p w:rsidR="002C5073" w:rsidRDefault="002C5073" w:rsidP="00626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הפסקת</w:t>
                  </w:r>
                  <w:r w:rsidR="0062668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שעה או קביעה כאמור בסעיף 2 לחוק בשל עבירת תעבורה, א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בהן כדי להפסיק תקופת התיישנות או תקופת מחיקה אלא אם כן היו תקופות אלה לענין עבירת תעבורה. </w:t>
      </w:r>
    </w:p>
    <w:p w:rsidR="002C5073" w:rsidRDefault="002C5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6.25pt;z-index:251659776" o:allowincell="f" filled="f" stroked="f" strokecolor="lime" strokeweight=".25pt">
            <v:textbox style="mso-next-textbox:#_x0000_s1030" inset="0,0,0,0">
              <w:txbxContent>
                <w:p w:rsidR="002C5073" w:rsidRDefault="002C50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:rsidR="002C5073" w:rsidRDefault="002C50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6687" w:rsidRDefault="006266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5073" w:rsidRDefault="002C507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בשבט תשמ"ד (1 בפברואר 1984)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 xml:space="preserve"> נסים</w:t>
      </w:r>
    </w:p>
    <w:p w:rsidR="002C5073" w:rsidRDefault="002C507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2C5073" w:rsidRPr="00626687" w:rsidRDefault="002C5073" w:rsidP="006266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5073" w:rsidRPr="00626687" w:rsidRDefault="002C5073" w:rsidP="006266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5073" w:rsidRPr="00626687" w:rsidRDefault="002C5073" w:rsidP="00626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2C5073" w:rsidRPr="00650A6B" w:rsidRDefault="00650A6B" w:rsidP="00626687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sectPr w:rsidR="002C5073" w:rsidRPr="00650A6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0A7" w:rsidRDefault="001330A7">
      <w:r>
        <w:separator/>
      </w:r>
    </w:p>
  </w:endnote>
  <w:endnote w:type="continuationSeparator" w:id="0">
    <w:p w:rsidR="001330A7" w:rsidRDefault="0013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073" w:rsidRDefault="002C50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C5073" w:rsidRDefault="002C50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5073" w:rsidRDefault="002C50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6687">
      <w:rPr>
        <w:rFonts w:cs="TopType Jerushalmi"/>
        <w:noProof/>
        <w:color w:val="000000"/>
        <w:sz w:val="14"/>
        <w:szCs w:val="14"/>
      </w:rPr>
      <w:t>D:\Yael\hakika\Revadim\073_045.doc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073" w:rsidRDefault="002C50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19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C5073" w:rsidRDefault="002C50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5073" w:rsidRDefault="002C50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6687">
      <w:rPr>
        <w:rFonts w:cs="TopType Jerushalmi"/>
        <w:noProof/>
        <w:color w:val="000000"/>
        <w:sz w:val="14"/>
        <w:szCs w:val="14"/>
      </w:rPr>
      <w:t>D:\Yael\hakika\Revadim\073_045.doc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0A7" w:rsidRDefault="001330A7" w:rsidP="0062668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330A7" w:rsidRDefault="001330A7">
      <w:r>
        <w:continuationSeparator/>
      </w:r>
    </w:p>
  </w:footnote>
  <w:footnote w:id="1">
    <w:p w:rsidR="00626687" w:rsidRDefault="00626687" w:rsidP="00626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2668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0099B">
          <w:rPr>
            <w:rStyle w:val="Hyperlink"/>
            <w:rFonts w:cs="FrankRuehl" w:hint="cs"/>
            <w:rtl/>
          </w:rPr>
          <w:t>ק"ת תשמ"ד מס' 4</w:t>
        </w:r>
        <w:r w:rsidRPr="0070099B">
          <w:rPr>
            <w:rStyle w:val="Hyperlink"/>
            <w:rFonts w:cs="FrankRuehl"/>
            <w:rtl/>
          </w:rPr>
          <w:t>598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26.2.1984 עמ' 1012.</w:t>
      </w:r>
    </w:p>
    <w:p w:rsidR="00626687" w:rsidRDefault="00626687" w:rsidP="00626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708A4">
          <w:rPr>
            <w:rStyle w:val="Hyperlink"/>
            <w:rFonts w:cs="FrankRuehl" w:hint="cs"/>
            <w:rtl/>
          </w:rPr>
          <w:t>ק"</w:t>
        </w:r>
        <w:r w:rsidRPr="00B708A4">
          <w:rPr>
            <w:rStyle w:val="Hyperlink"/>
            <w:rFonts w:cs="FrankRuehl"/>
            <w:rtl/>
          </w:rPr>
          <w:t xml:space="preserve">ת </w:t>
        </w:r>
        <w:r w:rsidRPr="00B708A4">
          <w:rPr>
            <w:rStyle w:val="Hyperlink"/>
            <w:rFonts w:cs="FrankRuehl" w:hint="cs"/>
            <w:rtl/>
          </w:rPr>
          <w:t>תשמ"ד מס' 4645</w:t>
        </w:r>
      </w:hyperlink>
      <w:r>
        <w:rPr>
          <w:rFonts w:cs="FrankRuehl" w:hint="cs"/>
          <w:rtl/>
        </w:rPr>
        <w:t xml:space="preserve"> מיום 13.6.1984 עמ' 1720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  <w:p w:rsidR="00626687" w:rsidRDefault="00626687" w:rsidP="00626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B708A4">
          <w:rPr>
            <w:rStyle w:val="Hyperlink"/>
            <w:rFonts w:cs="FrankRuehl" w:hint="cs"/>
            <w:rtl/>
          </w:rPr>
          <w:t>ק</w:t>
        </w:r>
        <w:r w:rsidRPr="00B708A4">
          <w:rPr>
            <w:rStyle w:val="Hyperlink"/>
            <w:rFonts w:cs="FrankRuehl"/>
            <w:rtl/>
          </w:rPr>
          <w:t>"</w:t>
        </w:r>
        <w:r w:rsidRPr="00B708A4">
          <w:rPr>
            <w:rStyle w:val="Hyperlink"/>
            <w:rFonts w:cs="FrankRuehl" w:hint="cs"/>
            <w:rtl/>
          </w:rPr>
          <w:t>ת תשנ"ח מס' 5890</w:t>
        </w:r>
      </w:hyperlink>
      <w:r>
        <w:rPr>
          <w:rFonts w:cs="FrankRuehl" w:hint="cs"/>
          <w:rtl/>
        </w:rPr>
        <w:t xml:space="preserve"> מיום 1.4.1998 עמ' 604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תשנ"ח-</w:t>
      </w:r>
      <w:r>
        <w:rPr>
          <w:rFonts w:cs="FrankRuehl"/>
          <w:rtl/>
        </w:rPr>
        <w:t xml:space="preserve">1998; </w:t>
      </w:r>
      <w:r w:rsidR="008D19DF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תחילתן שלושים ימים מיום פרסומן.</w:t>
      </w:r>
      <w:r w:rsidR="008D19DF">
        <w:rPr>
          <w:rFonts w:cs="FrankRuehl" w:hint="cs"/>
          <w:rtl/>
        </w:rPr>
        <w:t xml:space="preserve"> ###</w:t>
      </w:r>
    </w:p>
    <w:p w:rsidR="00131D38" w:rsidRPr="00626687" w:rsidRDefault="00E65589" w:rsidP="008D19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C31047" w:rsidRPr="00E65589">
          <w:rPr>
            <w:rStyle w:val="Hyperlink"/>
            <w:rFonts w:cs="FrankRuehl" w:hint="cs"/>
            <w:rtl/>
          </w:rPr>
          <w:t>ק"</w:t>
        </w:r>
        <w:r w:rsidR="00C31047" w:rsidRPr="00E65589">
          <w:rPr>
            <w:rStyle w:val="Hyperlink"/>
            <w:rFonts w:cs="FrankRuehl" w:hint="cs"/>
            <w:rtl/>
          </w:rPr>
          <w:t>ת</w:t>
        </w:r>
        <w:r w:rsidR="00C31047" w:rsidRPr="00E65589">
          <w:rPr>
            <w:rStyle w:val="Hyperlink"/>
            <w:rFonts w:cs="FrankRuehl" w:hint="cs"/>
            <w:rtl/>
          </w:rPr>
          <w:t xml:space="preserve"> תשע"ב מס' 7105</w:t>
        </w:r>
      </w:hyperlink>
      <w:r w:rsidR="00C31047">
        <w:rPr>
          <w:rFonts w:cs="FrankRuehl" w:hint="cs"/>
          <w:rtl/>
        </w:rPr>
        <w:t xml:space="preserve"> מיום 2.4.2012 עמ' 978 </w:t>
      </w:r>
      <w:r w:rsidR="00C31047">
        <w:rPr>
          <w:rFonts w:cs="FrankRuehl"/>
          <w:rtl/>
        </w:rPr>
        <w:t>–</w:t>
      </w:r>
      <w:r w:rsidR="00C31047">
        <w:rPr>
          <w:rFonts w:cs="FrankRuehl" w:hint="cs"/>
          <w:rtl/>
        </w:rPr>
        <w:t xml:space="preserve"> תק' תשע"ב-2012; תחילתן ביום 4.10.2011 ור' תקנה 2 לענין תחולה.</w:t>
      </w:r>
      <w:r w:rsidR="008D19DF">
        <w:rPr>
          <w:rFonts w:cs="FrankRuehl" w:hint="cs"/>
          <w:rtl/>
        </w:rPr>
        <w:t xml:space="preserve"> </w:t>
      </w:r>
      <w:r w:rsidR="00131D38">
        <w:rPr>
          <w:rFonts w:cs="FrankRuehl" w:hint="cs"/>
          <w:rtl/>
        </w:rPr>
        <w:t>$$$</w:t>
      </w:r>
      <w:r w:rsidR="008D19DF">
        <w:rPr>
          <w:rFonts w:cs="FrankRuehl" w:hint="cs"/>
          <w:rtl/>
        </w:rPr>
        <w:t xml:space="preserve"> </w:t>
      </w:r>
      <w:r w:rsidR="00131D38">
        <w:rPr>
          <w:rFonts w:cs="FrankRuehl" w:hint="cs"/>
          <w:rtl/>
        </w:rPr>
        <w:t>תחילתן של תקנות אלה ביום תחילתו של חוק השיפוט הצבאי (תיקון מס' 63), התשע"א-2011; עדכון פרטי רישום במרשם הפלילי, בהתאם להוראות החוק האמור ומסירת מידע עליהם יחלו בתוך שנה מיום פרסומו.</w:t>
      </w:r>
      <w:r w:rsidR="008D19DF">
        <w:rPr>
          <w:rFonts w:cs="FrankRuehl" w:hint="cs"/>
          <w:rtl/>
        </w:rPr>
        <w:t xml:space="preserve"> </w:t>
      </w:r>
      <w:r w:rsidR="00131D38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073" w:rsidRDefault="002C50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(פרטי רישום שלא יירשמו או שלא יימסר מידע עליהם ועבירות שהרשעה בהן לא תפסיק את תקופות ההתיישנות או המחיקה), תשמ"ד–1984</w:t>
    </w:r>
  </w:p>
  <w:p w:rsidR="002C5073" w:rsidRDefault="002C5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5073" w:rsidRDefault="002C5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073" w:rsidRDefault="002C5073" w:rsidP="004449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המרשם הפלילי ותקנת השבים (פרטי רישום שלא יירשמו או שלא יימסר מידע עליהם ועבירות שהרשעה בהן לא תפסיק את תקופות ההתיישנות או המחיקה), </w:t>
    </w:r>
    <w:r w:rsidR="00444978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תשמ"ד</w:t>
    </w:r>
    <w:r w:rsidR="0044497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2C5073" w:rsidRDefault="002C5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5073" w:rsidRDefault="002C5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1CA"/>
    <w:rsid w:val="000515AF"/>
    <w:rsid w:val="00072FB8"/>
    <w:rsid w:val="000871F7"/>
    <w:rsid w:val="000908DD"/>
    <w:rsid w:val="00131D38"/>
    <w:rsid w:val="001330A7"/>
    <w:rsid w:val="001627B4"/>
    <w:rsid w:val="001703B7"/>
    <w:rsid w:val="002C5073"/>
    <w:rsid w:val="002D6A3B"/>
    <w:rsid w:val="003861A0"/>
    <w:rsid w:val="00444978"/>
    <w:rsid w:val="00464EDF"/>
    <w:rsid w:val="00526ED6"/>
    <w:rsid w:val="00540048"/>
    <w:rsid w:val="005A049F"/>
    <w:rsid w:val="00626687"/>
    <w:rsid w:val="00650A6B"/>
    <w:rsid w:val="006F6A94"/>
    <w:rsid w:val="0070099B"/>
    <w:rsid w:val="007729F4"/>
    <w:rsid w:val="007C792F"/>
    <w:rsid w:val="00827AF8"/>
    <w:rsid w:val="008C18A0"/>
    <w:rsid w:val="008C21CA"/>
    <w:rsid w:val="008D19DF"/>
    <w:rsid w:val="009112EF"/>
    <w:rsid w:val="009142C2"/>
    <w:rsid w:val="00937F47"/>
    <w:rsid w:val="00964F4A"/>
    <w:rsid w:val="009B58E0"/>
    <w:rsid w:val="00A023F3"/>
    <w:rsid w:val="00A15CF8"/>
    <w:rsid w:val="00A41680"/>
    <w:rsid w:val="00A4273B"/>
    <w:rsid w:val="00A679B0"/>
    <w:rsid w:val="00B12223"/>
    <w:rsid w:val="00B708A4"/>
    <w:rsid w:val="00B71BB6"/>
    <w:rsid w:val="00BB0BC5"/>
    <w:rsid w:val="00BE6270"/>
    <w:rsid w:val="00C31047"/>
    <w:rsid w:val="00C573B3"/>
    <w:rsid w:val="00C745F3"/>
    <w:rsid w:val="00C9197C"/>
    <w:rsid w:val="00C91D26"/>
    <w:rsid w:val="00D107B6"/>
    <w:rsid w:val="00D76C81"/>
    <w:rsid w:val="00D83194"/>
    <w:rsid w:val="00E01CB4"/>
    <w:rsid w:val="00E232FA"/>
    <w:rsid w:val="00E31F67"/>
    <w:rsid w:val="00E65589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52E547-FBC4-4BD1-B000-A7EDC11E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C18A0"/>
    <w:rPr>
      <w:color w:val="800080"/>
      <w:u w:val="single"/>
    </w:rPr>
  </w:style>
  <w:style w:type="paragraph" w:styleId="a5">
    <w:name w:val="footnote text"/>
    <w:basedOn w:val="a"/>
    <w:semiHidden/>
    <w:rsid w:val="00626687"/>
    <w:rPr>
      <w:sz w:val="20"/>
      <w:szCs w:val="20"/>
    </w:rPr>
  </w:style>
  <w:style w:type="character" w:styleId="a6">
    <w:name w:val="footnote reference"/>
    <w:basedOn w:val="a0"/>
    <w:semiHidden/>
    <w:rsid w:val="006266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105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890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4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90.pdf" TargetMode="External"/><Relationship Id="rId2" Type="http://schemas.openxmlformats.org/officeDocument/2006/relationships/hyperlink" Target="http://www.nevo.co.il/Law_word/law06/TAK-4645.pdf" TargetMode="External"/><Relationship Id="rId1" Type="http://schemas.openxmlformats.org/officeDocument/2006/relationships/hyperlink" Target="http://www.nevo.co.il/Law_word/law06/TAK-4598.pdf" TargetMode="External"/><Relationship Id="rId4" Type="http://schemas.openxmlformats.org/officeDocument/2006/relationships/hyperlink" Target="http://www.nevo.co.il/Law_word/law06/TAK-71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3197</CharactersWithSpaces>
  <SharedDoc>false</SharedDoc>
  <HLinks>
    <vt:vector size="66" baseType="variant">
      <vt:variant>
        <vt:i4>8257548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http://www.nevo.co.il/Law_word/law06/tak-7105.pdf</vt:lpwstr>
      </vt:variant>
      <vt:variant>
        <vt:lpwstr/>
      </vt:variant>
      <vt:variant>
        <vt:i4>7667712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http://www.nevo.co.il/Law_word/law06/TAK-5890.pdf</vt:lpwstr>
      </vt:variant>
      <vt:variant>
        <vt:lpwstr/>
      </vt:variant>
      <vt:variant>
        <vt:i4>7929867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http://www.nevo.co.il/Law_word/law06/TAK-4645.pdf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http://www.nevo.co.il/Law_word/law06/TAK-7105.pdf</vt:lpwstr>
      </vt:variant>
      <vt:variant>
        <vt:lpwstr/>
      </vt:variant>
      <vt:variant>
        <vt:i4>7667712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http://www.nevo.co.il/Law_word/law06/TAK-5890.pdf</vt:lpwstr>
      </vt:variant>
      <vt:variant>
        <vt:lpwstr/>
      </vt:variant>
      <vt:variant>
        <vt:i4>7929867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http://www.nevo.co.il/Law_word/law06/TAK-4645.pdf</vt:lpwstr>
      </vt:variant>
      <vt:variant>
        <vt:lpwstr/>
      </vt:variant>
      <vt:variant>
        <vt:i4>7602181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(פרטי רישום שלא יירשמו או שלא יימסר מידע עליהם ועבירות שהרשעה בהן לא תפסיק את תקופות ההתיישנות או המחיקה), תשמ"ד-1984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מרשם פלילי</vt:lpwstr>
  </property>
  <property fmtid="{D5CDD505-2E9C-101B-9397-08002B2CF9AE}" pid="10" name="NOSE41">
    <vt:lpwstr>כללי מסירת מידע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מרשם פלילי</vt:lpwstr>
  </property>
  <property fmtid="{D5CDD505-2E9C-101B-9397-08002B2CF9AE}" pid="13" name="NOSE32">
    <vt:lpwstr>כללי מסירת מידע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התיישנות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25X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http://www.nevo.co.il/Law_word/law06/TAK-7105.pdf;‎רשומות - תקנות כלליות#ק"ת תשע"ב מס' 7105 ‏‏#מיום 2.4.2012 עמ' 978 – תק' תשע"ב-2012; תחילתן ביום 4.10.2011 ור' תקנה 2 לענין תחולה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