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35F" w:rsidRDefault="006B635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המרשם הפלילי ותקנת השבים, תשמ"ו- 1986</w:t>
      </w:r>
    </w:p>
    <w:p w:rsidR="00180B65" w:rsidRPr="00180B65" w:rsidRDefault="00180B65" w:rsidP="00180B65">
      <w:pPr>
        <w:spacing w:line="320" w:lineRule="auto"/>
        <w:jc w:val="left"/>
        <w:rPr>
          <w:rFonts w:cs="FrankRuehl"/>
          <w:szCs w:val="26"/>
          <w:rtl/>
        </w:rPr>
      </w:pPr>
    </w:p>
    <w:p w:rsidR="00180B65" w:rsidRDefault="00180B65" w:rsidP="00180B65">
      <w:pPr>
        <w:spacing w:line="320" w:lineRule="auto"/>
        <w:jc w:val="left"/>
        <w:rPr>
          <w:rFonts w:cs="Miriam"/>
          <w:szCs w:val="22"/>
          <w:rtl/>
        </w:rPr>
      </w:pPr>
      <w:r w:rsidRPr="00180B65">
        <w:rPr>
          <w:rFonts w:cs="Miriam"/>
          <w:szCs w:val="22"/>
          <w:rtl/>
        </w:rPr>
        <w:t>עונשין ומשפט פלילי</w:t>
      </w:r>
      <w:r w:rsidRPr="00180B65">
        <w:rPr>
          <w:rFonts w:cs="FrankRuehl"/>
          <w:szCs w:val="26"/>
          <w:rtl/>
        </w:rPr>
        <w:t xml:space="preserve"> – מרשם פלילי</w:t>
      </w:r>
    </w:p>
    <w:p w:rsidR="00180B65" w:rsidRPr="00180B65" w:rsidRDefault="00180B65" w:rsidP="00180B65">
      <w:pPr>
        <w:spacing w:line="320" w:lineRule="auto"/>
        <w:jc w:val="left"/>
        <w:rPr>
          <w:rFonts w:cs="Miriam" w:hint="cs"/>
          <w:szCs w:val="22"/>
          <w:rtl/>
        </w:rPr>
      </w:pPr>
      <w:r w:rsidRPr="00180B65">
        <w:rPr>
          <w:rFonts w:cs="Miriam"/>
          <w:szCs w:val="22"/>
          <w:rtl/>
        </w:rPr>
        <w:t>בתי משפט וסדרי דין</w:t>
      </w:r>
      <w:r w:rsidRPr="00180B65">
        <w:rPr>
          <w:rFonts w:cs="FrankRuehl"/>
          <w:szCs w:val="26"/>
          <w:rtl/>
        </w:rPr>
        <w:t xml:space="preserve"> – סדר דין פלילי – מרשם פלילי</w:t>
      </w:r>
    </w:p>
    <w:p w:rsidR="006B635F" w:rsidRDefault="006B635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א': דרך מסירת פרטי הרישום למשטרה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סימן א: דרך מסירת פרטי הרישום למשטרה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מידע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סירת מידע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מועדי מסירה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ועדי מסירה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מידע בעבירות בניה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סירת מידע בעבירות בניה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פרט רישום מוטעה או בלתי ברור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פרט רישום מוטעה או בלתי ברור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ב': עיון במידע שבמרשם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סימן ב: עיון במידע שבמרשם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בקשת עיון במידע שבמרשם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בקשת עיון במידע שבמרשם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דרך העיון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דרך העיון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סדרי העיון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דרי העיון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ג': הודעה על מסירת מידע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0" w:tooltip="סימן ג: הודעה על מסירת מידע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מסירת מידע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ודעה על מסירת מידע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ד': תיקון מידע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1" w:tooltip="סימן ד: תיקון מידע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בקשה ל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ודעה על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 ותוקף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ילה ותוקף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0159D" w:rsidRPr="00C015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תוספת" w:history="1">
              <w:r w:rsidRPr="00C015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59D" w:rsidRPr="00C0159D" w:rsidRDefault="00C0159D" w:rsidP="00C015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B635F" w:rsidRDefault="006B635F">
      <w:pPr>
        <w:pStyle w:val="big-header"/>
        <w:ind w:left="0" w:right="1134"/>
        <w:rPr>
          <w:rFonts w:cs="FrankRuehl"/>
          <w:sz w:val="32"/>
          <w:rtl/>
        </w:rPr>
      </w:pPr>
    </w:p>
    <w:p w:rsidR="006B635F" w:rsidRDefault="006B635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180B65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המרשם הפלילי ותקנת השבים, תשמ"ו- 1986</w:t>
      </w:r>
      <w:r>
        <w:rPr>
          <w:rStyle w:val="super"/>
          <w:rFonts w:cs="Miriam"/>
          <w:noProof w:val="0"/>
          <w:rtl/>
          <w:lang w:eastAsia="he-IL"/>
        </w:rPr>
        <w:t>(45)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1(ב), 12 ו-26 לחוק המרשם הפלילי ותקנת השבים, תשמ"א- 1981 (להלן -  החוק), ובאי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ור ועדת החוקה חוק ומשפט של הכנסת לענין סימנים ב', ג' ו-ד', אנו מתקינים תקנות אלה:</w:t>
      </w:r>
    </w:p>
    <w:p w:rsidR="006B635F" w:rsidRDefault="006B635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סימן</w:t>
      </w:r>
      <w:r>
        <w:rPr>
          <w:rFonts w:cs="FrankRuehl" w:hint="cs"/>
          <w:noProof/>
          <w:rtl/>
        </w:rPr>
        <w:t xml:space="preserve"> א': דרך מסירת פרטי הרישום למשטרה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20pt;z-index:251650048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בס</w:t>
      </w:r>
      <w:r>
        <w:rPr>
          <w:rStyle w:val="default"/>
          <w:rFonts w:cs="FrankRuehl" w:hint="cs"/>
          <w:rtl/>
        </w:rPr>
        <w:t xml:space="preserve">ימן זה -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וסר מידע" -  כל אחד מאלה:</w:t>
      </w:r>
    </w:p>
    <w:p w:rsidR="006B635F" w:rsidRDefault="006B63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ובע כמשמעותו בסעיף 12 לחוק סדר הדין הפלילי [נוסח משולב], תשמ"ב- 1982;</w:t>
      </w:r>
    </w:p>
    <w:p w:rsidR="006B635F" w:rsidRDefault="006B63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צין פיקוח במפקדת משטרה צבאית חוקרת;</w:t>
      </w:r>
    </w:p>
    <w:p w:rsidR="006B635F" w:rsidRDefault="006B635F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(45)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ק"ת תשמ"ו מס' 4900 מיום 7.2.1986 ע</w:t>
      </w:r>
      <w:r>
        <w:rPr>
          <w:rFonts w:cs="FrankRuehl"/>
          <w:rtl/>
        </w:rPr>
        <w:t>מ' 498.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ר</w:t>
      </w:r>
      <w:r>
        <w:rPr>
          <w:rFonts w:cs="FrankRuehl"/>
          <w:rtl/>
        </w:rPr>
        <w:t>א</w:t>
      </w:r>
      <w:r>
        <w:rPr>
          <w:rFonts w:cs="FrankRuehl" w:hint="cs"/>
          <w:rtl/>
        </w:rPr>
        <w:t>ה ת"ט ק"ת תשמ"ו מס' 4947 מיום 13.7.1986 עמ' 1108.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קנו ק"ת תשמ"ח מס' 5119 מיום 10.7.1988 עמ' 954.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 תש"ן: מס' 5250 מיום 22.2.1990 עמ' 399;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מ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 xml:space="preserve">' 5286 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 xml:space="preserve">יום 16.8.1990 עמ' 979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(אגרה) תש"ן</w:t>
      </w:r>
      <w:r>
        <w:rPr>
          <w:rFonts w:cs="FrankRuehl"/>
          <w:rtl/>
        </w:rPr>
        <w:t>–1990.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 תשנ"א מס' 5336 מיום 22.2.1991 עמ' 624.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</w:t>
      </w:r>
      <w:r>
        <w:rPr>
          <w:rFonts w:cs="FrankRuehl"/>
          <w:rtl/>
        </w:rPr>
        <w:t xml:space="preserve"> ת</w:t>
      </w:r>
      <w:r>
        <w:rPr>
          <w:rFonts w:cs="FrankRuehl" w:hint="cs"/>
          <w:rtl/>
        </w:rPr>
        <w:t xml:space="preserve">שנ"ב: מס' 5396 מיום 7.11.1991 עמ' 422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תשנ"ב</w:t>
      </w:r>
      <w:r>
        <w:rPr>
          <w:rFonts w:cs="FrankRuehl"/>
          <w:rtl/>
        </w:rPr>
        <w:t xml:space="preserve">–1991; </w:t>
      </w:r>
      <w:r>
        <w:rPr>
          <w:rFonts w:cs="FrankRuehl" w:hint="cs"/>
          <w:rtl/>
        </w:rPr>
        <w:t xml:space="preserve">תחילתה ביום 1.10.1991. מס' 5437 מיום 30.4.1992 עמ' 990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תק' תשנ"ב</w:t>
      </w:r>
      <w:r>
        <w:rPr>
          <w:rFonts w:cs="FrankRuehl"/>
          <w:rtl/>
        </w:rPr>
        <w:t xml:space="preserve">–1992; </w:t>
      </w:r>
      <w:r>
        <w:rPr>
          <w:rFonts w:cs="FrankRuehl" w:hint="cs"/>
          <w:rtl/>
        </w:rPr>
        <w:t>תחילתן ביום 1.5.1992.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 תש</w:t>
      </w:r>
      <w:r>
        <w:rPr>
          <w:rFonts w:cs="FrankRuehl"/>
          <w:rtl/>
        </w:rPr>
        <w:t>נ</w:t>
      </w:r>
      <w:r>
        <w:rPr>
          <w:rFonts w:cs="FrankRuehl" w:hint="cs"/>
          <w:rtl/>
        </w:rPr>
        <w:t xml:space="preserve">"ג מס' 5540 מיום 19.8.1993 עמ' 1086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תשנ"ג</w:t>
      </w:r>
      <w:r>
        <w:rPr>
          <w:rFonts w:cs="FrankRuehl"/>
          <w:rtl/>
        </w:rPr>
        <w:t>–1993.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 תשנ"ד: מס' 5555 מיום 28.10.1993 עמ</w:t>
      </w:r>
      <w:r>
        <w:rPr>
          <w:rFonts w:cs="FrankRuehl"/>
          <w:rtl/>
        </w:rPr>
        <w:t xml:space="preserve">' 70 — </w:t>
      </w:r>
      <w:r>
        <w:rPr>
          <w:rFonts w:cs="FrankRuehl" w:hint="cs"/>
          <w:rtl/>
        </w:rPr>
        <w:t>תק' תשנ"ד</w:t>
      </w:r>
      <w:r>
        <w:rPr>
          <w:rFonts w:cs="FrankRuehl"/>
          <w:rtl/>
        </w:rPr>
        <w:t>–1993.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מ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 xml:space="preserve">' 5580 מיום 13.2.1994 עמ' 630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הוראת שעה, תשנ"ד</w:t>
      </w:r>
      <w:r>
        <w:rPr>
          <w:rFonts w:cs="FrankRuehl"/>
          <w:rtl/>
        </w:rPr>
        <w:t xml:space="preserve">–1994; </w:t>
      </w:r>
      <w:r>
        <w:rPr>
          <w:rFonts w:cs="FrankRuehl" w:hint="cs"/>
          <w:rtl/>
        </w:rPr>
        <w:t xml:space="preserve">ראה להלן בעמ' 6961. מס' 5612 מיום 5.7.1994 עמ' 1166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תשנ"ד</w:t>
      </w:r>
      <w:r>
        <w:rPr>
          <w:rFonts w:cs="FrankRuehl"/>
          <w:rtl/>
        </w:rPr>
        <w:t>–1994.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תשנ"ה: מס' 5632 מיום 17.10.1994 עמ' 254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תשנ"ה</w:t>
      </w:r>
      <w:r>
        <w:rPr>
          <w:rFonts w:cs="FrankRuehl"/>
          <w:rtl/>
        </w:rPr>
        <w:t xml:space="preserve">–1994; </w:t>
      </w:r>
      <w:r>
        <w:rPr>
          <w:rFonts w:cs="FrankRuehl" w:hint="cs"/>
          <w:rtl/>
        </w:rPr>
        <w:t>תחילתה ביום 1.10.1994; מס' 5641 מיום 24.</w:t>
      </w:r>
      <w:r>
        <w:rPr>
          <w:rFonts w:cs="FrankRuehl"/>
          <w:rtl/>
        </w:rPr>
        <w:t>11.1994 ע</w:t>
      </w:r>
      <w:r>
        <w:rPr>
          <w:rFonts w:cs="FrankRuehl" w:hint="cs"/>
          <w:rtl/>
        </w:rPr>
        <w:t xml:space="preserve">מ' 370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תק' תשנ"ה</w:t>
      </w:r>
      <w:r>
        <w:rPr>
          <w:rFonts w:cs="FrankRuehl"/>
          <w:rtl/>
        </w:rPr>
        <w:t xml:space="preserve">–1994; </w:t>
      </w:r>
      <w:r>
        <w:rPr>
          <w:rFonts w:cs="FrankRuehl" w:hint="cs"/>
          <w:rtl/>
        </w:rPr>
        <w:t xml:space="preserve">מס' 5678 מיום 1.5.1995 עמ' 1408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(מס' 2) תשנ"ה</w:t>
      </w:r>
      <w:r>
        <w:rPr>
          <w:rFonts w:cs="FrankRuehl"/>
          <w:rtl/>
        </w:rPr>
        <w:t>–1</w:t>
      </w:r>
      <w:r>
        <w:rPr>
          <w:rFonts w:cs="FrankRuehl" w:hint="cs"/>
          <w:rtl/>
        </w:rPr>
        <w:t>995.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תשנ"ו מס' 5724 מיום 25.12.1995 עמ' 303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תשנ"ו</w:t>
      </w:r>
      <w:r>
        <w:rPr>
          <w:rFonts w:cs="FrankRuehl"/>
          <w:rtl/>
        </w:rPr>
        <w:t xml:space="preserve">–1995; </w:t>
      </w:r>
      <w:r>
        <w:rPr>
          <w:rFonts w:cs="FrankRuehl" w:hint="cs"/>
          <w:rtl/>
        </w:rPr>
        <w:t>תחיל</w:t>
      </w:r>
      <w:r>
        <w:rPr>
          <w:rFonts w:cs="FrankRuehl"/>
          <w:rtl/>
        </w:rPr>
        <w:t>ת</w:t>
      </w:r>
      <w:r>
        <w:rPr>
          <w:rFonts w:cs="FrankRuehl" w:hint="cs"/>
          <w:rtl/>
        </w:rPr>
        <w:t>ה ביום 1.1.1996.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תשנ"ז: מס' 5799 מיום 17.12.1996 עמ' 220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תשנ"ז</w:t>
      </w:r>
      <w:r>
        <w:rPr>
          <w:rFonts w:cs="FrankRuehl"/>
          <w:rtl/>
        </w:rPr>
        <w:t xml:space="preserve">–1996; </w:t>
      </w:r>
      <w:r>
        <w:rPr>
          <w:rFonts w:cs="FrankRuehl" w:hint="cs"/>
          <w:rtl/>
        </w:rPr>
        <w:t>תחילתה ביום 1</w:t>
      </w:r>
      <w:r>
        <w:rPr>
          <w:rFonts w:cs="FrankRuehl"/>
          <w:rtl/>
        </w:rPr>
        <w:t>.1.1997. מ</w:t>
      </w:r>
      <w:r>
        <w:rPr>
          <w:rFonts w:cs="FrankRuehl" w:hint="cs"/>
          <w:rtl/>
        </w:rPr>
        <w:t>ס' 5805 מיום 7.1.1997 עמ' 338 (ת"ט להודעה תשנ"ז</w:t>
      </w:r>
      <w:r>
        <w:rPr>
          <w:rFonts w:cs="FrankRuehl"/>
          <w:rtl/>
        </w:rPr>
        <w:t xml:space="preserve">–1996). 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תשנ"ח מס' 5868 מיום 24.12.1997 עמ' 211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תשנ"ח</w:t>
      </w:r>
      <w:r>
        <w:rPr>
          <w:rFonts w:cs="FrankRuehl"/>
          <w:rtl/>
        </w:rPr>
        <w:t xml:space="preserve">–1997; </w:t>
      </w:r>
      <w:r>
        <w:rPr>
          <w:rFonts w:cs="FrankRuehl" w:hint="cs"/>
          <w:rtl/>
        </w:rPr>
        <w:t>תחילתה ביום 1.1.1998.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תשנ"ט 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 xml:space="preserve">ס' 5958 מיום 8.3.1999 עמ' 483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תשנ"ט</w:t>
      </w:r>
      <w:r>
        <w:rPr>
          <w:rFonts w:cs="FrankRuehl"/>
          <w:rtl/>
        </w:rPr>
        <w:t xml:space="preserve">–1999; </w:t>
      </w:r>
      <w:r>
        <w:rPr>
          <w:rFonts w:cs="FrankRuehl" w:hint="cs"/>
          <w:rtl/>
        </w:rPr>
        <w:t xml:space="preserve">תחילתה ביום 1.1.1999. 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 תש"ס מס' 6010 מיו</w:t>
      </w:r>
      <w:r>
        <w:rPr>
          <w:rFonts w:cs="FrankRuehl"/>
          <w:rtl/>
        </w:rPr>
        <w:t xml:space="preserve">ם 21.12.1999 </w:t>
      </w:r>
      <w:r>
        <w:rPr>
          <w:rFonts w:cs="FrankRuehl" w:hint="cs"/>
          <w:rtl/>
        </w:rPr>
        <w:t xml:space="preserve">עמ' 164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תש"ס</w:t>
      </w:r>
      <w:r>
        <w:rPr>
          <w:rFonts w:cs="FrankRuehl"/>
          <w:rtl/>
        </w:rPr>
        <w:t xml:space="preserve">–1999; </w:t>
      </w:r>
      <w:r>
        <w:rPr>
          <w:rFonts w:cs="FrankRuehl" w:hint="cs"/>
          <w:rtl/>
        </w:rPr>
        <w:t>תחילתה ביום 1.1.2000.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תשס"ב מס' 6143 מיום 31.12.2001 עמ' 280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הודעה תשס"ב</w:t>
      </w:r>
      <w:r>
        <w:rPr>
          <w:rFonts w:cs="FrankRuehl"/>
          <w:rtl/>
        </w:rPr>
        <w:t xml:space="preserve">–2001; </w:t>
      </w:r>
      <w:r>
        <w:rPr>
          <w:rFonts w:cs="FrankRuehl" w:hint="cs"/>
          <w:rtl/>
        </w:rPr>
        <w:t>תחילתה מיום 1.1.2002.</w:t>
      </w: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6B635F" w:rsidRDefault="006B63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ובע לפי סעיף 1 לתוספת לפקודת המשטרה [נוסח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דש], תשל"א- 1971;</w:t>
      </w:r>
    </w:p>
    <w:p w:rsidR="006B635F" w:rsidRDefault="006B63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20pt;z-index:251651072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תשנ"ב- 1992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היחידה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ארצית לפיקוח על הבניה במשרד הפנים (להלן -  המנהל);</w:t>
      </w:r>
    </w:p>
    <w:p w:rsidR="006B635F" w:rsidRDefault="006B63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ובע לפי סעיף 264 לפקודת העיריות;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ענ"א" -  המרכז לעיבוד נתונים אוטומטי במטה הארצי של משטרת ישראל;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0pt;z-index:251652096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תשנ"ב- 1992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>רטי רישום" -  (בוטלה).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9" style="position:absolute;left:0;text-align:left;margin-left:464.5pt;margin-top:8.05pt;width:75.05pt;height:20pt;z-index:251653120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תשנ"ד- 1993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וסר מידע יעביר למשטרה את פרטי הרישום על גבי מדיה מגנטית; אופן </w:t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עברה, מבנה הקבצים והרשומות ותכולת הנתונים שיועברו, יהיו לפי דרישת מענ"א.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עברת פרטי הרישום למשטרה שלא בדרך האמורה בתקנת משנה (א) טעונה תיאום וקבלת אישורו של ראש מענ"א או של מי שהוא הסמיכו לכך.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30" style="position:absolute;left:0;text-align:left;margin-left:464.5pt;margin-top:8.05pt;width:75.05pt;height:20pt;z-index:251654144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עדי מסירה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סר המידע יעביר את פרטי הרישום - </w:t>
      </w:r>
    </w:p>
    <w:p w:rsidR="006B635F" w:rsidRDefault="006B63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העברה על גבי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רט מגנטי -  לא יאוחר מ-30 ימים ממועד מתן ההחלטה נושא המידע;</w:t>
      </w:r>
    </w:p>
    <w:p w:rsidR="006B635F" w:rsidRDefault="006B63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העברה בכל דרך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אחרת -  לא יאוחר מ-15 ימים ממועד מתן ההחלטה נושא המידע.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1" style="position:absolute;left:0;text-align:left;margin-left:464.5pt;margin-top:8.05pt;width:75.05pt;height:40pt;z-index:251655168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בירות בניה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תשנ"ב- 1992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רישום על עבירות על חוק התכנון והבניה, תשכ"ה- 1965, יועברו, בדרך שיקבע מענ"א, בידי התובע למנהל לא יאוחר מ-10 י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ם ממועד מתן ההחלטה נושא המידע ובידי המנהל למשטרה לא יאוחר מ-15 ימים מיום קבלתם.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2" style="position:absolute;left:0;text-align:left;margin-left:464.5pt;margin-top:8.05pt;width:75.05pt;height:40pt;z-index:251656192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רישום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טעה או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 ברור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ט רישום מוטעה או בלתי ברור שהוחזר למוסרו, יתוקן ויוחזר למענ"א תוך 30 ימים מקבלתו.</w:t>
      </w: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6B635F" w:rsidRDefault="006B635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6" w:name="med1"/>
      <w:bookmarkEnd w:id="6"/>
      <w:r>
        <w:rPr>
          <w:rFonts w:cs="FrankRuehl"/>
          <w:noProof/>
          <w:rtl/>
        </w:rPr>
        <w:t>סי</w:t>
      </w:r>
      <w:r>
        <w:rPr>
          <w:rFonts w:cs="FrankRuehl" w:hint="cs"/>
          <w:noProof/>
          <w:rtl/>
        </w:rPr>
        <w:t>מן ב': עיון במידע שבמרשם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3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עיון במידע שבמרשם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מבקש לעיין במידע שבמרשם </w:t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לילי (להלן -  המידע) הנוגע לו, יגיש למשטרת ישראל בקשה בכתב חתומה בידו על גבי הטופס שבתוספת.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המידע על אדם הנתון להשגחת אפוטרופוס, תוגש הבקשה בידי האפוטרופוס והוא יהיה רשאי לעיין במידע; האפוטרופוס יציג עם הגשת הבקשה ראיה לסמכותו לפעול בשמו של האדם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המידע נוגע לו.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וגשה למשטרת ישראל בקשה, תאשר קבלתה למבקש.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4" style="position:absolute;left:0;text-align:left;margin-left:475.65pt;margin-top:8.05pt;width:63.9pt;height:130pt;z-index:251658240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שעה*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נ"ד- 1994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נ"ד- 1994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נ"ה- 1994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(מס' 2) תשנ"ה- 1995 הודעה 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נ"ו- 1995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נ"ז- 1996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תשנ"ז- 1997 תשנ"ח- 1997 תשנ"ט- 1999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"ס- 1999 תשס"ב- 20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02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מבקש לעיין במידע לפי תקנות אלה ישלם אגרה של 28 שקלים חדשים; התשלום ייעשה על ידי הדבקת בולי הכנסה על גבי טופס הבקשה.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5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תשנ"ה- 1994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הנקוב בתקנת משנה (ד) ישתנה ב-1 בינואר של כל שנה (ל</w:t>
      </w:r>
      <w:r>
        <w:rPr>
          <w:rStyle w:val="default"/>
          <w:rFonts w:cs="FrankRuehl"/>
          <w:rtl/>
        </w:rPr>
        <w:t>הל</w:t>
      </w:r>
      <w:r>
        <w:rPr>
          <w:rStyle w:val="default"/>
          <w:rFonts w:cs="FrankRuehl" w:hint="cs"/>
          <w:rtl/>
        </w:rPr>
        <w:t xml:space="preserve">ן -  יום השינוי) לפי שיעור עליית המדד החדש לעומת המדד היסודי; לענין זה -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דד" -  מדד המחירים לצרכן שמפרסמת הלשכה המרכזית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סטטיסטיקה;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מדד החדש" -  המדד שפורסם בחודש נובמבר שלפני יום השינוי;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מדד היסודי" -  המדד שפורסם בחודש נובמבר שלפני יום השינו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הקודם ולענין יום השינוי ב-1 בינואר 1995, המדד שפורסם בחודש אוגוסט 1994.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שהשתנה כאמור בתקנת משנה (ה) יעוגל לשקל החדש השלם הקרוב, וסכום של חצי שקל חדש יעוגל כלפי מעלה.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 הכללי של המשטרה יפרסם ברשומות הודעה על סכום האגרה כפי שהשתנה עקב הא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ר בתקנה זו.</w:t>
      </w:r>
    </w:p>
    <w:p w:rsidR="006B635F" w:rsidRDefault="006B635F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6B635F" w:rsidRDefault="006B6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*</w:t>
      </w:r>
      <w:r>
        <w:rPr>
          <w:rFonts w:cs="FrankRuehl"/>
          <w:rtl/>
        </w:rPr>
        <w:t> </w:t>
      </w:r>
      <w:r>
        <w:rPr>
          <w:rFonts w:cs="FrankRuehl"/>
          <w:rtl/>
        </w:rPr>
        <w:t>רא</w:t>
      </w:r>
      <w:r>
        <w:rPr>
          <w:rFonts w:cs="FrankRuehl" w:hint="cs"/>
          <w:rtl/>
        </w:rPr>
        <w:t>ה להלן בעמ</w:t>
      </w:r>
      <w:r>
        <w:rPr>
          <w:rFonts w:cs="FrankRuehl"/>
          <w:rtl/>
        </w:rPr>
        <w:t xml:space="preserve">' 6961, </w:t>
      </w:r>
      <w:r>
        <w:rPr>
          <w:rFonts w:cs="FrankRuehl" w:hint="cs"/>
          <w:rtl/>
        </w:rPr>
        <w:t>הוראת שעה, תשנ"ד</w:t>
      </w:r>
      <w:r>
        <w:rPr>
          <w:rFonts w:cs="FrankRuehl"/>
          <w:rtl/>
        </w:rPr>
        <w:t>–1994.</w:t>
      </w: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6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העיון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יון במידע יעשה בתחנת המשטרה לפי בחירתו של המבקש, בתדפיס או בצג, לפי בחירת המשטרה, ובלבד שמועד העיון יחול תוך 30 ימים מיום קבלת הבקשה; ראש מענ"א או עו</w:t>
      </w:r>
      <w:r>
        <w:rPr>
          <w:rStyle w:val="default"/>
          <w:rFonts w:cs="FrankRuehl"/>
          <w:rtl/>
        </w:rPr>
        <w:t>זר</w:t>
      </w:r>
      <w:r>
        <w:rPr>
          <w:rStyle w:val="default"/>
          <w:rFonts w:cs="FrankRuehl" w:hint="cs"/>
          <w:rtl/>
        </w:rPr>
        <w:t xml:space="preserve">ו רשאי לדחות את מועד העיון ב-15 ימים נוספים.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עיון במידע יעשה בשעות העבודה הרגילות; המפקד במקום שבו ייעשה העיון רשאי לאשר עיון בשעות אחרות.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7" style="position:absolute;left:0;text-align:left;margin-left:464.5pt;margin-top:8.05pt;width:75.05pt;height:10pt;z-index:251661312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העיון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מעיין במידע יעשה זאת בהתאם להנחיות השוטר הממונה לענין זה.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עשה העיון בתדפיס, לא יוציא המעיין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ת התדפיס מרשות המשטרה ולא יצלמו.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מעיין במידע רשאי לרשום פרטים מן המידע שהוצג בפניו.</w:t>
      </w:r>
    </w:p>
    <w:p w:rsidR="006B635F" w:rsidRDefault="006B635F">
      <w:pPr>
        <w:pStyle w:val="header-2"/>
        <w:ind w:left="0" w:right="1134"/>
        <w:rPr>
          <w:rFonts w:cs="Miriam"/>
          <w:rtl/>
        </w:rPr>
      </w:pPr>
      <w:bookmarkStart w:id="10" w:name="hed20"/>
      <w:bookmarkEnd w:id="10"/>
      <w:r>
        <w:rPr>
          <w:rFonts w:cs="Miriam"/>
          <w:rtl/>
        </w:rPr>
        <w:t>סי</w:t>
      </w:r>
      <w:r>
        <w:rPr>
          <w:rFonts w:cs="Miriam" w:hint="cs"/>
          <w:rtl/>
        </w:rPr>
        <w:t>מן ג': הודעה על מסירת מידע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8" style="position:absolute;left:0;text-align:left;margin-left:464.5pt;margin-top:8.05pt;width:75.05pt;height:20pt;z-index:251662336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על מסירת מידע לפי סעיף 12(ב) לחוק תינתן בכתב לאדם שעליו המידע.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המידע שנמסר היה על קטין או פסול דין, תינתן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הודעה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אפוטרופסו, ככל שזהותו ידועה או ניתנת לבירור.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מסר המידע לגופים המפורטים בפרטים (ה) עד (ח) ו-(יט) לתוספת הראשונה לחוק, תינתן ההודעה בידי מקבל המידע.</w:t>
      </w:r>
    </w:p>
    <w:p w:rsidR="006B635F" w:rsidRDefault="006B635F">
      <w:pPr>
        <w:pStyle w:val="header-2"/>
        <w:ind w:left="0" w:right="1134"/>
        <w:rPr>
          <w:rFonts w:cs="Miriam"/>
          <w:rtl/>
        </w:rPr>
      </w:pPr>
      <w:bookmarkStart w:id="12" w:name="hed21"/>
      <w:bookmarkEnd w:id="12"/>
      <w:r>
        <w:rPr>
          <w:rFonts w:cs="Miriam"/>
          <w:rtl/>
        </w:rPr>
        <w:t>סי</w:t>
      </w:r>
      <w:r>
        <w:rPr>
          <w:rFonts w:cs="Miriam" w:hint="cs"/>
          <w:rtl/>
        </w:rPr>
        <w:t>מן ד': תיקון מידע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>
          <v:rect id="_x0000_s1039" style="position:absolute;left:0;text-align:left;margin-left:464.5pt;margin-top:8.05pt;width:75.05pt;height:40pt;z-index:251663360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לתיקון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רשם או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ידע שנמסר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לתיקון טעות במרשם או במידע שנמסר ממנו, תהיה במכתב רשום לפי המען: מע</w:t>
      </w:r>
      <w:r>
        <w:rPr>
          <w:rStyle w:val="default"/>
          <w:rFonts w:cs="FrankRuehl"/>
          <w:rtl/>
        </w:rPr>
        <w:t>נ"</w:t>
      </w:r>
      <w:r>
        <w:rPr>
          <w:rStyle w:val="default"/>
          <w:rFonts w:cs="FrankRuehl" w:hint="cs"/>
          <w:rtl/>
        </w:rPr>
        <w:t>א, המטה הארצי, משטרת ישראל, ירושלים.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בקשה יצורפו, במידת האפשר, אסמכתאות שיש בהן כדי לתמוך בה.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1"/>
      <w:bookmarkEnd w:id="14"/>
      <w:r>
        <w:rPr>
          <w:lang w:val="he-IL"/>
        </w:rPr>
        <w:pict>
          <v:rect id="_x0000_s1040" style="position:absolute;left:0;text-align:left;margin-left:464.5pt;margin-top:8.05pt;width:75.05pt;height:20pt;z-index:251664384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</w:p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או סירוב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ענתה המשטרה לבקשת התיקון, תתקן את הטעון תיקון ותשלח הודעה על כך למי שעל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 המידע וכן למי שקיבל את המידע המוטעה, אם מי שעליו המידע ביקש להודיעו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 xml:space="preserve">התיקון.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מצא שאין מקום להיענות לבקשה, תודיע המשטרה על כך למבקש תוך 60 ימים מיום קבלת הבקשה. </w:t>
      </w:r>
    </w:p>
    <w:p w:rsidR="006B635F" w:rsidRDefault="006B63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2"/>
      <w:bookmarkEnd w:id="15"/>
      <w:r>
        <w:rPr>
          <w:lang w:val="he-IL"/>
        </w:rPr>
        <w:pict>
          <v:rect id="_x0000_s1041" style="position:absolute;left:0;text-align:left;margin-left:464.5pt;margin-top:8.05pt;width:75.05pt;height:10pt;z-index:251665408" o:allowincell="f" filled="f" stroked="f" strokecolor="lime" strokeweight=".25pt">
            <v:textbox inset="0,0,0,0">
              <w:txbxContent>
                <w:p w:rsidR="006B635F" w:rsidRDefault="006B63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חמישה עשר ימים מיום פרסומן ותקפן לשנה מיום ת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ילתן. </w:t>
      </w: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6B635F" w:rsidRDefault="006B635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6" w:name="med2"/>
      <w:bookmarkEnd w:id="16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:rsidR="006B635F" w:rsidRDefault="006B635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5(א))</w:t>
      </w:r>
    </w:p>
    <w:p w:rsidR="006B635F" w:rsidRDefault="006B635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       </w:t>
      </w: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6B635F" w:rsidRDefault="006B635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 w:hint="cs"/>
          <w:position w:val="0"/>
          <w:sz w:val="22"/>
          <w:rtl/>
        </w:rPr>
        <w:t xml:space="preserve"> </w:t>
      </w:r>
    </w:p>
    <w:p w:rsidR="006B635F" w:rsidRDefault="006B635F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Fonts w:cs="David" w:hint="cs"/>
          <w:position w:val="0"/>
          <w:sz w:val="22"/>
          <w:rtl/>
        </w:rPr>
        <w:t xml:space="preserve">        </w:t>
      </w:r>
      <w:r>
        <w:rPr>
          <w:rStyle w:val="default"/>
          <w:rFonts w:cs="FrankRuehl"/>
          <w:position w:val="0"/>
          <w:rtl/>
        </w:rPr>
        <w:t>י"</w:t>
      </w:r>
      <w:r>
        <w:rPr>
          <w:rStyle w:val="default"/>
          <w:rFonts w:cs="FrankRuehl" w:hint="cs"/>
          <w:position w:val="0"/>
          <w:rtl/>
        </w:rPr>
        <w:t>א בשבט תשמ"ו (21 בינואר 1986)</w:t>
      </w:r>
    </w:p>
    <w:p w:rsidR="006B635F" w:rsidRDefault="006B635F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6B635F" w:rsidRDefault="006B635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ח</w:t>
      </w:r>
      <w:r>
        <w:rPr>
          <w:rFonts w:cs="FrankRuehl" w:hint="cs"/>
          <w:sz w:val="22"/>
          <w:rtl/>
        </w:rPr>
        <w:t>יים בר-לב</w:t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שה ניסים</w:t>
      </w:r>
    </w:p>
    <w:p w:rsidR="006B635F" w:rsidRDefault="006B635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6B635F" w:rsidRDefault="006B635F">
      <w:pPr>
        <w:ind w:right="1134"/>
        <w:rPr>
          <w:rFonts w:cs="David"/>
          <w:sz w:val="24"/>
          <w:rtl/>
        </w:rPr>
      </w:pPr>
      <w:bookmarkStart w:id="17" w:name="LawPartEnd"/>
    </w:p>
    <w:bookmarkEnd w:id="17"/>
    <w:p w:rsidR="00AA6589" w:rsidRDefault="00AA6589">
      <w:pPr>
        <w:ind w:right="1134"/>
        <w:rPr>
          <w:rFonts w:cs="David"/>
          <w:sz w:val="24"/>
          <w:rtl/>
        </w:rPr>
      </w:pPr>
    </w:p>
    <w:p w:rsidR="00AA6589" w:rsidRDefault="00AA6589">
      <w:pPr>
        <w:ind w:right="1134"/>
        <w:rPr>
          <w:rFonts w:cs="David"/>
          <w:sz w:val="24"/>
          <w:rtl/>
        </w:rPr>
      </w:pPr>
    </w:p>
    <w:p w:rsidR="00AA6589" w:rsidRDefault="00AA6589" w:rsidP="00AA6589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  <w:hyperlink r:id="rId6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:rsidR="00C0159D" w:rsidRDefault="00C0159D" w:rsidP="00AA6589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</w:p>
    <w:p w:rsidR="00C0159D" w:rsidRDefault="00C0159D" w:rsidP="00AA6589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</w:p>
    <w:p w:rsidR="00C0159D" w:rsidRDefault="00C0159D" w:rsidP="00C0159D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  <w:hyperlink r:id="rId7" w:history="1">
        <w:r>
          <w:rPr>
            <w:rFonts w:cs="David"/>
            <w:color w:val="0000FF"/>
            <w:sz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6B635F" w:rsidRPr="00C0159D" w:rsidRDefault="006B635F" w:rsidP="00C0159D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</w:p>
    <w:sectPr w:rsidR="006B635F" w:rsidRPr="00C0159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2D1B" w:rsidRDefault="001B2D1B">
      <w:r>
        <w:separator/>
      </w:r>
    </w:p>
  </w:endnote>
  <w:endnote w:type="continuationSeparator" w:id="0">
    <w:p w:rsidR="001B2D1B" w:rsidRDefault="001B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35F" w:rsidRDefault="006B63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B635F" w:rsidRDefault="006B63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B635F" w:rsidRDefault="006B63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159D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Z:\00000000000000000000000=2014------------------------\05-May\2014-05-28\LawsForHofit\01\073_046.doc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35F" w:rsidRDefault="006B63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159D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:rsidR="006B635F" w:rsidRDefault="006B63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B635F" w:rsidRDefault="006B63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159D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Z:\00000000000000000000000=2014------------------------\05-May\2014-05-28\LawsForHofit\01\073_046.doc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2D1B" w:rsidRDefault="001B2D1B">
      <w:r>
        <w:separator/>
      </w:r>
    </w:p>
  </w:footnote>
  <w:footnote w:type="continuationSeparator" w:id="0">
    <w:p w:rsidR="001B2D1B" w:rsidRDefault="001B2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35F" w:rsidRDefault="006B63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השבים, תשמ"ו- 1986</w:t>
    </w:r>
  </w:p>
  <w:p w:rsidR="006B635F" w:rsidRDefault="006B63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B635F" w:rsidRDefault="006B63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35F" w:rsidRDefault="006B63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השבים, תשמ"ו- 1986</w:t>
    </w:r>
  </w:p>
  <w:p w:rsidR="006B635F" w:rsidRDefault="006B63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B635F" w:rsidRDefault="006B63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B65"/>
    <w:rsid w:val="0003131D"/>
    <w:rsid w:val="00180B65"/>
    <w:rsid w:val="001B2D1B"/>
    <w:rsid w:val="006010E1"/>
    <w:rsid w:val="006B635F"/>
    <w:rsid w:val="00A237BB"/>
    <w:rsid w:val="00AA6589"/>
    <w:rsid w:val="00C0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CFBAD2-6604-49E0-8CEB-B059B3A5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7703</CharactersWithSpaces>
  <SharedDoc>false</SharedDoc>
  <HLinks>
    <vt:vector size="114" baseType="variant">
      <vt:variant>
        <vt:i4>393283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5701641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3211307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5701644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hed21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5701644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5505033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המרשם הפלילי ותקנת השבים, תשמ"ו- 1986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מרשם פלילי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מרשם פלילי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המרשם הפלילי ותקנת השבים</vt:lpwstr>
  </property>
  <property fmtid="{D5CDD505-2E9C-101B-9397-08002B2CF9AE}" pid="48" name="MEKOR_SAIF1">
    <vt:lpwstr>1XבX;12X;26X</vt:lpwstr>
  </property>
</Properties>
</file>