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A44743" w:rsidP="00B850C0">
      <w:pPr>
        <w:pStyle w:val="big-header"/>
        <w:ind w:left="0" w:right="1134"/>
        <w:rPr>
          <w:rFonts w:cs="FrankRuehl" w:hint="cs"/>
          <w:sz w:val="32"/>
          <w:rtl/>
        </w:rPr>
      </w:pPr>
      <w:r>
        <w:rPr>
          <w:rFonts w:cs="FrankRuehl" w:hint="cs"/>
          <w:sz w:val="32"/>
          <w:rtl/>
        </w:rPr>
        <w:t xml:space="preserve">תקנות </w:t>
      </w:r>
      <w:r w:rsidR="00B850C0">
        <w:rPr>
          <w:rFonts w:cs="FrankRuehl" w:hint="cs"/>
          <w:sz w:val="32"/>
          <w:rtl/>
        </w:rPr>
        <w:t>המשטרה (דין משמעתי, בירור קבילות שוטרים והוראות שונות) (סדרי דין בוועדת ערר)</w:t>
      </w:r>
      <w:r w:rsidR="008C0AEB">
        <w:rPr>
          <w:rFonts w:cs="FrankRuehl" w:hint="cs"/>
          <w:sz w:val="32"/>
          <w:rtl/>
        </w:rPr>
        <w:t>, תשס"ח-2008</w:t>
      </w:r>
    </w:p>
    <w:p w:rsidR="00C04AFA" w:rsidRPr="00C04AFA" w:rsidRDefault="00C04AFA" w:rsidP="00C04AFA">
      <w:pPr>
        <w:spacing w:line="320" w:lineRule="auto"/>
        <w:rPr>
          <w:rFonts w:cs="FrankRuehl"/>
          <w:szCs w:val="26"/>
          <w:rtl/>
        </w:rPr>
      </w:pPr>
    </w:p>
    <w:p w:rsidR="00C04AFA" w:rsidRPr="00C04AFA" w:rsidRDefault="00C04AFA" w:rsidP="00C04AFA">
      <w:pPr>
        <w:spacing w:line="320" w:lineRule="auto"/>
        <w:rPr>
          <w:rFonts w:cs="Miriam" w:hint="cs"/>
          <w:szCs w:val="22"/>
          <w:rtl/>
        </w:rPr>
      </w:pPr>
      <w:r w:rsidRPr="00C04AFA">
        <w:rPr>
          <w:rFonts w:cs="Miriam"/>
          <w:szCs w:val="22"/>
          <w:rtl/>
        </w:rPr>
        <w:t>בטחון</w:t>
      </w:r>
      <w:r w:rsidRPr="00C04AFA">
        <w:rPr>
          <w:rFonts w:cs="FrankRuehl"/>
          <w:szCs w:val="26"/>
          <w:rtl/>
        </w:rPr>
        <w:t xml:space="preserve"> – משטרה – דין משמעתי וקבילות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1 </w:t>
            </w:r>
          </w:p>
        </w:tc>
        <w:tc>
          <w:tcPr>
            <w:tcW w:w="5669" w:type="dxa"/>
          </w:tcPr>
          <w:p w:rsidR="00D64496" w:rsidRPr="00D64496" w:rsidRDefault="00D64496" w:rsidP="00D64496">
            <w:pPr>
              <w:rPr>
                <w:rFonts w:cs="Frankruhel" w:hint="cs"/>
                <w:rtl/>
              </w:rPr>
            </w:pPr>
            <w:r>
              <w:rPr>
                <w:rtl/>
              </w:rPr>
              <w:t>הגדרות</w:t>
            </w:r>
          </w:p>
        </w:tc>
        <w:tc>
          <w:tcPr>
            <w:tcW w:w="567" w:type="dxa"/>
          </w:tcPr>
          <w:p w:rsidR="00D64496" w:rsidRPr="00D64496" w:rsidRDefault="00D64496" w:rsidP="00D64496">
            <w:pPr>
              <w:rPr>
                <w:rStyle w:val="Hyperlink"/>
                <w:rFonts w:hint="cs"/>
                <w:rtl/>
              </w:rPr>
            </w:pPr>
            <w:hyperlink w:anchor="Seif1" w:tooltip="הגדרות"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2 </w:t>
            </w:r>
          </w:p>
        </w:tc>
        <w:tc>
          <w:tcPr>
            <w:tcW w:w="5669" w:type="dxa"/>
          </w:tcPr>
          <w:p w:rsidR="00D64496" w:rsidRPr="00D64496" w:rsidRDefault="00D64496" w:rsidP="00D64496">
            <w:pPr>
              <w:rPr>
                <w:rFonts w:cs="Frankruhel" w:hint="cs"/>
                <w:rtl/>
              </w:rPr>
            </w:pPr>
            <w:r>
              <w:rPr>
                <w:rtl/>
              </w:rPr>
              <w:t>הגשת ערר</w:t>
            </w:r>
          </w:p>
        </w:tc>
        <w:tc>
          <w:tcPr>
            <w:tcW w:w="567" w:type="dxa"/>
          </w:tcPr>
          <w:p w:rsidR="00D64496" w:rsidRPr="00D64496" w:rsidRDefault="00D64496" w:rsidP="00D64496">
            <w:pPr>
              <w:rPr>
                <w:rStyle w:val="Hyperlink"/>
                <w:rFonts w:hint="cs"/>
                <w:rtl/>
              </w:rPr>
            </w:pPr>
            <w:hyperlink w:anchor="Seif2" w:tooltip="הגשת ערר"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3 </w:t>
            </w:r>
          </w:p>
        </w:tc>
        <w:tc>
          <w:tcPr>
            <w:tcW w:w="5669" w:type="dxa"/>
          </w:tcPr>
          <w:p w:rsidR="00D64496" w:rsidRPr="00D64496" w:rsidRDefault="00D64496" w:rsidP="00D64496">
            <w:pPr>
              <w:rPr>
                <w:rFonts w:cs="Frankruhel" w:hint="cs"/>
                <w:rtl/>
              </w:rPr>
            </w:pPr>
            <w:r>
              <w:rPr>
                <w:rtl/>
              </w:rPr>
              <w:t>העברת הערר ועמדת נציג המשטרה לחברי ועדת הערר</w:t>
            </w:r>
          </w:p>
        </w:tc>
        <w:tc>
          <w:tcPr>
            <w:tcW w:w="567" w:type="dxa"/>
          </w:tcPr>
          <w:p w:rsidR="00D64496" w:rsidRPr="00D64496" w:rsidRDefault="00D64496" w:rsidP="00D64496">
            <w:pPr>
              <w:rPr>
                <w:rStyle w:val="Hyperlink"/>
                <w:rFonts w:hint="cs"/>
                <w:rtl/>
              </w:rPr>
            </w:pPr>
            <w:hyperlink w:anchor="Seif3" w:tooltip="העברת הערר ועמדת נציג המשטרה לחברי ועדת הערר"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4 </w:t>
            </w:r>
          </w:p>
        </w:tc>
        <w:tc>
          <w:tcPr>
            <w:tcW w:w="5669" w:type="dxa"/>
          </w:tcPr>
          <w:p w:rsidR="00D64496" w:rsidRPr="00D64496" w:rsidRDefault="00D64496" w:rsidP="00D64496">
            <w:pPr>
              <w:rPr>
                <w:rFonts w:cs="Frankruhel" w:hint="cs"/>
                <w:rtl/>
              </w:rPr>
            </w:pPr>
            <w:r>
              <w:rPr>
                <w:rtl/>
              </w:rPr>
              <w:t>סדר הדיון</w:t>
            </w:r>
          </w:p>
        </w:tc>
        <w:tc>
          <w:tcPr>
            <w:tcW w:w="567" w:type="dxa"/>
          </w:tcPr>
          <w:p w:rsidR="00D64496" w:rsidRPr="00D64496" w:rsidRDefault="00D64496" w:rsidP="00D64496">
            <w:pPr>
              <w:rPr>
                <w:rStyle w:val="Hyperlink"/>
                <w:rFonts w:hint="cs"/>
                <w:rtl/>
              </w:rPr>
            </w:pPr>
            <w:hyperlink w:anchor="Seif4" w:tooltip="סדר הדיון"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5 </w:t>
            </w:r>
          </w:p>
        </w:tc>
        <w:tc>
          <w:tcPr>
            <w:tcW w:w="5669" w:type="dxa"/>
          </w:tcPr>
          <w:p w:rsidR="00D64496" w:rsidRPr="00D64496" w:rsidRDefault="00D64496" w:rsidP="00D64496">
            <w:pPr>
              <w:rPr>
                <w:rFonts w:cs="Frankruhel" w:hint="cs"/>
                <w:rtl/>
              </w:rPr>
            </w:pPr>
            <w:r>
              <w:rPr>
                <w:rtl/>
              </w:rPr>
              <w:t>סדרי דין שלא נקבעו במפורש</w:t>
            </w:r>
          </w:p>
        </w:tc>
        <w:tc>
          <w:tcPr>
            <w:tcW w:w="567" w:type="dxa"/>
          </w:tcPr>
          <w:p w:rsidR="00D64496" w:rsidRPr="00D64496" w:rsidRDefault="00D64496" w:rsidP="00D64496">
            <w:pPr>
              <w:rPr>
                <w:rStyle w:val="Hyperlink"/>
                <w:rFonts w:hint="cs"/>
                <w:rtl/>
              </w:rPr>
            </w:pPr>
            <w:hyperlink w:anchor="Seif5" w:tooltip="סדרי דין שלא נקבעו במפורש"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6 </w:t>
            </w:r>
          </w:p>
        </w:tc>
        <w:tc>
          <w:tcPr>
            <w:tcW w:w="5669" w:type="dxa"/>
          </w:tcPr>
          <w:p w:rsidR="00D64496" w:rsidRPr="00D64496" w:rsidRDefault="00D64496" w:rsidP="00D64496">
            <w:pPr>
              <w:rPr>
                <w:rFonts w:cs="Frankruhel" w:hint="cs"/>
                <w:rtl/>
              </w:rPr>
            </w:pPr>
            <w:r>
              <w:rPr>
                <w:rtl/>
              </w:rPr>
              <w:t>הבאת ראיות לפי דרישת ועדת הערר</w:t>
            </w:r>
          </w:p>
        </w:tc>
        <w:tc>
          <w:tcPr>
            <w:tcW w:w="567" w:type="dxa"/>
          </w:tcPr>
          <w:p w:rsidR="00D64496" w:rsidRPr="00D64496" w:rsidRDefault="00D64496" w:rsidP="00D64496">
            <w:pPr>
              <w:rPr>
                <w:rStyle w:val="Hyperlink"/>
                <w:rFonts w:hint="cs"/>
                <w:rtl/>
              </w:rPr>
            </w:pPr>
            <w:hyperlink w:anchor="Seif6" w:tooltip="הבאת ראיות לפי דרישת ועדת הערר"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7 </w:t>
            </w:r>
          </w:p>
        </w:tc>
        <w:tc>
          <w:tcPr>
            <w:tcW w:w="5669" w:type="dxa"/>
          </w:tcPr>
          <w:p w:rsidR="00D64496" w:rsidRPr="00D64496" w:rsidRDefault="00D64496" w:rsidP="00D64496">
            <w:pPr>
              <w:rPr>
                <w:rFonts w:cs="Frankruhel" w:hint="cs"/>
                <w:rtl/>
              </w:rPr>
            </w:pPr>
            <w:r>
              <w:rPr>
                <w:rtl/>
              </w:rPr>
              <w:t>דיני ראיות</w:t>
            </w:r>
          </w:p>
        </w:tc>
        <w:tc>
          <w:tcPr>
            <w:tcW w:w="567" w:type="dxa"/>
          </w:tcPr>
          <w:p w:rsidR="00D64496" w:rsidRPr="00D64496" w:rsidRDefault="00D64496" w:rsidP="00D64496">
            <w:pPr>
              <w:rPr>
                <w:rStyle w:val="Hyperlink"/>
                <w:rFonts w:hint="cs"/>
                <w:rtl/>
              </w:rPr>
            </w:pPr>
            <w:hyperlink w:anchor="Seif7" w:tooltip="דיני ראיות"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8 </w:t>
            </w:r>
          </w:p>
        </w:tc>
        <w:tc>
          <w:tcPr>
            <w:tcW w:w="5669" w:type="dxa"/>
          </w:tcPr>
          <w:p w:rsidR="00D64496" w:rsidRPr="00D64496" w:rsidRDefault="00D64496" w:rsidP="00D64496">
            <w:pPr>
              <w:rPr>
                <w:rFonts w:cs="Frankruhel" w:hint="cs"/>
                <w:rtl/>
              </w:rPr>
            </w:pPr>
            <w:r>
              <w:rPr>
                <w:rtl/>
              </w:rPr>
              <w:t>פרוטוקול</w:t>
            </w:r>
          </w:p>
        </w:tc>
        <w:tc>
          <w:tcPr>
            <w:tcW w:w="567" w:type="dxa"/>
          </w:tcPr>
          <w:p w:rsidR="00D64496" w:rsidRPr="00D64496" w:rsidRDefault="00D64496" w:rsidP="00D64496">
            <w:pPr>
              <w:rPr>
                <w:rStyle w:val="Hyperlink"/>
                <w:rFonts w:hint="cs"/>
                <w:rtl/>
              </w:rPr>
            </w:pPr>
            <w:hyperlink w:anchor="Seif8" w:tooltip="פרוטוקול"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64496" w:rsidRPr="00D64496">
        <w:tblPrEx>
          <w:tblCellMar>
            <w:top w:w="0" w:type="dxa"/>
            <w:bottom w:w="0" w:type="dxa"/>
          </w:tblCellMar>
        </w:tblPrEx>
        <w:tc>
          <w:tcPr>
            <w:tcW w:w="1247" w:type="dxa"/>
          </w:tcPr>
          <w:p w:rsidR="00D64496" w:rsidRPr="00D64496" w:rsidRDefault="00D64496" w:rsidP="00D64496">
            <w:pPr>
              <w:rPr>
                <w:rFonts w:cs="Frankruhel" w:hint="cs"/>
                <w:rtl/>
              </w:rPr>
            </w:pPr>
            <w:r>
              <w:rPr>
                <w:rtl/>
              </w:rPr>
              <w:t xml:space="preserve">סעיף 9 </w:t>
            </w:r>
          </w:p>
        </w:tc>
        <w:tc>
          <w:tcPr>
            <w:tcW w:w="5669" w:type="dxa"/>
          </w:tcPr>
          <w:p w:rsidR="00D64496" w:rsidRPr="00D64496" w:rsidRDefault="00D64496" w:rsidP="00D64496">
            <w:pPr>
              <w:rPr>
                <w:rFonts w:cs="Frankruhel" w:hint="cs"/>
                <w:rtl/>
              </w:rPr>
            </w:pPr>
            <w:r>
              <w:rPr>
                <w:rtl/>
              </w:rPr>
              <w:t>החלטת ועדת הערר</w:t>
            </w:r>
          </w:p>
        </w:tc>
        <w:tc>
          <w:tcPr>
            <w:tcW w:w="567" w:type="dxa"/>
          </w:tcPr>
          <w:p w:rsidR="00D64496" w:rsidRPr="00D64496" w:rsidRDefault="00D64496" w:rsidP="00D64496">
            <w:pPr>
              <w:rPr>
                <w:rStyle w:val="Hyperlink"/>
                <w:rFonts w:hint="cs"/>
                <w:rtl/>
              </w:rPr>
            </w:pPr>
            <w:hyperlink w:anchor="Seif9" w:tooltip="החלטת ועדת הערר" w:history="1">
              <w:r w:rsidRPr="00D64496">
                <w:rPr>
                  <w:rStyle w:val="Hyperlink"/>
                </w:rPr>
                <w:t>Go</w:t>
              </w:r>
            </w:hyperlink>
          </w:p>
        </w:tc>
        <w:tc>
          <w:tcPr>
            <w:tcW w:w="850" w:type="dxa"/>
          </w:tcPr>
          <w:p w:rsidR="00D64496" w:rsidRPr="00D64496" w:rsidRDefault="00D64496" w:rsidP="00D644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Pr="00C04AFA" w:rsidRDefault="002A24E2" w:rsidP="00C04AFA">
      <w:pPr>
        <w:pStyle w:val="big-header"/>
        <w:ind w:left="0" w:right="1134"/>
        <w:rPr>
          <w:rStyle w:val="default"/>
          <w:rFonts w:cs="FrankRuehl" w:hint="cs"/>
          <w:sz w:val="32"/>
          <w:szCs w:val="32"/>
          <w:rtl/>
        </w:rPr>
      </w:pPr>
      <w:r>
        <w:rPr>
          <w:rFonts w:cs="FrankRuehl"/>
          <w:sz w:val="32"/>
          <w:rtl/>
        </w:rPr>
        <w:br w:type="page"/>
      </w:r>
      <w:r w:rsidR="00B850C0">
        <w:rPr>
          <w:rFonts w:cs="FrankRuehl" w:hint="cs"/>
          <w:sz w:val="32"/>
          <w:rtl/>
        </w:rPr>
        <w:lastRenderedPageBreak/>
        <w:t>תקנות המשטרה (דין משמעתי, בירור קבילות שוטרים והוראות שונות) (סדרי דין בוועדת ערר), תשס"ח-2008</w:t>
      </w:r>
      <w:r>
        <w:rPr>
          <w:rStyle w:val="default"/>
          <w:sz w:val="22"/>
          <w:szCs w:val="22"/>
          <w:rtl/>
        </w:rPr>
        <w:footnoteReference w:customMarkFollows="1" w:id="1"/>
        <w:t>*</w:t>
      </w:r>
    </w:p>
    <w:p w:rsidR="00F86FF2" w:rsidRDefault="00F86FF2" w:rsidP="00B44AD0">
      <w:pPr>
        <w:pStyle w:val="P00"/>
        <w:spacing w:before="72"/>
        <w:ind w:left="0" w:right="1134"/>
        <w:rPr>
          <w:rStyle w:val="default"/>
          <w:rFonts w:cs="FrankRuehl" w:hint="cs"/>
          <w:rtl/>
        </w:rPr>
      </w:pPr>
      <w:r>
        <w:rPr>
          <w:rStyle w:val="default"/>
          <w:rFonts w:cs="FrankRuehl" w:hint="cs"/>
          <w:rtl/>
        </w:rPr>
        <w:tab/>
        <w:t xml:space="preserve">בתוקף סמכותי לפי </w:t>
      </w:r>
      <w:r w:rsidR="00A44743">
        <w:rPr>
          <w:rStyle w:val="default"/>
          <w:rFonts w:cs="FrankRuehl" w:hint="cs"/>
          <w:rtl/>
        </w:rPr>
        <w:t xml:space="preserve">סעיף </w:t>
      </w:r>
      <w:r w:rsidR="00B44AD0">
        <w:rPr>
          <w:rStyle w:val="default"/>
          <w:rFonts w:cs="FrankRuehl" w:hint="cs"/>
          <w:rtl/>
        </w:rPr>
        <w:t xml:space="preserve">102ה לחוק המשטרה (דין משמעתי, בירור קבילות שוטרים והוראות שונות), התשס"ו-2006 (להלן </w:t>
      </w:r>
      <w:r w:rsidR="00B44AD0">
        <w:rPr>
          <w:rStyle w:val="default"/>
          <w:rFonts w:cs="FrankRuehl"/>
          <w:rtl/>
        </w:rPr>
        <w:t>–</w:t>
      </w:r>
      <w:r w:rsidR="00B44AD0">
        <w:rPr>
          <w:rStyle w:val="default"/>
          <w:rFonts w:cs="FrankRuehl" w:hint="cs"/>
          <w:rtl/>
        </w:rPr>
        <w:t xml:space="preserve"> החוק), ולאחר התייעצות עם שר המשפטים</w:t>
      </w:r>
      <w:r w:rsidR="00A44743">
        <w:rPr>
          <w:rStyle w:val="default"/>
          <w:rFonts w:cs="FrankRuehl" w:hint="cs"/>
          <w:rtl/>
        </w:rPr>
        <w:t>, אני מתקין תקנות אלה</w:t>
      </w:r>
      <w:r>
        <w:rPr>
          <w:rStyle w:val="default"/>
          <w:rFonts w:cs="FrankRuehl" w:hint="cs"/>
          <w:rtl/>
        </w:rPr>
        <w:t>:</w:t>
      </w:r>
    </w:p>
    <w:p w:rsidR="002A24E2" w:rsidRDefault="002A24E2" w:rsidP="00D6449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53632" o:allowincell="f" filled="f" stroked="f" strokecolor="lime" strokeweight=".25pt">
            <v:textbox style="mso-next-textbox:#_x0000_s1026" inset="0,0,0,0">
              <w:txbxContent>
                <w:p w:rsidR="002A24E2" w:rsidRDefault="00B44AD0">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44AD0">
        <w:rPr>
          <w:rStyle w:val="default"/>
          <w:rFonts w:cs="FrankRuehl" w:hint="cs"/>
          <w:rtl/>
        </w:rPr>
        <w:t>ב</w:t>
      </w:r>
      <w:hyperlink r:id="rId7" w:tooltip="אזכורים" w:history="1">
        <w:r w:rsidR="00D64496" w:rsidRPr="00D64496">
          <w:rPr>
            <w:rStyle w:val="Hyperlink"/>
            <w:rtl/>
          </w:rPr>
          <w:t>*</w:t>
        </w:r>
      </w:hyperlink>
      <w:r w:rsidR="00B44AD0">
        <w:rPr>
          <w:rStyle w:val="default"/>
          <w:rFonts w:cs="FrankRuehl" w:hint="cs"/>
          <w:rtl/>
        </w:rPr>
        <w:t xml:space="preserve">תקנות אלה </w:t>
      </w:r>
      <w:r w:rsidR="00B44AD0">
        <w:rPr>
          <w:rStyle w:val="default"/>
          <w:rFonts w:cs="FrankRuehl"/>
          <w:rtl/>
        </w:rPr>
        <w:t>–</w:t>
      </w:r>
    </w:p>
    <w:p w:rsidR="00B44AD0" w:rsidRDefault="00D33934" w:rsidP="00B44AD0">
      <w:pPr>
        <w:pStyle w:val="P00"/>
        <w:spacing w:before="72"/>
        <w:ind w:left="0" w:right="1134"/>
        <w:rPr>
          <w:rStyle w:val="default"/>
          <w:rFonts w:cs="FrankRuehl" w:hint="cs"/>
          <w:rtl/>
        </w:rPr>
      </w:pPr>
      <w:r>
        <w:rPr>
          <w:rStyle w:val="default"/>
          <w:rFonts w:cs="FrankRuehl" w:hint="cs"/>
          <w:rtl/>
        </w:rPr>
        <w:tab/>
        <w:t xml:space="preserve">"הצדדים" </w:t>
      </w:r>
      <w:r>
        <w:rPr>
          <w:rStyle w:val="default"/>
          <w:rFonts w:cs="FrankRuehl"/>
          <w:rtl/>
        </w:rPr>
        <w:t>–</w:t>
      </w:r>
      <w:r>
        <w:rPr>
          <w:rStyle w:val="default"/>
          <w:rFonts w:cs="FrankRuehl" w:hint="cs"/>
          <w:rtl/>
        </w:rPr>
        <w:t xml:space="preserve"> העורר ונציג המשטרה;</w:t>
      </w:r>
    </w:p>
    <w:p w:rsidR="00D33934" w:rsidRDefault="00D33934" w:rsidP="00B44AD0">
      <w:pPr>
        <w:pStyle w:val="P00"/>
        <w:spacing w:before="72"/>
        <w:ind w:left="0" w:right="1134"/>
        <w:rPr>
          <w:rStyle w:val="default"/>
          <w:rFonts w:cs="FrankRuehl" w:hint="cs"/>
          <w:rtl/>
        </w:rPr>
      </w:pPr>
      <w:r>
        <w:rPr>
          <w:rStyle w:val="default"/>
          <w:rFonts w:cs="FrankRuehl" w:hint="cs"/>
          <w:rtl/>
        </w:rPr>
        <w:tab/>
        <w:t xml:space="preserve">"ועדת ערר" </w:t>
      </w:r>
      <w:r>
        <w:rPr>
          <w:rStyle w:val="default"/>
          <w:rFonts w:cs="FrankRuehl"/>
          <w:rtl/>
        </w:rPr>
        <w:t>–</w:t>
      </w:r>
      <w:r>
        <w:rPr>
          <w:rStyle w:val="default"/>
          <w:rFonts w:cs="FrankRuehl" w:hint="cs"/>
          <w:rtl/>
        </w:rPr>
        <w:t xml:space="preserve"> ועדת ערר שהוקמה לפי סעיף 102ה לחוק;</w:t>
      </w:r>
    </w:p>
    <w:p w:rsidR="00D33934" w:rsidRDefault="00D33934" w:rsidP="00B44AD0">
      <w:pPr>
        <w:pStyle w:val="P00"/>
        <w:spacing w:before="72"/>
        <w:ind w:left="0" w:right="1134"/>
        <w:rPr>
          <w:rStyle w:val="default"/>
          <w:rFonts w:cs="FrankRuehl" w:hint="cs"/>
          <w:rtl/>
        </w:rPr>
      </w:pPr>
      <w:r>
        <w:rPr>
          <w:rStyle w:val="default"/>
          <w:rFonts w:cs="FrankRuehl" w:hint="cs"/>
          <w:rtl/>
        </w:rPr>
        <w:tab/>
        <w:t xml:space="preserve">"נציג המשטרה" </w:t>
      </w:r>
      <w:r>
        <w:rPr>
          <w:rStyle w:val="default"/>
          <w:rFonts w:cs="FrankRuehl"/>
          <w:rtl/>
        </w:rPr>
        <w:t>–</w:t>
      </w:r>
      <w:r>
        <w:rPr>
          <w:rStyle w:val="default"/>
          <w:rFonts w:cs="FrankRuehl" w:hint="cs"/>
          <w:rtl/>
        </w:rPr>
        <w:t xml:space="preserve"> מפקד המחוז או סגנו או נציג מטעמם.</w:t>
      </w:r>
    </w:p>
    <w:p w:rsidR="008E7BC6" w:rsidRDefault="008E7BC6" w:rsidP="00D64496">
      <w:pPr>
        <w:pStyle w:val="P00"/>
        <w:spacing w:before="72"/>
        <w:ind w:left="0" w:right="1134"/>
        <w:rPr>
          <w:rStyle w:val="default"/>
          <w:rFonts w:cs="FrankRuehl" w:hint="cs"/>
          <w:rtl/>
        </w:rPr>
      </w:pPr>
      <w:bookmarkStart w:id="1" w:name="Seif2"/>
      <w:bookmarkEnd w:id="1"/>
      <w:r>
        <w:rPr>
          <w:rFonts w:cs="Miriam"/>
          <w:lang w:val="he-IL"/>
        </w:rPr>
        <w:pict>
          <v:rect id="_x0000_s1346" style="position:absolute;left:0;text-align:left;margin-left:464.35pt;margin-top:7.1pt;width:75.05pt;height:17.85pt;z-index:251654656" o:allowincell="f" filled="f" stroked="f" strokecolor="lime" strokeweight=".25pt">
            <v:textbox style="mso-next-textbox:#_x0000_s1346" inset="0,0,0,0">
              <w:txbxContent>
                <w:p w:rsidR="008E7BC6" w:rsidRDefault="00D33934" w:rsidP="008E7BC6">
                  <w:pPr>
                    <w:spacing w:line="160" w:lineRule="exact"/>
                    <w:rPr>
                      <w:rFonts w:cs="Miriam" w:hint="cs"/>
                      <w:noProof/>
                      <w:sz w:val="18"/>
                      <w:szCs w:val="18"/>
                      <w:rtl/>
                    </w:rPr>
                  </w:pPr>
                  <w:r>
                    <w:rPr>
                      <w:rFonts w:cs="Miriam" w:hint="cs"/>
                      <w:sz w:val="18"/>
                      <w:szCs w:val="18"/>
                      <w:rtl/>
                    </w:rPr>
                    <w:t>הגשת ערר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33934">
        <w:rPr>
          <w:rStyle w:val="default"/>
          <w:rFonts w:cs="FrankRuehl" w:hint="cs"/>
          <w:rtl/>
        </w:rPr>
        <w:t>(</w:t>
      </w:r>
      <w:hyperlink r:id="rId8" w:tooltip="אזכורים" w:history="1">
        <w:r w:rsidR="00D64496" w:rsidRPr="00D64496">
          <w:rPr>
            <w:rStyle w:val="Hyperlink"/>
            <w:rtl/>
          </w:rPr>
          <w:t>*</w:t>
        </w:r>
      </w:hyperlink>
      <w:r w:rsidR="00D33934">
        <w:rPr>
          <w:rStyle w:val="default"/>
          <w:rFonts w:cs="FrankRuehl" w:hint="cs"/>
          <w:rtl/>
        </w:rPr>
        <w:t>א)</w:t>
      </w:r>
      <w:r w:rsidR="00D33934">
        <w:rPr>
          <w:rStyle w:val="default"/>
          <w:rFonts w:cs="FrankRuehl" w:hint="cs"/>
          <w:rtl/>
        </w:rPr>
        <w:tab/>
        <w:t>ערר יוגש בידי העורר בכתב, בארבעה עותקים, לוועדת הערר, והוא ימציאו לנציג המשטרה הנוגע בדבר.</w:t>
      </w:r>
    </w:p>
    <w:p w:rsidR="00D33934" w:rsidRDefault="00D33934" w:rsidP="00D339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ערר יכיל פרטים אלה:</w:t>
      </w:r>
    </w:p>
    <w:p w:rsidR="00D33934" w:rsidRDefault="00D33934" w:rsidP="00D339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העורר, מספר הזהות שלו, ובתאגיד </w:t>
      </w:r>
      <w:r>
        <w:rPr>
          <w:rStyle w:val="default"/>
          <w:rFonts w:cs="FrankRuehl"/>
          <w:rtl/>
        </w:rPr>
        <w:t>–</w:t>
      </w:r>
      <w:r>
        <w:rPr>
          <w:rStyle w:val="default"/>
          <w:rFonts w:cs="FrankRuehl" w:hint="cs"/>
          <w:rtl/>
        </w:rPr>
        <w:t xml:space="preserve"> מספר הרישום שלו, מענו, מספר הטלפון שלו והמען להמצאת הודעות ומסמכים;</w:t>
      </w:r>
    </w:p>
    <w:p w:rsidR="00D33934" w:rsidRDefault="00D33934" w:rsidP="00D339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נציג המשטרה הנוגע בדבר;</w:t>
      </w:r>
    </w:p>
    <w:p w:rsidR="00D33934" w:rsidRDefault="00D33934" w:rsidP="00D3393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ההחלטה שעליה עוררים;</w:t>
      </w:r>
    </w:p>
    <w:p w:rsidR="00D33934" w:rsidRDefault="00D33934" w:rsidP="00D3393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התאריך שבו הומצאה ההחלטה נושא הערר לעורר;</w:t>
      </w:r>
    </w:p>
    <w:p w:rsidR="00D33934" w:rsidRDefault="00D33934" w:rsidP="00D3393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העובדות שעליהן מסתמך העורר;</w:t>
      </w:r>
    </w:p>
    <w:p w:rsidR="00D33934" w:rsidRDefault="00D33934" w:rsidP="00D3393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הנימוקים שעליהם מבסס העורר את עררו;</w:t>
      </w:r>
    </w:p>
    <w:p w:rsidR="00D33934" w:rsidRDefault="00D33934" w:rsidP="00D3393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רשימת מסמכים שעליהם מסתמך העורר, בציון המסמכים שאינם מצויים ברשותו;</w:t>
      </w:r>
    </w:p>
    <w:p w:rsidR="00D33934" w:rsidRDefault="00D33934" w:rsidP="00D3393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הסעד המבוקש.</w:t>
      </w:r>
    </w:p>
    <w:p w:rsidR="00A44743" w:rsidRDefault="00A44743" w:rsidP="00D64496">
      <w:pPr>
        <w:pStyle w:val="P00"/>
        <w:spacing w:before="72"/>
        <w:ind w:left="0" w:right="1134"/>
        <w:rPr>
          <w:rStyle w:val="default"/>
          <w:rFonts w:cs="FrankRuehl" w:hint="cs"/>
          <w:rtl/>
        </w:rPr>
      </w:pPr>
      <w:bookmarkStart w:id="2" w:name="Seif3"/>
      <w:bookmarkEnd w:id="2"/>
      <w:r>
        <w:rPr>
          <w:rFonts w:cs="Miriam"/>
          <w:lang w:val="he-IL"/>
        </w:rPr>
        <w:pict>
          <v:rect id="_x0000_s1367" style="position:absolute;left:0;text-align:left;margin-left:464.35pt;margin-top:7.1pt;width:75.05pt;height:31.9pt;z-index:251655680" o:allowincell="f" filled="f" stroked="f" strokecolor="lime" strokeweight=".25pt">
            <v:textbox style="mso-next-textbox:#_x0000_s1367" inset="0,0,0,0">
              <w:txbxContent>
                <w:p w:rsidR="00A44743" w:rsidRDefault="00D33934" w:rsidP="00A44743">
                  <w:pPr>
                    <w:spacing w:line="160" w:lineRule="exact"/>
                    <w:rPr>
                      <w:rFonts w:cs="Miriam" w:hint="cs"/>
                      <w:noProof/>
                      <w:sz w:val="18"/>
                      <w:szCs w:val="18"/>
                      <w:rtl/>
                    </w:rPr>
                  </w:pPr>
                  <w:r>
                    <w:rPr>
                      <w:rFonts w:cs="Miriam" w:hint="cs"/>
                      <w:sz w:val="18"/>
                      <w:szCs w:val="18"/>
                      <w:rtl/>
                    </w:rPr>
                    <w:t>העברת הערר ועמדת נציג המשטרה לחברי ועדת הערר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33934">
        <w:rPr>
          <w:rStyle w:val="default"/>
          <w:rFonts w:cs="FrankRuehl" w:hint="cs"/>
          <w:rtl/>
        </w:rPr>
        <w:t>(</w:t>
      </w:r>
      <w:hyperlink r:id="rId9" w:tooltip="אזכורים" w:history="1">
        <w:r w:rsidR="00D64496" w:rsidRPr="00D64496">
          <w:rPr>
            <w:rStyle w:val="Hyperlink"/>
            <w:rtl/>
          </w:rPr>
          <w:t>*</w:t>
        </w:r>
      </w:hyperlink>
      <w:r w:rsidR="00D33934">
        <w:rPr>
          <w:rStyle w:val="default"/>
          <w:rFonts w:cs="FrankRuehl" w:hint="cs"/>
          <w:rtl/>
        </w:rPr>
        <w:t>א)</w:t>
      </w:r>
      <w:r w:rsidR="00D33934">
        <w:rPr>
          <w:rStyle w:val="default"/>
          <w:rFonts w:cs="FrankRuehl" w:hint="cs"/>
          <w:rtl/>
        </w:rPr>
        <w:tab/>
        <w:t>סמוך לאחר שקיבל את הערר, יעביר נציג המשטרה את המסמכים הנוגעים בדבר ליושב ראש ועדת הערר או מי מטעמו, בצירוף עמדתו ככל שאינה עולה מהמסמכים ומהחלטות שכבר ניתנו.</w:t>
      </w:r>
    </w:p>
    <w:p w:rsidR="00D33934" w:rsidRDefault="00D33934" w:rsidP="00D339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הערר יעביר לחברי הוועדה את כתב הערר, המסמכים שהעביר נציג המשטרה וכן כל חומר רלבנטי נוסף, סמוך לאחר קבלתם.</w:t>
      </w:r>
    </w:p>
    <w:p w:rsidR="00D33934" w:rsidRDefault="00D33934" w:rsidP="00D339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ועדת הערר, או מי מטעמו, ידאג לזמן את חברי הוועדה לצורך קבלת החלטה בערר מוקדם ככל האפשר, ואולם רשאי יושב ראש הוועדה לקבוע כי הדיון ייערך באמצעות הטלפון או באמצעים אלקטרוניים.</w:t>
      </w:r>
    </w:p>
    <w:p w:rsidR="00A44743" w:rsidRDefault="00A44743" w:rsidP="00D64496">
      <w:pPr>
        <w:pStyle w:val="P00"/>
        <w:spacing w:before="72"/>
        <w:ind w:left="0" w:right="1134"/>
        <w:rPr>
          <w:rStyle w:val="default"/>
          <w:rFonts w:cs="FrankRuehl" w:hint="cs"/>
          <w:rtl/>
        </w:rPr>
      </w:pPr>
      <w:bookmarkStart w:id="3" w:name="Seif4"/>
      <w:bookmarkEnd w:id="3"/>
      <w:r>
        <w:rPr>
          <w:rFonts w:cs="Miriam"/>
          <w:lang w:val="he-IL"/>
        </w:rPr>
        <w:pict>
          <v:rect id="_x0000_s1368" style="position:absolute;left:0;text-align:left;margin-left:464.35pt;margin-top:7.1pt;width:75.05pt;height:17.85pt;z-index:251656704" o:allowincell="f" filled="f" stroked="f" strokecolor="lime" strokeweight=".25pt">
            <v:textbox style="mso-next-textbox:#_x0000_s1368" inset="0,0,0,0">
              <w:txbxContent>
                <w:p w:rsidR="00A44743" w:rsidRDefault="008925C2" w:rsidP="00A44743">
                  <w:pPr>
                    <w:spacing w:line="160" w:lineRule="exact"/>
                    <w:rPr>
                      <w:rFonts w:cs="Miriam" w:hint="cs"/>
                      <w:noProof/>
                      <w:sz w:val="18"/>
                      <w:szCs w:val="18"/>
                      <w:rtl/>
                    </w:rPr>
                  </w:pPr>
                  <w:r>
                    <w:rPr>
                      <w:rFonts w:cs="Miriam" w:hint="cs"/>
                      <w:sz w:val="18"/>
                      <w:szCs w:val="18"/>
                      <w:rtl/>
                    </w:rPr>
                    <w:t>סדר הדיון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8925C2">
        <w:rPr>
          <w:rStyle w:val="default"/>
          <w:rFonts w:cs="FrankRuehl" w:hint="cs"/>
          <w:rtl/>
        </w:rPr>
        <w:t>(</w:t>
      </w:r>
      <w:hyperlink r:id="rId10" w:tooltip="אזכורים" w:history="1">
        <w:r w:rsidR="00D64496" w:rsidRPr="00D64496">
          <w:rPr>
            <w:rStyle w:val="Hyperlink"/>
            <w:rtl/>
          </w:rPr>
          <w:t>*</w:t>
        </w:r>
      </w:hyperlink>
      <w:r w:rsidR="008925C2">
        <w:rPr>
          <w:rStyle w:val="default"/>
          <w:rFonts w:cs="FrankRuehl" w:hint="cs"/>
          <w:rtl/>
        </w:rPr>
        <w:t>א)</w:t>
      </w:r>
      <w:r w:rsidR="008925C2">
        <w:rPr>
          <w:rStyle w:val="default"/>
          <w:rFonts w:cs="FrankRuehl" w:hint="cs"/>
          <w:rtl/>
        </w:rPr>
        <w:tab/>
        <w:t>ועדת הערר תקבל החלטה בערר בהסתמך על המסמכים שהועברו אליה.</w:t>
      </w:r>
    </w:p>
    <w:p w:rsidR="008925C2" w:rsidRDefault="008925C2" w:rsidP="008925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אחד מחברי ועדת הערר כי לשם קבלת החלטה בערר נדרש לזמן את הצדדים לדיון, יוזמנו הצדדים לדיון.</w:t>
      </w:r>
    </w:p>
    <w:p w:rsidR="008925C2" w:rsidRDefault="008925C2" w:rsidP="008925C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זומנו הצדדים לדיון, תינתן להם הזדמנות נאותה להשמיע את דבריהם והם רשאים להביא ראיות נוספות לתמיכת טענותיהם, ככל שהדבר נדרש.</w:t>
      </w:r>
    </w:p>
    <w:p w:rsidR="008925C2" w:rsidRDefault="008925C2" w:rsidP="008925C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זומנו הצדדים, יושב ראש ועדת הערר יקבע את סדר שמיעת הצדדים לפני ועדת הערר.</w:t>
      </w:r>
    </w:p>
    <w:p w:rsidR="00B44AD0" w:rsidRDefault="00B44AD0" w:rsidP="00D64496">
      <w:pPr>
        <w:pStyle w:val="P00"/>
        <w:spacing w:before="72"/>
        <w:ind w:left="0" w:right="1134"/>
        <w:rPr>
          <w:rStyle w:val="default"/>
          <w:rFonts w:cs="FrankRuehl" w:hint="cs"/>
          <w:rtl/>
        </w:rPr>
      </w:pPr>
      <w:bookmarkStart w:id="4" w:name="Seif5"/>
      <w:bookmarkEnd w:id="4"/>
      <w:r>
        <w:rPr>
          <w:rFonts w:cs="Miriam"/>
          <w:lang w:val="he-IL"/>
        </w:rPr>
        <w:pict>
          <v:rect id="_x0000_s1369" style="position:absolute;left:0;text-align:left;margin-left:464.35pt;margin-top:7.1pt;width:75.05pt;height:17.85pt;z-index:251657728" o:allowincell="f" filled="f" stroked="f" strokecolor="lime" strokeweight=".25pt">
            <v:textbox style="mso-next-textbox:#_x0000_s1369" inset="0,0,0,0">
              <w:txbxContent>
                <w:p w:rsidR="00B44AD0" w:rsidRDefault="008925C2" w:rsidP="00B44AD0">
                  <w:pPr>
                    <w:spacing w:line="160" w:lineRule="exact"/>
                    <w:rPr>
                      <w:rFonts w:cs="Miriam" w:hint="cs"/>
                      <w:noProof/>
                      <w:sz w:val="18"/>
                      <w:szCs w:val="18"/>
                      <w:rtl/>
                    </w:rPr>
                  </w:pPr>
                  <w:r>
                    <w:rPr>
                      <w:rFonts w:cs="Miriam" w:hint="cs"/>
                      <w:sz w:val="18"/>
                      <w:szCs w:val="18"/>
                      <w:rtl/>
                    </w:rPr>
                    <w:t>סדרי דין שלא נקבעו במפורש</w:t>
                  </w:r>
                </w:p>
              </w:txbxContent>
            </v:textbox>
            <w10:anchorlock/>
          </v:rect>
        </w:pict>
      </w:r>
      <w:r w:rsidR="008925C2">
        <w:rPr>
          <w:rStyle w:val="big-number"/>
          <w:rFonts w:cs="Miriam" w:hint="cs"/>
          <w:rtl/>
        </w:rPr>
        <w:t>5</w:t>
      </w:r>
      <w:r>
        <w:rPr>
          <w:rStyle w:val="big-number"/>
          <w:rFonts w:cs="FrankRuehl"/>
          <w:sz w:val="26"/>
          <w:szCs w:val="26"/>
          <w:rtl/>
        </w:rPr>
        <w:t>.</w:t>
      </w:r>
      <w:r>
        <w:rPr>
          <w:rStyle w:val="big-number"/>
          <w:rFonts w:cs="FrankRuehl"/>
          <w:sz w:val="26"/>
          <w:szCs w:val="26"/>
          <w:rtl/>
        </w:rPr>
        <w:tab/>
      </w:r>
      <w:r w:rsidR="008925C2">
        <w:rPr>
          <w:rStyle w:val="default"/>
          <w:rFonts w:cs="FrankRuehl" w:hint="cs"/>
          <w:rtl/>
        </w:rPr>
        <w:t>ב</w:t>
      </w:r>
      <w:hyperlink r:id="rId11" w:tooltip="אזכורים" w:history="1">
        <w:r w:rsidR="00D64496" w:rsidRPr="00D64496">
          <w:rPr>
            <w:rStyle w:val="Hyperlink"/>
            <w:rtl/>
          </w:rPr>
          <w:t>*</w:t>
        </w:r>
      </w:hyperlink>
      <w:r w:rsidR="008925C2">
        <w:rPr>
          <w:rStyle w:val="default"/>
          <w:rFonts w:cs="FrankRuehl" w:hint="cs"/>
          <w:rtl/>
        </w:rPr>
        <w:t>כל עניין של סדרי דין שאין לגביו הוראות בתקנות אלה, תנהג ועדת הערר בדרך הנראית לה צודקת ויעילה בנסיבות העניין.</w:t>
      </w:r>
    </w:p>
    <w:p w:rsidR="00B44AD0" w:rsidRDefault="00B44AD0" w:rsidP="00D64496">
      <w:pPr>
        <w:pStyle w:val="P00"/>
        <w:spacing w:before="72"/>
        <w:ind w:left="0" w:right="1134"/>
        <w:rPr>
          <w:rStyle w:val="default"/>
          <w:rFonts w:cs="FrankRuehl" w:hint="cs"/>
          <w:rtl/>
        </w:rPr>
      </w:pPr>
      <w:bookmarkStart w:id="5" w:name="Seif6"/>
      <w:bookmarkEnd w:id="5"/>
      <w:r>
        <w:rPr>
          <w:rFonts w:cs="Miriam"/>
          <w:lang w:val="he-IL"/>
        </w:rPr>
        <w:lastRenderedPageBreak/>
        <w:pict>
          <v:rect id="_x0000_s1370" style="position:absolute;left:0;text-align:left;margin-left:464.35pt;margin-top:7.1pt;width:75.05pt;height:24.65pt;z-index:251658752" o:allowincell="f" filled="f" stroked="f" strokecolor="lime" strokeweight=".25pt">
            <v:textbox style="mso-next-textbox:#_x0000_s1370" inset="0,0,0,0">
              <w:txbxContent>
                <w:p w:rsidR="00B44AD0" w:rsidRDefault="008925C2" w:rsidP="00B44AD0">
                  <w:pPr>
                    <w:spacing w:line="160" w:lineRule="exact"/>
                    <w:rPr>
                      <w:rFonts w:cs="Miriam" w:hint="cs"/>
                      <w:noProof/>
                      <w:sz w:val="18"/>
                      <w:szCs w:val="18"/>
                      <w:rtl/>
                    </w:rPr>
                  </w:pPr>
                  <w:r>
                    <w:rPr>
                      <w:rFonts w:cs="Miriam" w:hint="cs"/>
                      <w:sz w:val="18"/>
                      <w:szCs w:val="18"/>
                      <w:rtl/>
                    </w:rPr>
                    <w:t>הבאת ראיות לפי דרישת ועדת הערר</w:t>
                  </w:r>
                </w:p>
              </w:txbxContent>
            </v:textbox>
            <w10:anchorlock/>
          </v:rect>
        </w:pict>
      </w:r>
      <w:r w:rsidR="008925C2">
        <w:rPr>
          <w:rStyle w:val="big-number"/>
          <w:rFonts w:cs="Miriam" w:hint="cs"/>
          <w:rtl/>
        </w:rPr>
        <w:t>6</w:t>
      </w:r>
      <w:r>
        <w:rPr>
          <w:rStyle w:val="big-number"/>
          <w:rFonts w:cs="FrankRuehl"/>
          <w:sz w:val="26"/>
          <w:szCs w:val="26"/>
          <w:rtl/>
        </w:rPr>
        <w:t>.</w:t>
      </w:r>
      <w:r>
        <w:rPr>
          <w:rStyle w:val="big-number"/>
          <w:rFonts w:cs="FrankRuehl"/>
          <w:sz w:val="26"/>
          <w:szCs w:val="26"/>
          <w:rtl/>
        </w:rPr>
        <w:tab/>
      </w:r>
      <w:r w:rsidR="008925C2">
        <w:rPr>
          <w:rStyle w:val="default"/>
          <w:rFonts w:cs="FrankRuehl" w:hint="cs"/>
          <w:rtl/>
        </w:rPr>
        <w:t>(</w:t>
      </w:r>
      <w:hyperlink r:id="rId12" w:tooltip="אזכורים" w:history="1">
        <w:r w:rsidR="00D64496" w:rsidRPr="00D64496">
          <w:rPr>
            <w:rStyle w:val="Hyperlink"/>
            <w:rtl/>
          </w:rPr>
          <w:t>*</w:t>
        </w:r>
      </w:hyperlink>
      <w:r w:rsidR="008925C2">
        <w:rPr>
          <w:rStyle w:val="default"/>
          <w:rFonts w:cs="FrankRuehl" w:hint="cs"/>
          <w:rtl/>
        </w:rPr>
        <w:t>א)</w:t>
      </w:r>
      <w:r w:rsidR="008925C2">
        <w:rPr>
          <w:rStyle w:val="default"/>
          <w:rFonts w:cs="FrankRuehl" w:hint="cs"/>
          <w:rtl/>
        </w:rPr>
        <w:tab/>
        <w:t>ועדת הערר רשאית לדרוש מאת הצדדים שימציאו לה, בתוך מועד שתקבע, מסמכים, פרטים או נתונים נוספים הדרושים לדעתה לבירור הערר.</w:t>
      </w:r>
    </w:p>
    <w:p w:rsidR="008925C2" w:rsidRDefault="008925C2" w:rsidP="008925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הערר רשאית להזמין כל אדם שעדותו עשויה לתרום לבירור הערר, להעיד לפניה או להמציא לה כל מסמך הנוגע לערר; זומן האדם לעדות, תזמין ועדת הערר את הצדדים לדיון.</w:t>
      </w:r>
    </w:p>
    <w:p w:rsidR="00B44AD0" w:rsidRDefault="00B44AD0" w:rsidP="00D64496">
      <w:pPr>
        <w:pStyle w:val="P00"/>
        <w:spacing w:before="72"/>
        <w:ind w:left="0" w:right="1134"/>
        <w:rPr>
          <w:rStyle w:val="default"/>
          <w:rFonts w:cs="FrankRuehl" w:hint="cs"/>
          <w:rtl/>
        </w:rPr>
      </w:pPr>
      <w:bookmarkStart w:id="6" w:name="Seif7"/>
      <w:bookmarkEnd w:id="6"/>
      <w:r>
        <w:rPr>
          <w:rFonts w:cs="Miriam"/>
          <w:lang w:val="he-IL"/>
        </w:rPr>
        <w:pict>
          <v:rect id="_x0000_s1371" style="position:absolute;left:0;text-align:left;margin-left:464.35pt;margin-top:7.1pt;width:75.05pt;height:17.85pt;z-index:251659776" o:allowincell="f" filled="f" stroked="f" strokecolor="lime" strokeweight=".25pt">
            <v:textbox style="mso-next-textbox:#_x0000_s1371" inset="0,0,0,0">
              <w:txbxContent>
                <w:p w:rsidR="00B44AD0" w:rsidRDefault="008925C2" w:rsidP="00B44AD0">
                  <w:pPr>
                    <w:spacing w:line="160" w:lineRule="exact"/>
                    <w:rPr>
                      <w:rFonts w:cs="Miriam" w:hint="cs"/>
                      <w:noProof/>
                      <w:sz w:val="18"/>
                      <w:szCs w:val="18"/>
                      <w:rtl/>
                    </w:rPr>
                  </w:pPr>
                  <w:r>
                    <w:rPr>
                      <w:rFonts w:cs="Miriam" w:hint="cs"/>
                      <w:sz w:val="18"/>
                      <w:szCs w:val="18"/>
                      <w:rtl/>
                    </w:rPr>
                    <w:t>דיני ראיות</w:t>
                  </w:r>
                </w:p>
              </w:txbxContent>
            </v:textbox>
            <w10:anchorlock/>
          </v:rect>
        </w:pict>
      </w:r>
      <w:r w:rsidR="008925C2">
        <w:rPr>
          <w:rStyle w:val="big-number"/>
          <w:rFonts w:cs="Miriam" w:hint="cs"/>
          <w:rtl/>
        </w:rPr>
        <w:t>7</w:t>
      </w:r>
      <w:r>
        <w:rPr>
          <w:rStyle w:val="big-number"/>
          <w:rFonts w:cs="FrankRuehl"/>
          <w:sz w:val="26"/>
          <w:szCs w:val="26"/>
          <w:rtl/>
        </w:rPr>
        <w:t>.</w:t>
      </w:r>
      <w:r>
        <w:rPr>
          <w:rStyle w:val="big-number"/>
          <w:rFonts w:cs="FrankRuehl"/>
          <w:sz w:val="26"/>
          <w:szCs w:val="26"/>
          <w:rtl/>
        </w:rPr>
        <w:tab/>
      </w:r>
      <w:r w:rsidR="008925C2">
        <w:rPr>
          <w:rStyle w:val="default"/>
          <w:rFonts w:cs="FrankRuehl" w:hint="cs"/>
          <w:rtl/>
        </w:rPr>
        <w:t>ו</w:t>
      </w:r>
      <w:hyperlink r:id="rId13" w:tooltip="אזכורים" w:history="1">
        <w:r w:rsidR="00D64496" w:rsidRPr="00D64496">
          <w:rPr>
            <w:rStyle w:val="Hyperlink"/>
            <w:rtl/>
          </w:rPr>
          <w:t>*</w:t>
        </w:r>
      </w:hyperlink>
      <w:r w:rsidR="008925C2">
        <w:rPr>
          <w:rStyle w:val="default"/>
          <w:rFonts w:cs="FrankRuehl" w:hint="cs"/>
          <w:rtl/>
        </w:rPr>
        <w:t>עדת הערר לא תהיה קשורה בדיני הראיות, פרט לדינים בדבר ראיות חסויות לפי פרק ג' לפקודת הראיות [נוסח חדש], התשל"א-1971.</w:t>
      </w:r>
    </w:p>
    <w:p w:rsidR="00B44AD0" w:rsidRDefault="00B44AD0" w:rsidP="00D64496">
      <w:pPr>
        <w:pStyle w:val="P00"/>
        <w:spacing w:before="72"/>
        <w:ind w:left="0" w:right="1134"/>
        <w:rPr>
          <w:rStyle w:val="default"/>
          <w:rFonts w:cs="FrankRuehl" w:hint="cs"/>
          <w:rtl/>
        </w:rPr>
      </w:pPr>
      <w:bookmarkStart w:id="7" w:name="Seif8"/>
      <w:bookmarkEnd w:id="7"/>
      <w:r>
        <w:rPr>
          <w:rFonts w:cs="Miriam"/>
          <w:lang w:val="he-IL"/>
        </w:rPr>
        <w:pict>
          <v:rect id="_x0000_s1372" style="position:absolute;left:0;text-align:left;margin-left:464.35pt;margin-top:7.1pt;width:75.05pt;height:17.85pt;z-index:251660800" o:allowincell="f" filled="f" stroked="f" strokecolor="lime" strokeweight=".25pt">
            <v:textbox style="mso-next-textbox:#_x0000_s1372" inset="0,0,0,0">
              <w:txbxContent>
                <w:p w:rsidR="00B44AD0" w:rsidRDefault="00683744" w:rsidP="00B44AD0">
                  <w:pPr>
                    <w:spacing w:line="160" w:lineRule="exact"/>
                    <w:rPr>
                      <w:rFonts w:cs="Miriam" w:hint="cs"/>
                      <w:noProof/>
                      <w:sz w:val="18"/>
                      <w:szCs w:val="18"/>
                      <w:rtl/>
                    </w:rPr>
                  </w:pPr>
                  <w:r>
                    <w:rPr>
                      <w:rFonts w:cs="Miriam" w:hint="cs"/>
                      <w:sz w:val="18"/>
                      <w:szCs w:val="18"/>
                      <w:rtl/>
                    </w:rPr>
                    <w:t>פרוטוקול</w:t>
                  </w:r>
                </w:p>
              </w:txbxContent>
            </v:textbox>
            <w10:anchorlock/>
          </v:rect>
        </w:pict>
      </w:r>
      <w:r w:rsidR="008925C2">
        <w:rPr>
          <w:rStyle w:val="big-number"/>
          <w:rFonts w:cs="Miriam" w:hint="cs"/>
          <w:rtl/>
        </w:rPr>
        <w:t>8</w:t>
      </w:r>
      <w:r>
        <w:rPr>
          <w:rStyle w:val="big-number"/>
          <w:rFonts w:cs="FrankRuehl"/>
          <w:sz w:val="26"/>
          <w:szCs w:val="26"/>
          <w:rtl/>
        </w:rPr>
        <w:t>.</w:t>
      </w:r>
      <w:r>
        <w:rPr>
          <w:rStyle w:val="big-number"/>
          <w:rFonts w:cs="FrankRuehl"/>
          <w:sz w:val="26"/>
          <w:szCs w:val="26"/>
          <w:rtl/>
        </w:rPr>
        <w:tab/>
      </w:r>
      <w:r w:rsidR="00683744">
        <w:rPr>
          <w:rStyle w:val="default"/>
          <w:rFonts w:cs="FrankRuehl" w:hint="cs"/>
          <w:rtl/>
        </w:rPr>
        <w:t>(</w:t>
      </w:r>
      <w:hyperlink r:id="rId14" w:tooltip="אזכורים" w:history="1">
        <w:r w:rsidR="00D64496" w:rsidRPr="00D64496">
          <w:rPr>
            <w:rStyle w:val="Hyperlink"/>
            <w:rtl/>
          </w:rPr>
          <w:t>*</w:t>
        </w:r>
      </w:hyperlink>
      <w:r w:rsidR="00683744">
        <w:rPr>
          <w:rStyle w:val="default"/>
          <w:rFonts w:cs="FrankRuehl" w:hint="cs"/>
          <w:rtl/>
        </w:rPr>
        <w:t>א)</w:t>
      </w:r>
      <w:r w:rsidR="00683744">
        <w:rPr>
          <w:rStyle w:val="default"/>
          <w:rFonts w:cs="FrankRuehl" w:hint="cs"/>
          <w:rtl/>
        </w:rPr>
        <w:tab/>
        <w:t>יושב ראש ועדת הערר, או מי שהוא מינה לשם כך, ינהל פרוטוקול בכתב של תמצית דיוניה והחלטותיה של ועדת הערר; הפרוטוקול ייחתם בידי יושב ראש ועדת הערר ויומצא לצדדים.</w:t>
      </w:r>
    </w:p>
    <w:p w:rsidR="00683744" w:rsidRDefault="00683744" w:rsidP="006837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שקיבלה הוועדה יצורפו לפרוטוקול ויהוו חלק בלתי נפרד ממנו.</w:t>
      </w:r>
    </w:p>
    <w:p w:rsidR="00683744" w:rsidRDefault="00683744" w:rsidP="0068374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C4A27">
        <w:rPr>
          <w:rStyle w:val="default"/>
          <w:rFonts w:cs="FrankRuehl" w:hint="cs"/>
          <w:rtl/>
        </w:rPr>
        <w:t>פרוטוקולים של דיוני הוועדה יהיו פתוחים לעיון הציבור, למעט לעניין פרטי מידע שיושב ראש ועדת הערר החליט, מטעמים שיירשמו, כי לא ניתן לגלותם, ובכלל זה מטעמים של ביטחון הציבור, סודיות המידע או טעמים מבצעיים.</w:t>
      </w:r>
    </w:p>
    <w:p w:rsidR="00B44AD0" w:rsidRDefault="00B44AD0" w:rsidP="00D64496">
      <w:pPr>
        <w:pStyle w:val="P00"/>
        <w:spacing w:before="72"/>
        <w:ind w:left="0" w:right="1134"/>
        <w:rPr>
          <w:rStyle w:val="default"/>
          <w:rFonts w:cs="FrankRuehl" w:hint="cs"/>
          <w:rtl/>
        </w:rPr>
      </w:pPr>
      <w:bookmarkStart w:id="8" w:name="Seif9"/>
      <w:bookmarkEnd w:id="8"/>
      <w:r>
        <w:rPr>
          <w:rFonts w:cs="Miriam"/>
          <w:lang w:val="he-IL"/>
        </w:rPr>
        <w:pict>
          <v:rect id="_x0000_s1373" style="position:absolute;left:0;text-align:left;margin-left:464.35pt;margin-top:7.1pt;width:75.05pt;height:17.85pt;z-index:251661824" o:allowincell="f" filled="f" stroked="f" strokecolor="lime" strokeweight=".25pt">
            <v:textbox style="mso-next-textbox:#_x0000_s1373" inset="0,0,0,0">
              <w:txbxContent>
                <w:p w:rsidR="00B44AD0" w:rsidRDefault="00AC4A27" w:rsidP="00B44AD0">
                  <w:pPr>
                    <w:spacing w:line="160" w:lineRule="exact"/>
                    <w:rPr>
                      <w:rFonts w:cs="Miriam" w:hint="cs"/>
                      <w:noProof/>
                      <w:sz w:val="18"/>
                      <w:szCs w:val="18"/>
                      <w:rtl/>
                    </w:rPr>
                  </w:pPr>
                  <w:r>
                    <w:rPr>
                      <w:rFonts w:cs="Miriam" w:hint="cs"/>
                      <w:sz w:val="18"/>
                      <w:szCs w:val="18"/>
                      <w:rtl/>
                    </w:rPr>
                    <w:t>החלטת ועדת הערר</w:t>
                  </w:r>
                </w:p>
              </w:txbxContent>
            </v:textbox>
            <w10:anchorlock/>
          </v:rect>
        </w:pict>
      </w:r>
      <w:r w:rsidR="00AC4A27">
        <w:rPr>
          <w:rStyle w:val="big-number"/>
          <w:rFonts w:cs="Miriam" w:hint="cs"/>
          <w:rtl/>
        </w:rPr>
        <w:t>9</w:t>
      </w:r>
      <w:r>
        <w:rPr>
          <w:rStyle w:val="big-number"/>
          <w:rFonts w:cs="FrankRuehl"/>
          <w:sz w:val="26"/>
          <w:szCs w:val="26"/>
          <w:rtl/>
        </w:rPr>
        <w:t>.</w:t>
      </w:r>
      <w:r>
        <w:rPr>
          <w:rStyle w:val="big-number"/>
          <w:rFonts w:cs="FrankRuehl"/>
          <w:sz w:val="26"/>
          <w:szCs w:val="26"/>
          <w:rtl/>
        </w:rPr>
        <w:tab/>
      </w:r>
      <w:r w:rsidR="00AC4A27">
        <w:rPr>
          <w:rStyle w:val="default"/>
          <w:rFonts w:cs="FrankRuehl" w:hint="cs"/>
          <w:rtl/>
        </w:rPr>
        <w:t>(</w:t>
      </w:r>
      <w:hyperlink r:id="rId15" w:tooltip="אזכורים" w:history="1">
        <w:r w:rsidR="00D64496" w:rsidRPr="00D64496">
          <w:rPr>
            <w:rStyle w:val="Hyperlink"/>
            <w:rtl/>
          </w:rPr>
          <w:t>*</w:t>
        </w:r>
      </w:hyperlink>
      <w:r w:rsidR="00AC4A27">
        <w:rPr>
          <w:rStyle w:val="default"/>
          <w:rFonts w:cs="FrankRuehl" w:hint="cs"/>
          <w:rtl/>
        </w:rPr>
        <w:t>א)</w:t>
      </w:r>
      <w:r w:rsidR="00AC4A27">
        <w:rPr>
          <w:rStyle w:val="default"/>
          <w:rFonts w:cs="FrankRuehl" w:hint="cs"/>
          <w:rtl/>
        </w:rPr>
        <w:tab/>
        <w:t>ועדת הערר תיתן החלטה מנומקת מוקדם ככל האפשר ולא יאוחר משבעה ימים ממועד הגשת הערר; במניין הימים לא יבואו ימי שבת וחג; יושב ראש ועדת הערר רשאי להחליט על הארכת המועד הקבוע בתקנת משנה זו, מנימוקים שיירשמו.</w:t>
      </w:r>
    </w:p>
    <w:p w:rsidR="00AC4A27" w:rsidRDefault="00AC4A27" w:rsidP="00AC4A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ההחלטה תיערך בכתב ותיחתם בידי כל חברי ועדת הערר.</w:t>
      </w:r>
    </w:p>
    <w:p w:rsidR="00AC4A27" w:rsidRDefault="00AC4A27" w:rsidP="00AC4A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מההחלטה יימסר לצדדים.</w:t>
      </w:r>
    </w:p>
    <w:p w:rsidR="00AC4A27" w:rsidRDefault="00AC4A27" w:rsidP="00AC4A2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ההחלטה תתקבל על פי רוב קולות החברים, בכפוף לסעיף 102ה(ב) לחוק.</w:t>
      </w:r>
    </w:p>
    <w:p w:rsidR="00A44743" w:rsidRDefault="00A44743">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C71924" w:rsidRDefault="00A44743" w:rsidP="00AC4A27">
      <w:pPr>
        <w:pStyle w:val="sig-0"/>
        <w:tabs>
          <w:tab w:val="clear" w:pos="4820"/>
          <w:tab w:val="center" w:pos="5103"/>
        </w:tabs>
        <w:ind w:left="0" w:right="1134"/>
        <w:rPr>
          <w:rFonts w:cs="FrankRuehl" w:hint="cs"/>
          <w:sz w:val="26"/>
          <w:rtl/>
        </w:rPr>
      </w:pPr>
      <w:r>
        <w:rPr>
          <w:rFonts w:cs="FrankRuehl" w:hint="cs"/>
          <w:sz w:val="26"/>
          <w:rtl/>
        </w:rPr>
        <w:t>כ"</w:t>
      </w:r>
      <w:r w:rsidR="00AC4A27">
        <w:rPr>
          <w:rFonts w:cs="FrankRuehl" w:hint="cs"/>
          <w:sz w:val="26"/>
          <w:rtl/>
        </w:rPr>
        <w:t>ד</w:t>
      </w:r>
      <w:r>
        <w:rPr>
          <w:rFonts w:cs="FrankRuehl" w:hint="cs"/>
          <w:sz w:val="26"/>
          <w:rtl/>
        </w:rPr>
        <w:t xml:space="preserve"> באייר</w:t>
      </w:r>
      <w:r w:rsidR="00F86FF2">
        <w:rPr>
          <w:rFonts w:cs="FrankRuehl" w:hint="cs"/>
          <w:sz w:val="26"/>
          <w:rtl/>
        </w:rPr>
        <w:t xml:space="preserve"> התשס"ח (</w:t>
      </w:r>
      <w:r>
        <w:rPr>
          <w:rFonts w:cs="FrankRuehl" w:hint="cs"/>
          <w:sz w:val="26"/>
          <w:rtl/>
        </w:rPr>
        <w:t>2</w:t>
      </w:r>
      <w:r w:rsidR="00AC4A27">
        <w:rPr>
          <w:rFonts w:cs="FrankRuehl" w:hint="cs"/>
          <w:sz w:val="26"/>
          <w:rtl/>
        </w:rPr>
        <w:t>9</w:t>
      </w:r>
      <w:r w:rsidR="00F86FF2">
        <w:rPr>
          <w:rFonts w:cs="FrankRuehl" w:hint="cs"/>
          <w:sz w:val="26"/>
          <w:rtl/>
        </w:rPr>
        <w:t xml:space="preserve"> במאי 2008)</w:t>
      </w:r>
      <w:r w:rsidR="00F86FF2">
        <w:rPr>
          <w:rFonts w:cs="FrankRuehl" w:hint="cs"/>
          <w:sz w:val="26"/>
          <w:rtl/>
        </w:rPr>
        <w:tab/>
      </w:r>
      <w:r w:rsidR="00AC4A27">
        <w:rPr>
          <w:rFonts w:cs="FrankRuehl" w:hint="cs"/>
          <w:sz w:val="26"/>
          <w:rtl/>
        </w:rPr>
        <w:t>אבי דיכטר</w:t>
      </w:r>
    </w:p>
    <w:p w:rsidR="00C71924" w:rsidRDefault="00F86FF2" w:rsidP="00AC4A27">
      <w:pPr>
        <w:pStyle w:val="sig-0"/>
        <w:tabs>
          <w:tab w:val="clear" w:pos="4820"/>
          <w:tab w:val="center" w:pos="5103"/>
        </w:tabs>
        <w:ind w:left="0" w:right="1134"/>
        <w:rPr>
          <w:rFonts w:cs="FrankRuehl" w:hint="cs"/>
          <w:sz w:val="22"/>
          <w:szCs w:val="22"/>
          <w:rtl/>
        </w:rPr>
      </w:pPr>
      <w:r>
        <w:rPr>
          <w:rFonts w:cs="FrankRuehl" w:hint="cs"/>
          <w:sz w:val="22"/>
          <w:szCs w:val="22"/>
          <w:rtl/>
        </w:rPr>
        <w:tab/>
      </w:r>
      <w:r w:rsidR="00AC4A27">
        <w:rPr>
          <w:rFonts w:cs="FrankRuehl" w:hint="cs"/>
          <w:sz w:val="22"/>
          <w:szCs w:val="22"/>
          <w:rtl/>
        </w:rPr>
        <w:t>השר לביטחון הפנים</w:t>
      </w:r>
    </w:p>
    <w:p w:rsidR="00B44AD0" w:rsidRDefault="00B44AD0">
      <w:pPr>
        <w:pStyle w:val="P00"/>
        <w:spacing w:before="72"/>
        <w:ind w:left="0" w:right="1134"/>
        <w:rPr>
          <w:rStyle w:val="default"/>
          <w:rFonts w:cs="FrankRuehl" w:hint="cs"/>
          <w:rtl/>
        </w:rPr>
      </w:pPr>
    </w:p>
    <w:p w:rsidR="00C71924" w:rsidRDefault="00C71924">
      <w:pPr>
        <w:pStyle w:val="P00"/>
        <w:spacing w:before="72"/>
        <w:ind w:left="0" w:right="1134"/>
        <w:rPr>
          <w:rStyle w:val="default"/>
          <w:rFonts w:cs="FrankRuehl" w:hint="cs"/>
          <w:rtl/>
        </w:rPr>
      </w:pPr>
    </w:p>
    <w:p w:rsidR="00F86FF2" w:rsidRDefault="00F86FF2">
      <w:pPr>
        <w:pStyle w:val="P00"/>
        <w:spacing w:before="72"/>
        <w:ind w:left="0" w:right="1134"/>
        <w:rPr>
          <w:rStyle w:val="default"/>
          <w:rFonts w:cs="FrankRuehl" w:hint="cs"/>
          <w:rtl/>
        </w:rPr>
      </w:pPr>
    </w:p>
    <w:sectPr w:rsidR="00F86FF2">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F1B" w:rsidRDefault="009A5F1B">
      <w:r>
        <w:separator/>
      </w:r>
    </w:p>
  </w:endnote>
  <w:endnote w:type="continuationSeparator" w:id="0">
    <w:p w:rsidR="009A5F1B" w:rsidRDefault="009A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4496">
      <w:rPr>
        <w:rFonts w:cs="TopType Jerushalmi"/>
        <w:noProof/>
        <w:color w:val="000000"/>
        <w:sz w:val="14"/>
        <w:szCs w:val="14"/>
      </w:rPr>
      <w:t>Z:\000000000000-law\yael\08-06-18\tav\999_961.doc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103F">
      <w:rPr>
        <w:rFonts w:hAnsi="FrankRuehl" w:cs="FrankRuehl"/>
        <w:noProof/>
        <w:sz w:val="24"/>
        <w:szCs w:val="24"/>
        <w:rtl/>
      </w:rPr>
      <w:t>2</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4496">
      <w:rPr>
        <w:rFonts w:cs="TopType Jerushalmi"/>
        <w:noProof/>
        <w:color w:val="000000"/>
        <w:sz w:val="14"/>
        <w:szCs w:val="14"/>
      </w:rPr>
      <w:t>Z:\000000000000-law\yael\08-06-18\tav\999_961.doc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F1B" w:rsidRDefault="009A5F1B">
      <w:pPr>
        <w:spacing w:before="60"/>
        <w:ind w:right="1134"/>
      </w:pPr>
      <w:r>
        <w:separator/>
      </w:r>
    </w:p>
  </w:footnote>
  <w:footnote w:type="continuationSeparator" w:id="0">
    <w:p w:rsidR="009A5F1B" w:rsidRDefault="009A5F1B">
      <w:r>
        <w:continuationSeparator/>
      </w:r>
    </w:p>
  </w:footnote>
  <w:footnote w:id="1">
    <w:p w:rsidR="009913A2" w:rsidRDefault="002A24E2" w:rsidP="009913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44743">
        <w:rPr>
          <w:rFonts w:cs="FrankRuehl" w:hint="cs"/>
          <w:rtl/>
        </w:rPr>
        <w:t xml:space="preserve"> פורסמו</w:t>
      </w:r>
      <w:r>
        <w:rPr>
          <w:rFonts w:cs="FrankRuehl" w:hint="cs"/>
          <w:rtl/>
        </w:rPr>
        <w:t xml:space="preserve"> </w:t>
      </w:r>
      <w:hyperlink r:id="rId1" w:history="1">
        <w:r w:rsidR="00F86FF2" w:rsidRPr="009913A2">
          <w:rPr>
            <w:rStyle w:val="Hyperlink"/>
            <w:rFonts w:cs="FrankRuehl" w:hint="cs"/>
            <w:rtl/>
          </w:rPr>
          <w:t>ק"ת</w:t>
        </w:r>
        <w:r w:rsidRPr="009913A2">
          <w:rPr>
            <w:rStyle w:val="Hyperlink"/>
            <w:rFonts w:cs="FrankRuehl"/>
            <w:rtl/>
          </w:rPr>
          <w:t xml:space="preserve"> תשס"</w:t>
        </w:r>
        <w:r w:rsidR="0037728C" w:rsidRPr="009913A2">
          <w:rPr>
            <w:rStyle w:val="Hyperlink"/>
            <w:rFonts w:cs="FrankRuehl" w:hint="cs"/>
            <w:rtl/>
          </w:rPr>
          <w:t xml:space="preserve">ח מס' </w:t>
        </w:r>
        <w:r w:rsidR="00A44743" w:rsidRPr="009913A2">
          <w:rPr>
            <w:rStyle w:val="Hyperlink"/>
            <w:rFonts w:cs="FrankRuehl" w:hint="cs"/>
            <w:rtl/>
          </w:rPr>
          <w:t>6680</w:t>
        </w:r>
      </w:hyperlink>
      <w:r w:rsidR="0037728C">
        <w:rPr>
          <w:rFonts w:cs="FrankRuehl" w:hint="cs"/>
          <w:rtl/>
        </w:rPr>
        <w:t xml:space="preserve"> מיום </w:t>
      </w:r>
      <w:r w:rsidR="008E7BC6">
        <w:rPr>
          <w:rFonts w:cs="FrankRuehl" w:hint="cs"/>
          <w:rtl/>
        </w:rPr>
        <w:t>1</w:t>
      </w:r>
      <w:r w:rsidR="00A44743">
        <w:rPr>
          <w:rFonts w:cs="FrankRuehl" w:hint="cs"/>
          <w:rtl/>
        </w:rPr>
        <w:t>5</w:t>
      </w:r>
      <w:r w:rsidR="008E7BC6">
        <w:rPr>
          <w:rFonts w:cs="FrankRuehl" w:hint="cs"/>
          <w:rtl/>
        </w:rPr>
        <w:t>.6.</w:t>
      </w:r>
      <w:r w:rsidR="00A148C2">
        <w:rPr>
          <w:rFonts w:cs="FrankRuehl" w:hint="cs"/>
          <w:rtl/>
        </w:rPr>
        <w:t>2008</w:t>
      </w:r>
      <w:r w:rsidR="0037728C">
        <w:rPr>
          <w:rFonts w:cs="FrankRuehl" w:hint="cs"/>
          <w:rtl/>
        </w:rPr>
        <w:t xml:space="preserve"> עמ' </w:t>
      </w:r>
      <w:r w:rsidR="00A44743">
        <w:rPr>
          <w:rFonts w:cs="FrankRuehl" w:hint="cs"/>
          <w:rtl/>
        </w:rPr>
        <w:t>99</w:t>
      </w:r>
      <w:r w:rsidR="00B850C0">
        <w:rPr>
          <w:rFonts w:cs="FrankRuehl" w:hint="cs"/>
          <w:rtl/>
        </w:rPr>
        <w:t>9</w:t>
      </w:r>
      <w:r w:rsidR="0037728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A44743" w:rsidP="00B850C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B850C0">
      <w:rPr>
        <w:rFonts w:hAnsi="FrankRuehl" w:cs="FrankRuehl" w:hint="cs"/>
        <w:color w:val="000000"/>
        <w:sz w:val="28"/>
        <w:szCs w:val="28"/>
        <w:rtl/>
      </w:rPr>
      <w:t>המשטרה (דין משמעתי, בירור קבילות שוטרים והוראות שונות) (סדרי דין בוועדת ערר)</w:t>
    </w:r>
    <w:r w:rsidR="008C0AEB">
      <w:rPr>
        <w:rFonts w:hAnsi="FrankRuehl" w:cs="FrankRuehl" w:hint="cs"/>
        <w:color w:val="000000"/>
        <w:sz w:val="28"/>
        <w:szCs w:val="28"/>
        <w:rtl/>
      </w:rPr>
      <w:t>, תשס"ח-2008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2576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65DCA"/>
    <w:rsid w:val="00097C86"/>
    <w:rsid w:val="000B0369"/>
    <w:rsid w:val="000E32ED"/>
    <w:rsid w:val="00125926"/>
    <w:rsid w:val="00167D7D"/>
    <w:rsid w:val="002A24E2"/>
    <w:rsid w:val="00301E9A"/>
    <w:rsid w:val="0037728C"/>
    <w:rsid w:val="00393C15"/>
    <w:rsid w:val="003A2EEE"/>
    <w:rsid w:val="003D6ED9"/>
    <w:rsid w:val="003E6F5E"/>
    <w:rsid w:val="003F05BB"/>
    <w:rsid w:val="003F5BF4"/>
    <w:rsid w:val="00475AAF"/>
    <w:rsid w:val="004803D1"/>
    <w:rsid w:val="00521F54"/>
    <w:rsid w:val="005403F4"/>
    <w:rsid w:val="005F5D28"/>
    <w:rsid w:val="0060704F"/>
    <w:rsid w:val="00683744"/>
    <w:rsid w:val="006F3807"/>
    <w:rsid w:val="0070464D"/>
    <w:rsid w:val="0073388B"/>
    <w:rsid w:val="00763C55"/>
    <w:rsid w:val="008017CD"/>
    <w:rsid w:val="00846224"/>
    <w:rsid w:val="0087434F"/>
    <w:rsid w:val="008925C2"/>
    <w:rsid w:val="008932BA"/>
    <w:rsid w:val="008C0AEB"/>
    <w:rsid w:val="008E2528"/>
    <w:rsid w:val="008E7BC6"/>
    <w:rsid w:val="008F2E1F"/>
    <w:rsid w:val="009101B9"/>
    <w:rsid w:val="009913A2"/>
    <w:rsid w:val="009A5F1B"/>
    <w:rsid w:val="00A0385D"/>
    <w:rsid w:val="00A04B99"/>
    <w:rsid w:val="00A127EF"/>
    <w:rsid w:val="00A148C2"/>
    <w:rsid w:val="00A40CC8"/>
    <w:rsid w:val="00A44743"/>
    <w:rsid w:val="00A60C88"/>
    <w:rsid w:val="00A77CD2"/>
    <w:rsid w:val="00A805B8"/>
    <w:rsid w:val="00AA1CFE"/>
    <w:rsid w:val="00AC4A27"/>
    <w:rsid w:val="00B0103F"/>
    <w:rsid w:val="00B232C0"/>
    <w:rsid w:val="00B44AD0"/>
    <w:rsid w:val="00B45044"/>
    <w:rsid w:val="00B850C0"/>
    <w:rsid w:val="00BF6AEE"/>
    <w:rsid w:val="00C04AFA"/>
    <w:rsid w:val="00C14019"/>
    <w:rsid w:val="00C352E0"/>
    <w:rsid w:val="00C40665"/>
    <w:rsid w:val="00C71924"/>
    <w:rsid w:val="00C81D3E"/>
    <w:rsid w:val="00C86F61"/>
    <w:rsid w:val="00CA6DA2"/>
    <w:rsid w:val="00D33934"/>
    <w:rsid w:val="00D64496"/>
    <w:rsid w:val="00D8315B"/>
    <w:rsid w:val="00DA50D6"/>
    <w:rsid w:val="00E847D7"/>
    <w:rsid w:val="00EB5437"/>
    <w:rsid w:val="00ED7468"/>
    <w:rsid w:val="00F01B28"/>
    <w:rsid w:val="00F23090"/>
    <w:rsid w:val="00F315EB"/>
    <w:rsid w:val="00F86FF2"/>
    <w:rsid w:val="00FD45A9"/>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71F7C0C-24A8-4C8E-89C1-4E4D92BF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492;&#1502;&#1513;&#1496;&#1512;&#1492;%20(&#1491;&#1497;&#1503;%20&#1502;&#1513;&#1502;&#1506;&#1514;&#1497;&amp;pIzcurNum=2" TargetMode="External"/><Relationship Id="rId13" Type="http://schemas.openxmlformats.org/officeDocument/2006/relationships/hyperlink" Target="http://www.nevo.co.il/links/psika/?pIzcurLaw=&#1514;&#1511;&#1504;&#1493;&#1514;%20&#1492;&#1502;&#1513;&#1496;&#1512;&#1492;%20(&#1491;&#1497;&#1503;%20&#1502;&#1513;&#1502;&#1506;&#1514;&#1497;&amp;pIzcurNum=7"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inks/psika/?pIzcurLaw=&#1514;&#1511;&#1504;&#1493;&#1514;%20&#1492;&#1502;&#1513;&#1496;&#1512;&#1492;%20(&#1491;&#1497;&#1503;%20&#1502;&#1513;&#1502;&#1506;&#1514;&#1497;&amp;pIzcurNum=1" TargetMode="External"/><Relationship Id="rId12" Type="http://schemas.openxmlformats.org/officeDocument/2006/relationships/hyperlink" Target="http://www.nevo.co.il/links/psika/?pIzcurLaw=&#1514;&#1511;&#1504;&#1493;&#1514;%20&#1492;&#1502;&#1513;&#1496;&#1512;&#1492;%20(&#1491;&#1497;&#1503;%20&#1502;&#1513;&#1502;&#1506;&#1514;&#1497;&amp;pIzcurNum=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514;&#1511;&#1504;&#1493;&#1514;%20&#1492;&#1502;&#1513;&#1496;&#1512;&#1492;%20(&#1491;&#1497;&#1503;%20&#1502;&#1513;&#1502;&#1506;&#1514;&#1497;&amp;pIzcurNum=5" TargetMode="External"/><Relationship Id="rId5" Type="http://schemas.openxmlformats.org/officeDocument/2006/relationships/footnotes" Target="footnotes.xml"/><Relationship Id="rId15" Type="http://schemas.openxmlformats.org/officeDocument/2006/relationships/hyperlink" Target="http://www.nevo.co.il/links/psika/?pIzcurLaw=&#1514;&#1511;&#1504;&#1493;&#1514;%20&#1492;&#1502;&#1513;&#1496;&#1512;&#1492;%20(&#1491;&#1497;&#1503;%20&#1502;&#1513;&#1502;&#1506;&#1514;&#1497;&amp;pIzcurNum=9" TargetMode="External"/><Relationship Id="rId10" Type="http://schemas.openxmlformats.org/officeDocument/2006/relationships/hyperlink" Target="http://www.nevo.co.il/links/psika/?pIzcurLaw=&#1514;&#1511;&#1504;&#1493;&#1514;%20&#1492;&#1502;&#1513;&#1496;&#1512;&#1492;%20(&#1491;&#1497;&#1503;%20&#1502;&#1513;&#1502;&#1506;&#1514;&#1497;&amp;pIzcurNum=4"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inks/psika/?pIzcurLaw=&#1514;&#1511;&#1504;&#1493;&#1514;%20&#1492;&#1502;&#1513;&#1496;&#1512;&#1492;%20(&#1491;&#1497;&#1503;%20&#1502;&#1513;&#1502;&#1506;&#1514;&#1497;&amp;pIzcurNum=3" TargetMode="External"/><Relationship Id="rId14" Type="http://schemas.openxmlformats.org/officeDocument/2006/relationships/hyperlink" Target="http://www.nevo.co.il/links/psika/?pIzcurLaw=&#1514;&#1511;&#1504;&#1493;&#1514;%20&#1492;&#1502;&#1513;&#1496;&#1512;&#1492;%20(&#1491;&#1497;&#1503;%20&#1502;&#1513;&#1502;&#1506;&#1514;&#1497;&amp;pIzcurNum=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5226</CharactersWithSpaces>
  <SharedDoc>false</SharedDoc>
  <HLinks>
    <vt:vector size="114" baseType="variant">
      <vt:variant>
        <vt:i4>95356374</vt:i4>
      </vt:variant>
      <vt:variant>
        <vt:i4>78</vt:i4>
      </vt:variant>
      <vt:variant>
        <vt:i4>0</vt:i4>
      </vt:variant>
      <vt:variant>
        <vt:i4>5</vt:i4>
      </vt:variant>
      <vt:variant>
        <vt:lpwstr>http://www.nevo.co.il/links/psika/?pIzcurLaw=תקנות המשטרה (דין משמעתי&amp;pIzcurNum=9</vt:lpwstr>
      </vt:variant>
      <vt:variant>
        <vt:lpwstr/>
      </vt:variant>
      <vt:variant>
        <vt:i4>95356374</vt:i4>
      </vt:variant>
      <vt:variant>
        <vt:i4>75</vt:i4>
      </vt:variant>
      <vt:variant>
        <vt:i4>0</vt:i4>
      </vt:variant>
      <vt:variant>
        <vt:i4>5</vt:i4>
      </vt:variant>
      <vt:variant>
        <vt:lpwstr>http://www.nevo.co.il/links/psika/?pIzcurLaw=תקנות המשטרה (דין משמעתי&amp;pIzcurNum=8</vt:lpwstr>
      </vt:variant>
      <vt:variant>
        <vt:lpwstr/>
      </vt:variant>
      <vt:variant>
        <vt:i4>95356374</vt:i4>
      </vt:variant>
      <vt:variant>
        <vt:i4>72</vt:i4>
      </vt:variant>
      <vt:variant>
        <vt:i4>0</vt:i4>
      </vt:variant>
      <vt:variant>
        <vt:i4>5</vt:i4>
      </vt:variant>
      <vt:variant>
        <vt:lpwstr>http://www.nevo.co.il/links/psika/?pIzcurLaw=תקנות המשטרה (דין משמעתי&amp;pIzcurNum=7</vt:lpwstr>
      </vt:variant>
      <vt:variant>
        <vt:lpwstr/>
      </vt:variant>
      <vt:variant>
        <vt:i4>95356374</vt:i4>
      </vt:variant>
      <vt:variant>
        <vt:i4>69</vt:i4>
      </vt:variant>
      <vt:variant>
        <vt:i4>0</vt:i4>
      </vt:variant>
      <vt:variant>
        <vt:i4>5</vt:i4>
      </vt:variant>
      <vt:variant>
        <vt:lpwstr>http://www.nevo.co.il/links/psika/?pIzcurLaw=תקנות המשטרה (דין משמעתי&amp;pIzcurNum=6</vt:lpwstr>
      </vt:variant>
      <vt:variant>
        <vt:lpwstr/>
      </vt:variant>
      <vt:variant>
        <vt:i4>95356374</vt:i4>
      </vt:variant>
      <vt:variant>
        <vt:i4>66</vt:i4>
      </vt:variant>
      <vt:variant>
        <vt:i4>0</vt:i4>
      </vt:variant>
      <vt:variant>
        <vt:i4>5</vt:i4>
      </vt:variant>
      <vt:variant>
        <vt:lpwstr>http://www.nevo.co.il/links/psika/?pIzcurLaw=תקנות המשטרה (דין משמעתי&amp;pIzcurNum=5</vt:lpwstr>
      </vt:variant>
      <vt:variant>
        <vt:lpwstr/>
      </vt:variant>
      <vt:variant>
        <vt:i4>95356374</vt:i4>
      </vt:variant>
      <vt:variant>
        <vt:i4>63</vt:i4>
      </vt:variant>
      <vt:variant>
        <vt:i4>0</vt:i4>
      </vt:variant>
      <vt:variant>
        <vt:i4>5</vt:i4>
      </vt:variant>
      <vt:variant>
        <vt:lpwstr>http://www.nevo.co.il/links/psika/?pIzcurLaw=תקנות המשטרה (דין משמעתי&amp;pIzcurNum=4</vt:lpwstr>
      </vt:variant>
      <vt:variant>
        <vt:lpwstr/>
      </vt:variant>
      <vt:variant>
        <vt:i4>95356374</vt:i4>
      </vt:variant>
      <vt:variant>
        <vt:i4>60</vt:i4>
      </vt:variant>
      <vt:variant>
        <vt:i4>0</vt:i4>
      </vt:variant>
      <vt:variant>
        <vt:i4>5</vt:i4>
      </vt:variant>
      <vt:variant>
        <vt:lpwstr>http://www.nevo.co.il/links/psika/?pIzcurLaw=תקנות המשטרה (דין משמעתי&amp;pIzcurNum=3</vt:lpwstr>
      </vt:variant>
      <vt:variant>
        <vt:lpwstr/>
      </vt:variant>
      <vt:variant>
        <vt:i4>95356374</vt:i4>
      </vt:variant>
      <vt:variant>
        <vt:i4>57</vt:i4>
      </vt:variant>
      <vt:variant>
        <vt:i4>0</vt:i4>
      </vt:variant>
      <vt:variant>
        <vt:i4>5</vt:i4>
      </vt:variant>
      <vt:variant>
        <vt:lpwstr>http://www.nevo.co.il/links/psika/?pIzcurLaw=תקנות המשטרה (דין משמעתי&amp;pIzcurNum=2</vt:lpwstr>
      </vt:variant>
      <vt:variant>
        <vt:lpwstr/>
      </vt:variant>
      <vt:variant>
        <vt:i4>95356374</vt:i4>
      </vt:variant>
      <vt:variant>
        <vt:i4>54</vt:i4>
      </vt:variant>
      <vt:variant>
        <vt:i4>0</vt:i4>
      </vt:variant>
      <vt:variant>
        <vt:i4>5</vt:i4>
      </vt:variant>
      <vt:variant>
        <vt:lpwstr>http://www.nevo.co.il/links/psika/?pIzcurLaw=תקנות המשטרה (דין משמעתי&amp;pIzcurNum=1</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0</vt:i4>
      </vt:variant>
      <vt:variant>
        <vt:i4>0</vt:i4>
      </vt:variant>
      <vt:variant>
        <vt:i4>5</vt:i4>
      </vt:variant>
      <vt:variant>
        <vt:lpwstr>http://www.nevo.co.il/Law_word/law06/TAK-6680.pdf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המשטרה (דין משמעתי, בירור קבילות שוטרים והוראות שונות) (סדרי דין בוועדת ערר), תשס"ח-2008</vt:lpwstr>
  </property>
  <property fmtid="{D5CDD505-2E9C-101B-9397-08002B2CF9AE}" pid="4" name="LAWNUMBER">
    <vt:lpwstr>0961</vt:lpwstr>
  </property>
  <property fmtid="{D5CDD505-2E9C-101B-9397-08002B2CF9AE}" pid="5" name="TYPE">
    <vt:lpwstr>01</vt:lpwstr>
  </property>
  <property fmtid="{D5CDD505-2E9C-101B-9397-08002B2CF9AE}" pid="6" name="CHNAME">
    <vt:lpwstr>משטרה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http://www.nevo.co.il/Law_word/law06/TAK-6680.pdf;‎רשומות - תקנות כלליות#פורסמו ק"ת ‏תשס"ח מס' 6680 #מיום 15.6.2008 עמ' 999‏</vt:lpwstr>
  </property>
  <property fmtid="{D5CDD505-2E9C-101B-9397-08002B2CF9AE}" pid="22" name="NOSE11">
    <vt:lpwstr>בטחון</vt:lpwstr>
  </property>
  <property fmtid="{D5CDD505-2E9C-101B-9397-08002B2CF9AE}" pid="23" name="NOSE21">
    <vt:lpwstr>משטרה</vt:lpwstr>
  </property>
  <property fmtid="{D5CDD505-2E9C-101B-9397-08002B2CF9AE}" pid="24" name="NOSE31">
    <vt:lpwstr>דין משמעתי וקבילות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המשטרה (דין משמעתי‏, בירור קבילות שוטרים והוראות שונות)‏</vt:lpwstr>
  </property>
  <property fmtid="{D5CDD505-2E9C-101B-9397-08002B2CF9AE}" pid="63" name="MEKOR_SAIF1">
    <vt:lpwstr>102הX</vt:lpwstr>
  </property>
</Properties>
</file>