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3C8" w:rsidRDefault="000603C8" w:rsidP="000B62CD">
      <w:pPr>
        <w:pStyle w:val="big-header"/>
        <w:ind w:left="0" w:right="1134"/>
        <w:rPr>
          <w:rFonts w:cs="FrankRuehl" w:hint="cs"/>
          <w:sz w:val="32"/>
          <w:rtl/>
        </w:rPr>
      </w:pPr>
      <w:r>
        <w:rPr>
          <w:rFonts w:cs="FrankRuehl"/>
          <w:sz w:val="32"/>
          <w:rtl/>
        </w:rPr>
        <w:t>תקנות המתווכים במקרקעין (</w:t>
      </w:r>
      <w:r w:rsidR="000B62CD">
        <w:rPr>
          <w:rFonts w:cs="FrankRuehl" w:hint="cs"/>
          <w:sz w:val="32"/>
          <w:rtl/>
        </w:rPr>
        <w:t>סדרי דין בדיון לפני ועדת המשמעת ובערעור לבית משפט), תשע"ד-2014</w:t>
      </w:r>
    </w:p>
    <w:p w:rsidR="000541E7" w:rsidRDefault="000541E7" w:rsidP="000541E7">
      <w:pPr>
        <w:spacing w:line="320" w:lineRule="auto"/>
        <w:jc w:val="left"/>
        <w:rPr>
          <w:rFonts w:hint="cs"/>
          <w:rtl/>
        </w:rPr>
      </w:pPr>
    </w:p>
    <w:p w:rsidR="00E00BF4" w:rsidRDefault="00E00BF4" w:rsidP="000541E7">
      <w:pPr>
        <w:spacing w:line="320" w:lineRule="auto"/>
        <w:jc w:val="left"/>
        <w:rPr>
          <w:rFonts w:hint="cs"/>
          <w:rtl/>
        </w:rPr>
      </w:pPr>
    </w:p>
    <w:p w:rsidR="000541E7" w:rsidRDefault="000541E7" w:rsidP="000541E7">
      <w:pPr>
        <w:spacing w:line="320" w:lineRule="auto"/>
        <w:jc w:val="left"/>
        <w:rPr>
          <w:rFonts w:cs="FrankRuehl"/>
          <w:szCs w:val="26"/>
          <w:rtl/>
        </w:rPr>
      </w:pPr>
      <w:r w:rsidRPr="000541E7">
        <w:rPr>
          <w:rFonts w:cs="Miriam"/>
          <w:szCs w:val="22"/>
          <w:rtl/>
        </w:rPr>
        <w:t>משפט פרטי וכלכלה</w:t>
      </w:r>
      <w:r w:rsidRPr="000541E7">
        <w:rPr>
          <w:rFonts w:cs="FrankRuehl"/>
          <w:szCs w:val="26"/>
          <w:rtl/>
        </w:rPr>
        <w:t xml:space="preserve"> – הסדרת עיסוק – מתווכים במקרקעין</w:t>
      </w:r>
    </w:p>
    <w:p w:rsidR="000541E7" w:rsidRPr="000541E7" w:rsidRDefault="000541E7" w:rsidP="000541E7">
      <w:pPr>
        <w:spacing w:line="320" w:lineRule="auto"/>
        <w:jc w:val="left"/>
        <w:rPr>
          <w:rFonts w:cs="Miriam"/>
          <w:szCs w:val="22"/>
          <w:rtl/>
        </w:rPr>
      </w:pPr>
      <w:r w:rsidRPr="000541E7">
        <w:rPr>
          <w:rFonts w:cs="Miriam"/>
          <w:szCs w:val="22"/>
          <w:rtl/>
        </w:rPr>
        <w:t>רשויות ומשפט מנהלי</w:t>
      </w:r>
      <w:r w:rsidRPr="000541E7">
        <w:rPr>
          <w:rFonts w:cs="FrankRuehl"/>
          <w:szCs w:val="26"/>
          <w:rtl/>
        </w:rPr>
        <w:t xml:space="preserve"> – הסדרת עיסוק – מתווכים במקרקעין</w:t>
      </w:r>
    </w:p>
    <w:p w:rsidR="000603C8" w:rsidRDefault="000603C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פרק ראשון: הליכים לפני הדיון</w:t>
            </w:r>
          </w:p>
        </w:tc>
        <w:tc>
          <w:tcPr>
            <w:tcW w:w="567" w:type="dxa"/>
          </w:tcPr>
          <w:p w:rsidR="00FD0A78" w:rsidRPr="00FD0A78" w:rsidRDefault="00FD0A78" w:rsidP="00FD0A78">
            <w:pPr>
              <w:spacing w:line="240" w:lineRule="auto"/>
              <w:jc w:val="left"/>
              <w:rPr>
                <w:rStyle w:val="Hyperlink"/>
                <w:rtl/>
              </w:rPr>
            </w:pPr>
            <w:hyperlink w:anchor="med0" w:tooltip="פרק ראשון: הליכים לפני הדיו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סימן א': קובלנה</w:t>
            </w:r>
          </w:p>
        </w:tc>
        <w:tc>
          <w:tcPr>
            <w:tcW w:w="567" w:type="dxa"/>
          </w:tcPr>
          <w:p w:rsidR="00FD0A78" w:rsidRPr="00FD0A78" w:rsidRDefault="00FD0A78" w:rsidP="00FD0A78">
            <w:pPr>
              <w:spacing w:line="240" w:lineRule="auto"/>
              <w:jc w:val="left"/>
              <w:rPr>
                <w:rStyle w:val="Hyperlink"/>
                <w:rtl/>
              </w:rPr>
            </w:pPr>
            <w:hyperlink w:anchor="hed20" w:tooltip="סימן א: קובלנ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 </w:t>
            </w:r>
          </w:p>
        </w:tc>
        <w:tc>
          <w:tcPr>
            <w:tcW w:w="5669" w:type="dxa"/>
          </w:tcPr>
          <w:p w:rsidR="00FD0A78" w:rsidRPr="00FD0A78" w:rsidRDefault="00FD0A78" w:rsidP="00FD0A78">
            <w:pPr>
              <w:spacing w:line="240" w:lineRule="auto"/>
              <w:jc w:val="left"/>
              <w:rPr>
                <w:rFonts w:cs="Frankruhel"/>
                <w:sz w:val="24"/>
                <w:rtl/>
              </w:rPr>
            </w:pPr>
            <w:r>
              <w:rPr>
                <w:sz w:val="24"/>
                <w:rtl/>
              </w:rPr>
              <w:t>הגדרות</w:t>
            </w:r>
          </w:p>
        </w:tc>
        <w:tc>
          <w:tcPr>
            <w:tcW w:w="567" w:type="dxa"/>
          </w:tcPr>
          <w:p w:rsidR="00FD0A78" w:rsidRPr="00FD0A78" w:rsidRDefault="00FD0A78" w:rsidP="00FD0A78">
            <w:pPr>
              <w:spacing w:line="240" w:lineRule="auto"/>
              <w:jc w:val="left"/>
              <w:rPr>
                <w:rStyle w:val="Hyperlink"/>
                <w:rtl/>
              </w:rPr>
            </w:pPr>
            <w:hyperlink w:anchor="Seif1" w:tooltip="הגדרו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 </w:t>
            </w:r>
          </w:p>
        </w:tc>
        <w:tc>
          <w:tcPr>
            <w:tcW w:w="5669" w:type="dxa"/>
          </w:tcPr>
          <w:p w:rsidR="00FD0A78" w:rsidRPr="00FD0A78" w:rsidRDefault="00FD0A78" w:rsidP="00FD0A78">
            <w:pPr>
              <w:spacing w:line="240" w:lineRule="auto"/>
              <w:jc w:val="left"/>
              <w:rPr>
                <w:rFonts w:cs="Frankruhel"/>
                <w:sz w:val="24"/>
                <w:rtl/>
              </w:rPr>
            </w:pPr>
            <w:r>
              <w:rPr>
                <w:sz w:val="24"/>
                <w:rtl/>
              </w:rPr>
              <w:t>הגשת קובלנה</w:t>
            </w:r>
          </w:p>
        </w:tc>
        <w:tc>
          <w:tcPr>
            <w:tcW w:w="567" w:type="dxa"/>
          </w:tcPr>
          <w:p w:rsidR="00FD0A78" w:rsidRPr="00FD0A78" w:rsidRDefault="00FD0A78" w:rsidP="00FD0A78">
            <w:pPr>
              <w:spacing w:line="240" w:lineRule="auto"/>
              <w:jc w:val="left"/>
              <w:rPr>
                <w:rStyle w:val="Hyperlink"/>
                <w:rtl/>
              </w:rPr>
            </w:pPr>
            <w:hyperlink w:anchor="Seif2" w:tooltip="הגשת קובלנ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3 </w:t>
            </w:r>
          </w:p>
        </w:tc>
        <w:tc>
          <w:tcPr>
            <w:tcW w:w="5669" w:type="dxa"/>
          </w:tcPr>
          <w:p w:rsidR="00FD0A78" w:rsidRPr="00FD0A78" w:rsidRDefault="00FD0A78" w:rsidP="00FD0A78">
            <w:pPr>
              <w:spacing w:line="240" w:lineRule="auto"/>
              <w:jc w:val="left"/>
              <w:rPr>
                <w:rFonts w:cs="Frankruhel"/>
                <w:sz w:val="24"/>
                <w:rtl/>
              </w:rPr>
            </w:pPr>
            <w:r>
              <w:rPr>
                <w:sz w:val="24"/>
                <w:rtl/>
              </w:rPr>
              <w:t>פרטי הקובלנה</w:t>
            </w:r>
          </w:p>
        </w:tc>
        <w:tc>
          <w:tcPr>
            <w:tcW w:w="567" w:type="dxa"/>
          </w:tcPr>
          <w:p w:rsidR="00FD0A78" w:rsidRPr="00FD0A78" w:rsidRDefault="00FD0A78" w:rsidP="00FD0A78">
            <w:pPr>
              <w:spacing w:line="240" w:lineRule="auto"/>
              <w:jc w:val="left"/>
              <w:rPr>
                <w:rStyle w:val="Hyperlink"/>
                <w:rtl/>
              </w:rPr>
            </w:pPr>
            <w:hyperlink w:anchor="Seif3" w:tooltip="פרטי הקובלנ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4 </w:t>
            </w:r>
          </w:p>
        </w:tc>
        <w:tc>
          <w:tcPr>
            <w:tcW w:w="5669" w:type="dxa"/>
          </w:tcPr>
          <w:p w:rsidR="00FD0A78" w:rsidRPr="00FD0A78" w:rsidRDefault="00FD0A78" w:rsidP="00FD0A78">
            <w:pPr>
              <w:spacing w:line="240" w:lineRule="auto"/>
              <w:jc w:val="left"/>
              <w:rPr>
                <w:rFonts w:cs="Frankruhel"/>
                <w:sz w:val="24"/>
                <w:rtl/>
              </w:rPr>
            </w:pPr>
            <w:r>
              <w:rPr>
                <w:sz w:val="24"/>
                <w:rtl/>
              </w:rPr>
              <w:t>צירוף אישומים</w:t>
            </w:r>
          </w:p>
        </w:tc>
        <w:tc>
          <w:tcPr>
            <w:tcW w:w="567" w:type="dxa"/>
          </w:tcPr>
          <w:p w:rsidR="00FD0A78" w:rsidRPr="00FD0A78" w:rsidRDefault="00FD0A78" w:rsidP="00FD0A78">
            <w:pPr>
              <w:spacing w:line="240" w:lineRule="auto"/>
              <w:jc w:val="left"/>
              <w:rPr>
                <w:rStyle w:val="Hyperlink"/>
                <w:rtl/>
              </w:rPr>
            </w:pPr>
            <w:hyperlink w:anchor="Seif4" w:tooltip="צירוף אישומים"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5 </w:t>
            </w:r>
          </w:p>
        </w:tc>
        <w:tc>
          <w:tcPr>
            <w:tcW w:w="5669" w:type="dxa"/>
          </w:tcPr>
          <w:p w:rsidR="00FD0A78" w:rsidRPr="00FD0A78" w:rsidRDefault="00FD0A78" w:rsidP="00FD0A78">
            <w:pPr>
              <w:spacing w:line="240" w:lineRule="auto"/>
              <w:jc w:val="left"/>
              <w:rPr>
                <w:rFonts w:cs="Frankruhel"/>
                <w:sz w:val="24"/>
                <w:rtl/>
              </w:rPr>
            </w:pPr>
            <w:r>
              <w:rPr>
                <w:sz w:val="24"/>
                <w:rtl/>
              </w:rPr>
              <w:t>צירוף נקבלים</w:t>
            </w:r>
          </w:p>
        </w:tc>
        <w:tc>
          <w:tcPr>
            <w:tcW w:w="567" w:type="dxa"/>
          </w:tcPr>
          <w:p w:rsidR="00FD0A78" w:rsidRPr="00FD0A78" w:rsidRDefault="00FD0A78" w:rsidP="00FD0A78">
            <w:pPr>
              <w:spacing w:line="240" w:lineRule="auto"/>
              <w:jc w:val="left"/>
              <w:rPr>
                <w:rStyle w:val="Hyperlink"/>
                <w:rtl/>
              </w:rPr>
            </w:pPr>
            <w:hyperlink w:anchor="Seif5" w:tooltip="צירוף נקבלים"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6 </w:t>
            </w:r>
          </w:p>
        </w:tc>
        <w:tc>
          <w:tcPr>
            <w:tcW w:w="5669" w:type="dxa"/>
          </w:tcPr>
          <w:p w:rsidR="00FD0A78" w:rsidRPr="00FD0A78" w:rsidRDefault="00FD0A78" w:rsidP="00FD0A78">
            <w:pPr>
              <w:spacing w:line="240" w:lineRule="auto"/>
              <w:jc w:val="left"/>
              <w:rPr>
                <w:rFonts w:cs="Frankruhel"/>
                <w:sz w:val="24"/>
                <w:rtl/>
              </w:rPr>
            </w:pPr>
            <w:r>
              <w:rPr>
                <w:sz w:val="24"/>
                <w:rtl/>
              </w:rPr>
              <w:t>הפרדת הדיון</w:t>
            </w:r>
          </w:p>
        </w:tc>
        <w:tc>
          <w:tcPr>
            <w:tcW w:w="567" w:type="dxa"/>
          </w:tcPr>
          <w:p w:rsidR="00FD0A78" w:rsidRPr="00FD0A78" w:rsidRDefault="00FD0A78" w:rsidP="00FD0A78">
            <w:pPr>
              <w:spacing w:line="240" w:lineRule="auto"/>
              <w:jc w:val="left"/>
              <w:rPr>
                <w:rStyle w:val="Hyperlink"/>
                <w:rtl/>
              </w:rPr>
            </w:pPr>
            <w:hyperlink w:anchor="Seif6" w:tooltip="הפרדת הדיו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7 </w:t>
            </w:r>
          </w:p>
        </w:tc>
        <w:tc>
          <w:tcPr>
            <w:tcW w:w="5669" w:type="dxa"/>
          </w:tcPr>
          <w:p w:rsidR="00FD0A78" w:rsidRPr="00FD0A78" w:rsidRDefault="00FD0A78" w:rsidP="00FD0A78">
            <w:pPr>
              <w:spacing w:line="240" w:lineRule="auto"/>
              <w:jc w:val="left"/>
              <w:rPr>
                <w:rFonts w:cs="Frankruhel"/>
                <w:sz w:val="24"/>
                <w:rtl/>
              </w:rPr>
            </w:pPr>
            <w:r>
              <w:rPr>
                <w:sz w:val="24"/>
                <w:rtl/>
              </w:rPr>
              <w:t>חזרה מקובלנה או תיקונה</w:t>
            </w:r>
          </w:p>
        </w:tc>
        <w:tc>
          <w:tcPr>
            <w:tcW w:w="567" w:type="dxa"/>
          </w:tcPr>
          <w:p w:rsidR="00FD0A78" w:rsidRPr="00FD0A78" w:rsidRDefault="00FD0A78" w:rsidP="00FD0A78">
            <w:pPr>
              <w:spacing w:line="240" w:lineRule="auto"/>
              <w:jc w:val="left"/>
              <w:rPr>
                <w:rStyle w:val="Hyperlink"/>
                <w:rtl/>
              </w:rPr>
            </w:pPr>
            <w:hyperlink w:anchor="Seif7" w:tooltip="חזרה מקובלנה או תיקונ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סימן ב': הזמנת בעלי הדין והעדים</w:t>
            </w:r>
          </w:p>
        </w:tc>
        <w:tc>
          <w:tcPr>
            <w:tcW w:w="567" w:type="dxa"/>
          </w:tcPr>
          <w:p w:rsidR="00FD0A78" w:rsidRPr="00FD0A78" w:rsidRDefault="00FD0A78" w:rsidP="00FD0A78">
            <w:pPr>
              <w:spacing w:line="240" w:lineRule="auto"/>
              <w:jc w:val="left"/>
              <w:rPr>
                <w:rStyle w:val="Hyperlink"/>
                <w:rtl/>
              </w:rPr>
            </w:pPr>
            <w:hyperlink w:anchor="hed21" w:tooltip="סימן ב: הזמנת בעלי הדין והעדים"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8 </w:t>
            </w:r>
          </w:p>
        </w:tc>
        <w:tc>
          <w:tcPr>
            <w:tcW w:w="5669" w:type="dxa"/>
          </w:tcPr>
          <w:p w:rsidR="00FD0A78" w:rsidRPr="00FD0A78" w:rsidRDefault="00FD0A78" w:rsidP="00FD0A78">
            <w:pPr>
              <w:spacing w:line="240" w:lineRule="auto"/>
              <w:jc w:val="left"/>
              <w:rPr>
                <w:rFonts w:cs="Frankruhel"/>
                <w:sz w:val="24"/>
                <w:rtl/>
              </w:rPr>
            </w:pPr>
            <w:r>
              <w:rPr>
                <w:sz w:val="24"/>
                <w:rtl/>
              </w:rPr>
              <w:t>הזמנה לדיון</w:t>
            </w:r>
          </w:p>
        </w:tc>
        <w:tc>
          <w:tcPr>
            <w:tcW w:w="567" w:type="dxa"/>
          </w:tcPr>
          <w:p w:rsidR="00FD0A78" w:rsidRPr="00FD0A78" w:rsidRDefault="00FD0A78" w:rsidP="00FD0A78">
            <w:pPr>
              <w:spacing w:line="240" w:lineRule="auto"/>
              <w:jc w:val="left"/>
              <w:rPr>
                <w:rStyle w:val="Hyperlink"/>
                <w:rtl/>
              </w:rPr>
            </w:pPr>
            <w:hyperlink w:anchor="Seif8" w:tooltip="הזמנה לדיו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9 </w:t>
            </w:r>
          </w:p>
        </w:tc>
        <w:tc>
          <w:tcPr>
            <w:tcW w:w="5669" w:type="dxa"/>
          </w:tcPr>
          <w:p w:rsidR="00FD0A78" w:rsidRPr="00FD0A78" w:rsidRDefault="00FD0A78" w:rsidP="00FD0A78">
            <w:pPr>
              <w:spacing w:line="240" w:lineRule="auto"/>
              <w:jc w:val="left"/>
              <w:rPr>
                <w:rFonts w:cs="Frankruhel"/>
                <w:sz w:val="24"/>
                <w:rtl/>
              </w:rPr>
            </w:pPr>
            <w:r>
              <w:rPr>
                <w:sz w:val="24"/>
                <w:rtl/>
              </w:rPr>
              <w:t>הזמנת עדים</w:t>
            </w:r>
          </w:p>
        </w:tc>
        <w:tc>
          <w:tcPr>
            <w:tcW w:w="567" w:type="dxa"/>
          </w:tcPr>
          <w:p w:rsidR="00FD0A78" w:rsidRPr="00FD0A78" w:rsidRDefault="00FD0A78" w:rsidP="00FD0A78">
            <w:pPr>
              <w:spacing w:line="240" w:lineRule="auto"/>
              <w:jc w:val="left"/>
              <w:rPr>
                <w:rStyle w:val="Hyperlink"/>
                <w:rtl/>
              </w:rPr>
            </w:pPr>
            <w:hyperlink w:anchor="Seif9" w:tooltip="הזמנת עדים"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10 </w:t>
            </w:r>
          </w:p>
        </w:tc>
        <w:tc>
          <w:tcPr>
            <w:tcW w:w="5669" w:type="dxa"/>
          </w:tcPr>
          <w:p w:rsidR="00FD0A78" w:rsidRPr="00FD0A78" w:rsidRDefault="00FD0A78" w:rsidP="00FD0A78">
            <w:pPr>
              <w:spacing w:line="240" w:lineRule="auto"/>
              <w:jc w:val="left"/>
              <w:rPr>
                <w:rFonts w:cs="Frankruhel"/>
                <w:sz w:val="24"/>
                <w:rtl/>
              </w:rPr>
            </w:pPr>
            <w:r>
              <w:rPr>
                <w:sz w:val="24"/>
                <w:rtl/>
              </w:rPr>
              <w:t>צורת ההזמנה ותוכנה</w:t>
            </w:r>
          </w:p>
        </w:tc>
        <w:tc>
          <w:tcPr>
            <w:tcW w:w="567" w:type="dxa"/>
          </w:tcPr>
          <w:p w:rsidR="00FD0A78" w:rsidRPr="00FD0A78" w:rsidRDefault="00FD0A78" w:rsidP="00FD0A78">
            <w:pPr>
              <w:spacing w:line="240" w:lineRule="auto"/>
              <w:jc w:val="left"/>
              <w:rPr>
                <w:rStyle w:val="Hyperlink"/>
                <w:rtl/>
              </w:rPr>
            </w:pPr>
            <w:hyperlink w:anchor="Seif10" w:tooltip="צורת ההזמנה ותוכנ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פרק שני: הליכי הדיון לפני ועדת המשמעת</w:t>
            </w:r>
          </w:p>
        </w:tc>
        <w:tc>
          <w:tcPr>
            <w:tcW w:w="567" w:type="dxa"/>
          </w:tcPr>
          <w:p w:rsidR="00FD0A78" w:rsidRPr="00FD0A78" w:rsidRDefault="00FD0A78" w:rsidP="00FD0A78">
            <w:pPr>
              <w:spacing w:line="240" w:lineRule="auto"/>
              <w:jc w:val="left"/>
              <w:rPr>
                <w:rStyle w:val="Hyperlink"/>
                <w:rtl/>
              </w:rPr>
            </w:pPr>
            <w:hyperlink w:anchor="med1" w:tooltip="פרק שני: הליכי הדיון לפני ועדת המשמע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סימן א': ניהול הדיון</w:t>
            </w:r>
          </w:p>
        </w:tc>
        <w:tc>
          <w:tcPr>
            <w:tcW w:w="567" w:type="dxa"/>
          </w:tcPr>
          <w:p w:rsidR="00FD0A78" w:rsidRPr="00FD0A78" w:rsidRDefault="00FD0A78" w:rsidP="00FD0A78">
            <w:pPr>
              <w:spacing w:line="240" w:lineRule="auto"/>
              <w:jc w:val="left"/>
              <w:rPr>
                <w:rStyle w:val="Hyperlink"/>
                <w:rtl/>
              </w:rPr>
            </w:pPr>
            <w:hyperlink w:anchor="hed22" w:tooltip="סימן א: ניהול הדיו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11 </w:t>
            </w:r>
          </w:p>
        </w:tc>
        <w:tc>
          <w:tcPr>
            <w:tcW w:w="5669" w:type="dxa"/>
          </w:tcPr>
          <w:p w:rsidR="00FD0A78" w:rsidRPr="00FD0A78" w:rsidRDefault="00FD0A78" w:rsidP="00FD0A78">
            <w:pPr>
              <w:spacing w:line="240" w:lineRule="auto"/>
              <w:jc w:val="left"/>
              <w:rPr>
                <w:rFonts w:cs="Frankruhel"/>
                <w:sz w:val="24"/>
                <w:rtl/>
              </w:rPr>
            </w:pPr>
            <w:r>
              <w:rPr>
                <w:sz w:val="24"/>
                <w:rtl/>
              </w:rPr>
              <w:t>ניהול הדיון</w:t>
            </w:r>
          </w:p>
        </w:tc>
        <w:tc>
          <w:tcPr>
            <w:tcW w:w="567" w:type="dxa"/>
          </w:tcPr>
          <w:p w:rsidR="00FD0A78" w:rsidRPr="00FD0A78" w:rsidRDefault="00FD0A78" w:rsidP="00FD0A78">
            <w:pPr>
              <w:spacing w:line="240" w:lineRule="auto"/>
              <w:jc w:val="left"/>
              <w:rPr>
                <w:rStyle w:val="Hyperlink"/>
                <w:rtl/>
              </w:rPr>
            </w:pPr>
            <w:hyperlink w:anchor="Seif11" w:tooltip="ניהול הדיו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12 </w:t>
            </w:r>
          </w:p>
        </w:tc>
        <w:tc>
          <w:tcPr>
            <w:tcW w:w="5669" w:type="dxa"/>
          </w:tcPr>
          <w:p w:rsidR="00FD0A78" w:rsidRPr="00FD0A78" w:rsidRDefault="00FD0A78" w:rsidP="00FD0A78">
            <w:pPr>
              <w:spacing w:line="240" w:lineRule="auto"/>
              <w:jc w:val="left"/>
              <w:rPr>
                <w:rFonts w:cs="Frankruhel"/>
                <w:sz w:val="24"/>
                <w:rtl/>
              </w:rPr>
            </w:pPr>
            <w:r>
              <w:rPr>
                <w:sz w:val="24"/>
                <w:rtl/>
              </w:rPr>
              <w:t>פרוטוקול</w:t>
            </w:r>
          </w:p>
        </w:tc>
        <w:tc>
          <w:tcPr>
            <w:tcW w:w="567" w:type="dxa"/>
          </w:tcPr>
          <w:p w:rsidR="00FD0A78" w:rsidRPr="00FD0A78" w:rsidRDefault="00FD0A78" w:rsidP="00FD0A78">
            <w:pPr>
              <w:spacing w:line="240" w:lineRule="auto"/>
              <w:jc w:val="left"/>
              <w:rPr>
                <w:rStyle w:val="Hyperlink"/>
                <w:rtl/>
              </w:rPr>
            </w:pPr>
            <w:hyperlink w:anchor="Seif12" w:tooltip="פרוטוקול"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סימן ב': בירור האשמה</w:t>
            </w:r>
          </w:p>
        </w:tc>
        <w:tc>
          <w:tcPr>
            <w:tcW w:w="567" w:type="dxa"/>
          </w:tcPr>
          <w:p w:rsidR="00FD0A78" w:rsidRPr="00FD0A78" w:rsidRDefault="00FD0A78" w:rsidP="00FD0A78">
            <w:pPr>
              <w:spacing w:line="240" w:lineRule="auto"/>
              <w:jc w:val="left"/>
              <w:rPr>
                <w:rStyle w:val="Hyperlink"/>
                <w:rtl/>
              </w:rPr>
            </w:pPr>
            <w:hyperlink w:anchor="hed23" w:tooltip="סימן ב: בירור האשמ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13 </w:t>
            </w:r>
          </w:p>
        </w:tc>
        <w:tc>
          <w:tcPr>
            <w:tcW w:w="5669" w:type="dxa"/>
          </w:tcPr>
          <w:p w:rsidR="00FD0A78" w:rsidRPr="00FD0A78" w:rsidRDefault="00FD0A78" w:rsidP="00FD0A78">
            <w:pPr>
              <w:spacing w:line="240" w:lineRule="auto"/>
              <w:jc w:val="left"/>
              <w:rPr>
                <w:rFonts w:cs="Frankruhel"/>
                <w:sz w:val="24"/>
                <w:rtl/>
              </w:rPr>
            </w:pPr>
            <w:r>
              <w:rPr>
                <w:sz w:val="24"/>
                <w:rtl/>
              </w:rPr>
              <w:t>תשובת הנקבל לקובלנה</w:t>
            </w:r>
          </w:p>
        </w:tc>
        <w:tc>
          <w:tcPr>
            <w:tcW w:w="567" w:type="dxa"/>
          </w:tcPr>
          <w:p w:rsidR="00FD0A78" w:rsidRPr="00FD0A78" w:rsidRDefault="00FD0A78" w:rsidP="00FD0A78">
            <w:pPr>
              <w:spacing w:line="240" w:lineRule="auto"/>
              <w:jc w:val="left"/>
              <w:rPr>
                <w:rStyle w:val="Hyperlink"/>
                <w:rtl/>
              </w:rPr>
            </w:pPr>
            <w:hyperlink w:anchor="Seif13" w:tooltip="תשובת הנקבל לקובלנ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14 </w:t>
            </w:r>
          </w:p>
        </w:tc>
        <w:tc>
          <w:tcPr>
            <w:tcW w:w="5669" w:type="dxa"/>
          </w:tcPr>
          <w:p w:rsidR="00FD0A78" w:rsidRPr="00FD0A78" w:rsidRDefault="00FD0A78" w:rsidP="00FD0A78">
            <w:pPr>
              <w:spacing w:line="240" w:lineRule="auto"/>
              <w:jc w:val="left"/>
              <w:rPr>
                <w:rFonts w:cs="Frankruhel"/>
                <w:sz w:val="24"/>
                <w:rtl/>
              </w:rPr>
            </w:pPr>
            <w:r>
              <w:rPr>
                <w:sz w:val="24"/>
                <w:rtl/>
              </w:rPr>
              <w:t>ראיות מטעם התובע והנקבל</w:t>
            </w:r>
          </w:p>
        </w:tc>
        <w:tc>
          <w:tcPr>
            <w:tcW w:w="567" w:type="dxa"/>
          </w:tcPr>
          <w:p w:rsidR="00FD0A78" w:rsidRPr="00FD0A78" w:rsidRDefault="00FD0A78" w:rsidP="00FD0A78">
            <w:pPr>
              <w:spacing w:line="240" w:lineRule="auto"/>
              <w:jc w:val="left"/>
              <w:rPr>
                <w:rStyle w:val="Hyperlink"/>
                <w:rtl/>
              </w:rPr>
            </w:pPr>
            <w:hyperlink w:anchor="Seif14" w:tooltip="ראיות מטעם התובע והנקבל"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15 </w:t>
            </w:r>
          </w:p>
        </w:tc>
        <w:tc>
          <w:tcPr>
            <w:tcW w:w="5669" w:type="dxa"/>
          </w:tcPr>
          <w:p w:rsidR="00FD0A78" w:rsidRPr="00FD0A78" w:rsidRDefault="00FD0A78" w:rsidP="00FD0A78">
            <w:pPr>
              <w:spacing w:line="240" w:lineRule="auto"/>
              <w:jc w:val="left"/>
              <w:rPr>
                <w:rFonts w:cs="Frankruhel"/>
                <w:sz w:val="24"/>
                <w:rtl/>
              </w:rPr>
            </w:pPr>
            <w:r>
              <w:rPr>
                <w:sz w:val="24"/>
                <w:rtl/>
              </w:rPr>
              <w:t>ראיות מטעם ועדת המשמעת וראיות נוספות</w:t>
            </w:r>
          </w:p>
        </w:tc>
        <w:tc>
          <w:tcPr>
            <w:tcW w:w="567" w:type="dxa"/>
          </w:tcPr>
          <w:p w:rsidR="00FD0A78" w:rsidRPr="00FD0A78" w:rsidRDefault="00FD0A78" w:rsidP="00FD0A78">
            <w:pPr>
              <w:spacing w:line="240" w:lineRule="auto"/>
              <w:jc w:val="left"/>
              <w:rPr>
                <w:rStyle w:val="Hyperlink"/>
                <w:rtl/>
              </w:rPr>
            </w:pPr>
            <w:hyperlink w:anchor="Seif15" w:tooltip="ראיות מטעם ועדת המשמעת וראיות נוספו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16 </w:t>
            </w:r>
          </w:p>
        </w:tc>
        <w:tc>
          <w:tcPr>
            <w:tcW w:w="5669" w:type="dxa"/>
          </w:tcPr>
          <w:p w:rsidR="00FD0A78" w:rsidRPr="00FD0A78" w:rsidRDefault="00FD0A78" w:rsidP="00FD0A78">
            <w:pPr>
              <w:spacing w:line="240" w:lineRule="auto"/>
              <w:jc w:val="left"/>
              <w:rPr>
                <w:rFonts w:cs="Frankruhel"/>
                <w:sz w:val="24"/>
                <w:rtl/>
              </w:rPr>
            </w:pPr>
            <w:r>
              <w:rPr>
                <w:sz w:val="24"/>
                <w:rtl/>
              </w:rPr>
              <w:t>סדר חקירת עדים והגשת ראיות אחרות</w:t>
            </w:r>
          </w:p>
        </w:tc>
        <w:tc>
          <w:tcPr>
            <w:tcW w:w="567" w:type="dxa"/>
          </w:tcPr>
          <w:p w:rsidR="00FD0A78" w:rsidRPr="00FD0A78" w:rsidRDefault="00FD0A78" w:rsidP="00FD0A78">
            <w:pPr>
              <w:spacing w:line="240" w:lineRule="auto"/>
              <w:jc w:val="left"/>
              <w:rPr>
                <w:rStyle w:val="Hyperlink"/>
                <w:rtl/>
              </w:rPr>
            </w:pPr>
            <w:hyperlink w:anchor="Seif16" w:tooltip="סדר חקירת עדים והגשת ראיות אחרו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17 </w:t>
            </w:r>
          </w:p>
        </w:tc>
        <w:tc>
          <w:tcPr>
            <w:tcW w:w="5669" w:type="dxa"/>
          </w:tcPr>
          <w:p w:rsidR="00FD0A78" w:rsidRPr="00FD0A78" w:rsidRDefault="00FD0A78" w:rsidP="00FD0A78">
            <w:pPr>
              <w:spacing w:line="240" w:lineRule="auto"/>
              <w:jc w:val="left"/>
              <w:rPr>
                <w:rFonts w:cs="Frankruhel"/>
                <w:sz w:val="24"/>
                <w:rtl/>
              </w:rPr>
            </w:pPr>
            <w:r>
              <w:rPr>
                <w:sz w:val="24"/>
                <w:rtl/>
              </w:rPr>
              <w:t>סיכומים</w:t>
            </w:r>
          </w:p>
        </w:tc>
        <w:tc>
          <w:tcPr>
            <w:tcW w:w="567" w:type="dxa"/>
          </w:tcPr>
          <w:p w:rsidR="00FD0A78" w:rsidRPr="00FD0A78" w:rsidRDefault="00FD0A78" w:rsidP="00FD0A78">
            <w:pPr>
              <w:spacing w:line="240" w:lineRule="auto"/>
              <w:jc w:val="left"/>
              <w:rPr>
                <w:rStyle w:val="Hyperlink"/>
                <w:rtl/>
              </w:rPr>
            </w:pPr>
            <w:hyperlink w:anchor="Seif17" w:tooltip="סיכומים"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סימן ג': פסק דין</w:t>
            </w:r>
          </w:p>
        </w:tc>
        <w:tc>
          <w:tcPr>
            <w:tcW w:w="567" w:type="dxa"/>
          </w:tcPr>
          <w:p w:rsidR="00FD0A78" w:rsidRPr="00FD0A78" w:rsidRDefault="00FD0A78" w:rsidP="00FD0A78">
            <w:pPr>
              <w:spacing w:line="240" w:lineRule="auto"/>
              <w:jc w:val="left"/>
              <w:rPr>
                <w:rStyle w:val="Hyperlink"/>
                <w:rtl/>
              </w:rPr>
            </w:pPr>
            <w:hyperlink w:anchor="hed24" w:tooltip="סימן ג: פסק די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18 </w:t>
            </w:r>
          </w:p>
        </w:tc>
        <w:tc>
          <w:tcPr>
            <w:tcW w:w="5669" w:type="dxa"/>
          </w:tcPr>
          <w:p w:rsidR="00FD0A78" w:rsidRPr="00FD0A78" w:rsidRDefault="00FD0A78" w:rsidP="00FD0A78">
            <w:pPr>
              <w:spacing w:line="240" w:lineRule="auto"/>
              <w:jc w:val="left"/>
              <w:rPr>
                <w:rFonts w:cs="Frankruhel"/>
                <w:sz w:val="24"/>
                <w:rtl/>
              </w:rPr>
            </w:pPr>
            <w:r>
              <w:rPr>
                <w:sz w:val="24"/>
                <w:rtl/>
              </w:rPr>
              <w:t>הכרעת הדין</w:t>
            </w:r>
          </w:p>
        </w:tc>
        <w:tc>
          <w:tcPr>
            <w:tcW w:w="567" w:type="dxa"/>
          </w:tcPr>
          <w:p w:rsidR="00FD0A78" w:rsidRPr="00FD0A78" w:rsidRDefault="00FD0A78" w:rsidP="00FD0A78">
            <w:pPr>
              <w:spacing w:line="240" w:lineRule="auto"/>
              <w:jc w:val="left"/>
              <w:rPr>
                <w:rStyle w:val="Hyperlink"/>
                <w:rtl/>
              </w:rPr>
            </w:pPr>
            <w:hyperlink w:anchor="Seif18" w:tooltip="הכרעת הדי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19 </w:t>
            </w:r>
          </w:p>
        </w:tc>
        <w:tc>
          <w:tcPr>
            <w:tcW w:w="5669" w:type="dxa"/>
          </w:tcPr>
          <w:p w:rsidR="00FD0A78" w:rsidRPr="00FD0A78" w:rsidRDefault="00FD0A78" w:rsidP="00FD0A78">
            <w:pPr>
              <w:spacing w:line="240" w:lineRule="auto"/>
              <w:jc w:val="left"/>
              <w:rPr>
                <w:rFonts w:cs="Frankruhel"/>
                <w:sz w:val="24"/>
                <w:rtl/>
              </w:rPr>
            </w:pPr>
            <w:r>
              <w:rPr>
                <w:sz w:val="24"/>
                <w:rtl/>
              </w:rPr>
              <w:t>עבירות משמעת אחרות</w:t>
            </w:r>
          </w:p>
        </w:tc>
        <w:tc>
          <w:tcPr>
            <w:tcW w:w="567" w:type="dxa"/>
          </w:tcPr>
          <w:p w:rsidR="00FD0A78" w:rsidRPr="00FD0A78" w:rsidRDefault="00FD0A78" w:rsidP="00FD0A78">
            <w:pPr>
              <w:spacing w:line="240" w:lineRule="auto"/>
              <w:jc w:val="left"/>
              <w:rPr>
                <w:rStyle w:val="Hyperlink"/>
                <w:rtl/>
              </w:rPr>
            </w:pPr>
            <w:hyperlink w:anchor="Seif19" w:tooltip="עבירות משמעת אחרו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20 </w:t>
            </w:r>
          </w:p>
        </w:tc>
        <w:tc>
          <w:tcPr>
            <w:tcW w:w="5669" w:type="dxa"/>
          </w:tcPr>
          <w:p w:rsidR="00FD0A78" w:rsidRPr="00FD0A78" w:rsidRDefault="00FD0A78" w:rsidP="00FD0A78">
            <w:pPr>
              <w:spacing w:line="240" w:lineRule="auto"/>
              <w:jc w:val="left"/>
              <w:rPr>
                <w:rFonts w:cs="Frankruhel"/>
                <w:sz w:val="24"/>
                <w:rtl/>
              </w:rPr>
            </w:pPr>
            <w:r>
              <w:rPr>
                <w:sz w:val="24"/>
                <w:rtl/>
              </w:rPr>
              <w:t>טענות וראיות לאמצעי משמעת</w:t>
            </w:r>
          </w:p>
        </w:tc>
        <w:tc>
          <w:tcPr>
            <w:tcW w:w="567" w:type="dxa"/>
          </w:tcPr>
          <w:p w:rsidR="00FD0A78" w:rsidRPr="00FD0A78" w:rsidRDefault="00FD0A78" w:rsidP="00FD0A78">
            <w:pPr>
              <w:spacing w:line="240" w:lineRule="auto"/>
              <w:jc w:val="left"/>
              <w:rPr>
                <w:rStyle w:val="Hyperlink"/>
                <w:rtl/>
              </w:rPr>
            </w:pPr>
            <w:hyperlink w:anchor="Seif20" w:tooltip="טענות וראיות לאמצעי משמע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21 </w:t>
            </w:r>
          </w:p>
        </w:tc>
        <w:tc>
          <w:tcPr>
            <w:tcW w:w="5669" w:type="dxa"/>
          </w:tcPr>
          <w:p w:rsidR="00FD0A78" w:rsidRPr="00FD0A78" w:rsidRDefault="00FD0A78" w:rsidP="00FD0A78">
            <w:pPr>
              <w:spacing w:line="240" w:lineRule="auto"/>
              <w:jc w:val="left"/>
              <w:rPr>
                <w:rFonts w:cs="Frankruhel"/>
                <w:sz w:val="24"/>
                <w:rtl/>
              </w:rPr>
            </w:pPr>
            <w:r>
              <w:rPr>
                <w:sz w:val="24"/>
                <w:rtl/>
              </w:rPr>
              <w:t>נקיטת אמצעי משמעת</w:t>
            </w:r>
          </w:p>
        </w:tc>
        <w:tc>
          <w:tcPr>
            <w:tcW w:w="567" w:type="dxa"/>
          </w:tcPr>
          <w:p w:rsidR="00FD0A78" w:rsidRPr="00FD0A78" w:rsidRDefault="00FD0A78" w:rsidP="00FD0A78">
            <w:pPr>
              <w:spacing w:line="240" w:lineRule="auto"/>
              <w:jc w:val="left"/>
              <w:rPr>
                <w:rStyle w:val="Hyperlink"/>
                <w:rtl/>
              </w:rPr>
            </w:pPr>
            <w:hyperlink w:anchor="Seif21" w:tooltip="נקיטת אמצעי משמע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21א </w:t>
            </w:r>
          </w:p>
        </w:tc>
        <w:tc>
          <w:tcPr>
            <w:tcW w:w="5669" w:type="dxa"/>
          </w:tcPr>
          <w:p w:rsidR="00FD0A78" w:rsidRPr="00FD0A78" w:rsidRDefault="00FD0A78" w:rsidP="00FD0A78">
            <w:pPr>
              <w:spacing w:line="240" w:lineRule="auto"/>
              <w:jc w:val="left"/>
              <w:rPr>
                <w:rFonts w:cs="Frankruhel"/>
                <w:sz w:val="24"/>
                <w:rtl/>
              </w:rPr>
            </w:pPr>
            <w:r>
              <w:rPr>
                <w:sz w:val="24"/>
                <w:rtl/>
              </w:rPr>
              <w:t>חיוב בתשלום הוצאות</w:t>
            </w:r>
          </w:p>
        </w:tc>
        <w:tc>
          <w:tcPr>
            <w:tcW w:w="567" w:type="dxa"/>
          </w:tcPr>
          <w:p w:rsidR="00FD0A78" w:rsidRPr="00FD0A78" w:rsidRDefault="00FD0A78" w:rsidP="00FD0A78">
            <w:pPr>
              <w:spacing w:line="240" w:lineRule="auto"/>
              <w:jc w:val="left"/>
              <w:rPr>
                <w:rStyle w:val="Hyperlink"/>
                <w:rtl/>
              </w:rPr>
            </w:pPr>
            <w:hyperlink w:anchor="Seif29" w:tooltip="חיוב בתשלום הוצאו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22 </w:t>
            </w:r>
          </w:p>
        </w:tc>
        <w:tc>
          <w:tcPr>
            <w:tcW w:w="5669" w:type="dxa"/>
          </w:tcPr>
          <w:p w:rsidR="00FD0A78" w:rsidRPr="00FD0A78" w:rsidRDefault="00FD0A78" w:rsidP="00FD0A78">
            <w:pPr>
              <w:spacing w:line="240" w:lineRule="auto"/>
              <w:jc w:val="left"/>
              <w:rPr>
                <w:rFonts w:cs="Frankruhel"/>
                <w:sz w:val="24"/>
                <w:rtl/>
              </w:rPr>
            </w:pPr>
            <w:r>
              <w:rPr>
                <w:sz w:val="24"/>
                <w:rtl/>
              </w:rPr>
              <w:t>המצאת החלטה</w:t>
            </w:r>
          </w:p>
        </w:tc>
        <w:tc>
          <w:tcPr>
            <w:tcW w:w="567" w:type="dxa"/>
          </w:tcPr>
          <w:p w:rsidR="00FD0A78" w:rsidRPr="00FD0A78" w:rsidRDefault="00FD0A78" w:rsidP="00FD0A78">
            <w:pPr>
              <w:spacing w:line="240" w:lineRule="auto"/>
              <w:jc w:val="left"/>
              <w:rPr>
                <w:rStyle w:val="Hyperlink"/>
                <w:rtl/>
              </w:rPr>
            </w:pPr>
            <w:hyperlink w:anchor="Seif22" w:tooltip="המצאת החלט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23 </w:t>
            </w:r>
          </w:p>
        </w:tc>
        <w:tc>
          <w:tcPr>
            <w:tcW w:w="5669" w:type="dxa"/>
          </w:tcPr>
          <w:p w:rsidR="00FD0A78" w:rsidRPr="00FD0A78" w:rsidRDefault="00FD0A78" w:rsidP="00FD0A78">
            <w:pPr>
              <w:spacing w:line="240" w:lineRule="auto"/>
              <w:jc w:val="left"/>
              <w:rPr>
                <w:rFonts w:cs="Frankruhel"/>
                <w:sz w:val="24"/>
                <w:rtl/>
              </w:rPr>
            </w:pPr>
            <w:r>
              <w:rPr>
                <w:sz w:val="24"/>
                <w:rtl/>
              </w:rPr>
              <w:t>חריגה מהמועד</w:t>
            </w:r>
          </w:p>
        </w:tc>
        <w:tc>
          <w:tcPr>
            <w:tcW w:w="567" w:type="dxa"/>
          </w:tcPr>
          <w:p w:rsidR="00FD0A78" w:rsidRPr="00FD0A78" w:rsidRDefault="00FD0A78" w:rsidP="00FD0A78">
            <w:pPr>
              <w:spacing w:line="240" w:lineRule="auto"/>
              <w:jc w:val="left"/>
              <w:rPr>
                <w:rStyle w:val="Hyperlink"/>
                <w:rtl/>
              </w:rPr>
            </w:pPr>
            <w:hyperlink w:anchor="Seif23" w:tooltip="חריגה מהמועד"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24 </w:t>
            </w:r>
          </w:p>
        </w:tc>
        <w:tc>
          <w:tcPr>
            <w:tcW w:w="5669" w:type="dxa"/>
          </w:tcPr>
          <w:p w:rsidR="00FD0A78" w:rsidRPr="00FD0A78" w:rsidRDefault="00FD0A78" w:rsidP="00FD0A78">
            <w:pPr>
              <w:spacing w:line="240" w:lineRule="auto"/>
              <w:jc w:val="left"/>
              <w:rPr>
                <w:rFonts w:cs="Frankruhel"/>
                <w:sz w:val="24"/>
                <w:rtl/>
              </w:rPr>
            </w:pPr>
            <w:r>
              <w:rPr>
                <w:sz w:val="24"/>
                <w:rtl/>
              </w:rPr>
              <w:t>דיון בהעדר הנקבל</w:t>
            </w:r>
          </w:p>
        </w:tc>
        <w:tc>
          <w:tcPr>
            <w:tcW w:w="567" w:type="dxa"/>
          </w:tcPr>
          <w:p w:rsidR="00FD0A78" w:rsidRPr="00FD0A78" w:rsidRDefault="00FD0A78" w:rsidP="00FD0A78">
            <w:pPr>
              <w:spacing w:line="240" w:lineRule="auto"/>
              <w:jc w:val="left"/>
              <w:rPr>
                <w:rStyle w:val="Hyperlink"/>
                <w:rtl/>
              </w:rPr>
            </w:pPr>
            <w:hyperlink w:anchor="Seif24" w:tooltip="דיון בהעדר הנקבל"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פרק שלישי: הוראות שונות</w:t>
            </w:r>
          </w:p>
        </w:tc>
        <w:tc>
          <w:tcPr>
            <w:tcW w:w="567" w:type="dxa"/>
          </w:tcPr>
          <w:p w:rsidR="00FD0A78" w:rsidRPr="00FD0A78" w:rsidRDefault="00FD0A78" w:rsidP="00FD0A78">
            <w:pPr>
              <w:spacing w:line="240" w:lineRule="auto"/>
              <w:jc w:val="left"/>
              <w:rPr>
                <w:rStyle w:val="Hyperlink"/>
                <w:rtl/>
              </w:rPr>
            </w:pPr>
            <w:hyperlink w:anchor="med2" w:tooltip="פרק שלישי: הוראות שונות"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25 </w:t>
            </w:r>
          </w:p>
        </w:tc>
        <w:tc>
          <w:tcPr>
            <w:tcW w:w="5669" w:type="dxa"/>
          </w:tcPr>
          <w:p w:rsidR="00FD0A78" w:rsidRPr="00FD0A78" w:rsidRDefault="00FD0A78" w:rsidP="00FD0A78">
            <w:pPr>
              <w:spacing w:line="240" w:lineRule="auto"/>
              <w:jc w:val="left"/>
              <w:rPr>
                <w:rFonts w:cs="Frankruhel"/>
                <w:sz w:val="24"/>
                <w:rtl/>
              </w:rPr>
            </w:pPr>
            <w:r>
              <w:rPr>
                <w:sz w:val="24"/>
                <w:rtl/>
              </w:rPr>
              <w:t>המצאת מסמכים</w:t>
            </w:r>
          </w:p>
        </w:tc>
        <w:tc>
          <w:tcPr>
            <w:tcW w:w="567" w:type="dxa"/>
          </w:tcPr>
          <w:p w:rsidR="00FD0A78" w:rsidRPr="00FD0A78" w:rsidRDefault="00FD0A78" w:rsidP="00FD0A78">
            <w:pPr>
              <w:spacing w:line="240" w:lineRule="auto"/>
              <w:jc w:val="left"/>
              <w:rPr>
                <w:rStyle w:val="Hyperlink"/>
                <w:rtl/>
              </w:rPr>
            </w:pPr>
            <w:hyperlink w:anchor="Seif25" w:tooltip="המצאת מסמכים"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26 </w:t>
            </w:r>
          </w:p>
        </w:tc>
        <w:tc>
          <w:tcPr>
            <w:tcW w:w="5669" w:type="dxa"/>
          </w:tcPr>
          <w:p w:rsidR="00FD0A78" w:rsidRPr="00FD0A78" w:rsidRDefault="00FD0A78" w:rsidP="00FD0A78">
            <w:pPr>
              <w:spacing w:line="240" w:lineRule="auto"/>
              <w:jc w:val="left"/>
              <w:rPr>
                <w:rFonts w:cs="Frankruhel"/>
                <w:sz w:val="24"/>
                <w:rtl/>
              </w:rPr>
            </w:pPr>
            <w:r>
              <w:rPr>
                <w:sz w:val="24"/>
                <w:rtl/>
              </w:rPr>
              <w:t>תחליף המצאה</w:t>
            </w:r>
          </w:p>
        </w:tc>
        <w:tc>
          <w:tcPr>
            <w:tcW w:w="567" w:type="dxa"/>
          </w:tcPr>
          <w:p w:rsidR="00FD0A78" w:rsidRPr="00FD0A78" w:rsidRDefault="00FD0A78" w:rsidP="00FD0A78">
            <w:pPr>
              <w:spacing w:line="240" w:lineRule="auto"/>
              <w:jc w:val="left"/>
              <w:rPr>
                <w:rStyle w:val="Hyperlink"/>
                <w:rtl/>
              </w:rPr>
            </w:pPr>
            <w:hyperlink w:anchor="Seif26" w:tooltip="תחליף המצאה"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27 </w:t>
            </w:r>
          </w:p>
        </w:tc>
        <w:tc>
          <w:tcPr>
            <w:tcW w:w="5669" w:type="dxa"/>
          </w:tcPr>
          <w:p w:rsidR="00FD0A78" w:rsidRPr="00FD0A78" w:rsidRDefault="00FD0A78" w:rsidP="00FD0A78">
            <w:pPr>
              <w:spacing w:line="240" w:lineRule="auto"/>
              <w:jc w:val="left"/>
              <w:rPr>
                <w:rFonts w:cs="Frankruhel"/>
                <w:sz w:val="24"/>
                <w:rtl/>
              </w:rPr>
            </w:pPr>
            <w:r>
              <w:rPr>
                <w:sz w:val="24"/>
                <w:rtl/>
              </w:rPr>
              <w:t>פגמים שאינם פוגמים בדיון</w:t>
            </w:r>
          </w:p>
        </w:tc>
        <w:tc>
          <w:tcPr>
            <w:tcW w:w="567" w:type="dxa"/>
          </w:tcPr>
          <w:p w:rsidR="00FD0A78" w:rsidRPr="00FD0A78" w:rsidRDefault="00FD0A78" w:rsidP="00FD0A78">
            <w:pPr>
              <w:spacing w:line="240" w:lineRule="auto"/>
              <w:jc w:val="left"/>
              <w:rPr>
                <w:rStyle w:val="Hyperlink"/>
                <w:rtl/>
              </w:rPr>
            </w:pPr>
            <w:hyperlink w:anchor="Seif27" w:tooltip="פגמים שאינם פוגמים בדיון"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p>
        </w:tc>
        <w:tc>
          <w:tcPr>
            <w:tcW w:w="5669" w:type="dxa"/>
          </w:tcPr>
          <w:p w:rsidR="00FD0A78" w:rsidRPr="00FD0A78" w:rsidRDefault="00FD0A78" w:rsidP="00FD0A78">
            <w:pPr>
              <w:spacing w:line="240" w:lineRule="auto"/>
              <w:jc w:val="left"/>
              <w:rPr>
                <w:rFonts w:cs="Frankruhel"/>
                <w:sz w:val="24"/>
                <w:rtl/>
              </w:rPr>
            </w:pPr>
            <w:r>
              <w:rPr>
                <w:sz w:val="24"/>
                <w:rtl/>
              </w:rPr>
              <w:t>פרק רביעי: ערעור</w:t>
            </w:r>
          </w:p>
        </w:tc>
        <w:tc>
          <w:tcPr>
            <w:tcW w:w="567" w:type="dxa"/>
          </w:tcPr>
          <w:p w:rsidR="00FD0A78" w:rsidRPr="00FD0A78" w:rsidRDefault="00FD0A78" w:rsidP="00FD0A78">
            <w:pPr>
              <w:spacing w:line="240" w:lineRule="auto"/>
              <w:jc w:val="left"/>
              <w:rPr>
                <w:rStyle w:val="Hyperlink"/>
                <w:rtl/>
              </w:rPr>
            </w:pPr>
            <w:hyperlink w:anchor="med3" w:tooltip="פרק רביעי: ערעור"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D0A78" w:rsidRPr="00FD0A78">
        <w:tblPrEx>
          <w:tblCellMar>
            <w:top w:w="0" w:type="dxa"/>
            <w:bottom w:w="0" w:type="dxa"/>
          </w:tblCellMar>
        </w:tblPrEx>
        <w:tc>
          <w:tcPr>
            <w:tcW w:w="1247" w:type="dxa"/>
          </w:tcPr>
          <w:p w:rsidR="00FD0A78" w:rsidRPr="00FD0A78" w:rsidRDefault="00FD0A78" w:rsidP="00FD0A78">
            <w:pPr>
              <w:spacing w:line="240" w:lineRule="auto"/>
              <w:jc w:val="left"/>
              <w:rPr>
                <w:rFonts w:cs="Frankruhel"/>
                <w:sz w:val="24"/>
                <w:rtl/>
              </w:rPr>
            </w:pPr>
            <w:r>
              <w:rPr>
                <w:sz w:val="24"/>
                <w:rtl/>
              </w:rPr>
              <w:t xml:space="preserve">סעיף 28 </w:t>
            </w:r>
          </w:p>
        </w:tc>
        <w:tc>
          <w:tcPr>
            <w:tcW w:w="5669" w:type="dxa"/>
          </w:tcPr>
          <w:p w:rsidR="00FD0A78" w:rsidRPr="00FD0A78" w:rsidRDefault="00FD0A78" w:rsidP="00FD0A78">
            <w:pPr>
              <w:spacing w:line="240" w:lineRule="auto"/>
              <w:jc w:val="left"/>
              <w:rPr>
                <w:rFonts w:cs="Frankruhel"/>
                <w:sz w:val="24"/>
                <w:rtl/>
              </w:rPr>
            </w:pPr>
            <w:r>
              <w:rPr>
                <w:sz w:val="24"/>
                <w:rtl/>
              </w:rPr>
              <w:t>סדרי דין בערעור</w:t>
            </w:r>
          </w:p>
        </w:tc>
        <w:tc>
          <w:tcPr>
            <w:tcW w:w="567" w:type="dxa"/>
          </w:tcPr>
          <w:p w:rsidR="00FD0A78" w:rsidRPr="00FD0A78" w:rsidRDefault="00FD0A78" w:rsidP="00FD0A78">
            <w:pPr>
              <w:spacing w:line="240" w:lineRule="auto"/>
              <w:jc w:val="left"/>
              <w:rPr>
                <w:rStyle w:val="Hyperlink"/>
                <w:rtl/>
              </w:rPr>
            </w:pPr>
            <w:hyperlink w:anchor="Seif28" w:tooltip="סדרי דין בערעור" w:history="1">
              <w:r w:rsidRPr="00FD0A78">
                <w:rPr>
                  <w:rStyle w:val="Hyperlink"/>
                </w:rPr>
                <w:t>Go</w:t>
              </w:r>
            </w:hyperlink>
          </w:p>
        </w:tc>
        <w:tc>
          <w:tcPr>
            <w:tcW w:w="850" w:type="dxa"/>
          </w:tcPr>
          <w:p w:rsidR="00FD0A78" w:rsidRPr="00FD0A78" w:rsidRDefault="00FD0A78" w:rsidP="00FD0A7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0603C8" w:rsidRDefault="000603C8">
      <w:pPr>
        <w:pStyle w:val="big-header"/>
        <w:ind w:left="0" w:right="1134"/>
        <w:rPr>
          <w:rFonts w:cs="FrankRuehl"/>
          <w:sz w:val="32"/>
          <w:rtl/>
        </w:rPr>
      </w:pPr>
    </w:p>
    <w:p w:rsidR="000603C8" w:rsidRDefault="000603C8" w:rsidP="000B62C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המתווכים במקרקעין (</w:t>
      </w:r>
      <w:r w:rsidR="000B62CD">
        <w:rPr>
          <w:rFonts w:cs="FrankRuehl" w:hint="cs"/>
          <w:sz w:val="32"/>
          <w:rtl/>
        </w:rPr>
        <w:t>סדרי דין בדיון לפני ועדת המשמעת ובערעור לבית משפט), תשע"ד-2014</w:t>
      </w:r>
      <w:r w:rsidR="005D486B">
        <w:rPr>
          <w:rStyle w:val="a6"/>
          <w:rFonts w:cs="FrankRuehl"/>
          <w:sz w:val="32"/>
          <w:rtl/>
        </w:rPr>
        <w:footnoteReference w:customMarkFollows="1" w:id="1"/>
        <w:t>*</w:t>
      </w:r>
    </w:p>
    <w:p w:rsidR="000603C8" w:rsidRDefault="000603C8" w:rsidP="00867075">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סעיף </w:t>
      </w:r>
      <w:r w:rsidR="00867075">
        <w:rPr>
          <w:rStyle w:val="default"/>
          <w:rFonts w:cs="FrankRuehl" w:hint="cs"/>
          <w:rtl/>
        </w:rPr>
        <w:t>14טו</w:t>
      </w:r>
      <w:r>
        <w:rPr>
          <w:rStyle w:val="default"/>
          <w:rFonts w:cs="FrankRuehl" w:hint="cs"/>
          <w:rtl/>
        </w:rPr>
        <w:t xml:space="preserve"> לחוק</w:t>
      </w:r>
      <w:r>
        <w:rPr>
          <w:rStyle w:val="default"/>
          <w:rFonts w:cs="FrankRuehl"/>
          <w:rtl/>
        </w:rPr>
        <w:t xml:space="preserve"> </w:t>
      </w:r>
      <w:r>
        <w:rPr>
          <w:rStyle w:val="default"/>
          <w:rFonts w:cs="FrankRuehl" w:hint="cs"/>
          <w:rtl/>
        </w:rPr>
        <w:t xml:space="preserve">המתווכים במקרקעין, </w:t>
      </w:r>
      <w:r w:rsidR="00867075">
        <w:rPr>
          <w:rStyle w:val="default"/>
          <w:rFonts w:cs="FrankRuehl" w:hint="cs"/>
          <w:rtl/>
        </w:rPr>
        <w:t>ה</w:t>
      </w:r>
      <w:r>
        <w:rPr>
          <w:rStyle w:val="default"/>
          <w:rFonts w:cs="FrankRuehl" w:hint="cs"/>
          <w:rtl/>
        </w:rPr>
        <w:t>תשנ"ו</w:t>
      </w:r>
      <w:r w:rsidR="005D486B">
        <w:rPr>
          <w:rStyle w:val="default"/>
          <w:rFonts w:cs="FrankRuehl" w:hint="cs"/>
          <w:rtl/>
        </w:rPr>
        <w:t>-</w:t>
      </w:r>
      <w:r>
        <w:rPr>
          <w:rStyle w:val="default"/>
          <w:rFonts w:cs="FrankRuehl"/>
          <w:rtl/>
        </w:rPr>
        <w:t>1996 (</w:t>
      </w:r>
      <w:r>
        <w:rPr>
          <w:rStyle w:val="default"/>
          <w:rFonts w:cs="FrankRuehl" w:hint="cs"/>
          <w:rtl/>
        </w:rPr>
        <w:t xml:space="preserve">להלן </w:t>
      </w:r>
      <w:r w:rsidR="00867075">
        <w:rPr>
          <w:rStyle w:val="default"/>
          <w:rFonts w:cs="FrankRuehl"/>
          <w:rtl/>
        </w:rPr>
        <w:t>–</w:t>
      </w:r>
      <w:r>
        <w:rPr>
          <w:rStyle w:val="default"/>
          <w:rFonts w:cs="FrankRuehl"/>
          <w:rtl/>
        </w:rPr>
        <w:t xml:space="preserve"> </w:t>
      </w:r>
      <w:r>
        <w:rPr>
          <w:rStyle w:val="default"/>
          <w:rFonts w:cs="FrankRuehl" w:hint="cs"/>
          <w:rtl/>
        </w:rPr>
        <w:t>החוק), אני מתקין תקנות אלה:</w:t>
      </w:r>
    </w:p>
    <w:p w:rsidR="00867075" w:rsidRPr="00867075" w:rsidRDefault="00867075" w:rsidP="00867075">
      <w:pPr>
        <w:pStyle w:val="medium2-header"/>
        <w:keepLines w:val="0"/>
        <w:spacing w:before="72"/>
        <w:ind w:left="0" w:right="1134"/>
        <w:rPr>
          <w:rFonts w:cs="FrankRuehl" w:hint="cs"/>
          <w:noProof/>
          <w:rtl/>
        </w:rPr>
      </w:pPr>
      <w:bookmarkStart w:id="0" w:name="med0"/>
      <w:bookmarkEnd w:id="0"/>
      <w:r w:rsidRPr="00867075">
        <w:rPr>
          <w:rFonts w:cs="FrankRuehl" w:hint="cs"/>
          <w:noProof/>
          <w:rtl/>
        </w:rPr>
        <w:t>פרק ראשון: הליכים לפני הדיון</w:t>
      </w:r>
    </w:p>
    <w:p w:rsidR="00867075" w:rsidRPr="00867075" w:rsidRDefault="00867075" w:rsidP="00867075">
      <w:pPr>
        <w:pStyle w:val="header-2"/>
        <w:ind w:left="0" w:right="1134"/>
        <w:rPr>
          <w:rFonts w:cs="Miriam" w:hint="cs"/>
          <w:rtl/>
        </w:rPr>
      </w:pPr>
      <w:bookmarkStart w:id="1" w:name="hed20"/>
      <w:bookmarkEnd w:id="1"/>
      <w:r w:rsidRPr="00867075">
        <w:rPr>
          <w:rFonts w:cs="Miriam" w:hint="cs"/>
          <w:rtl/>
        </w:rPr>
        <w:t>סימן א': קובלנה</w:t>
      </w:r>
    </w:p>
    <w:p w:rsidR="000603C8" w:rsidRDefault="000603C8" w:rsidP="00867075">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3.45pt;z-index:251643392" o:allowincell="f" filled="f" stroked="f" strokecolor="lime" strokeweight=".25pt">
            <v:textbox style="mso-next-textbox:#_x0000_s1026" inset="0,0,0,0">
              <w:txbxContent>
                <w:p w:rsidR="000603C8" w:rsidRDefault="00867075">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w:t>
      </w:r>
      <w:r w:rsidR="00867075">
        <w:rPr>
          <w:rStyle w:val="default"/>
          <w:rFonts w:cs="FrankRuehl" w:hint="cs"/>
          <w:rtl/>
        </w:rPr>
        <w:t xml:space="preserve"> </w:t>
      </w:r>
      <w:r w:rsidR="00867075">
        <w:rPr>
          <w:rStyle w:val="default"/>
          <w:rFonts w:cs="FrankRuehl"/>
          <w:rtl/>
        </w:rPr>
        <w:t>–</w:t>
      </w:r>
    </w:p>
    <w:p w:rsidR="00867075" w:rsidRDefault="00867075" w:rsidP="00867075">
      <w:pPr>
        <w:pStyle w:val="P00"/>
        <w:spacing w:before="72"/>
        <w:ind w:left="0" w:right="1134"/>
        <w:rPr>
          <w:rStyle w:val="default"/>
          <w:rFonts w:cs="FrankRuehl" w:hint="cs"/>
          <w:rtl/>
        </w:rPr>
      </w:pPr>
      <w:r>
        <w:rPr>
          <w:rStyle w:val="default"/>
          <w:rFonts w:cs="FrankRuehl" w:hint="cs"/>
          <w:rtl/>
        </w:rPr>
        <w:tab/>
        <w:t xml:space="preserve">"ועדת המשמעת" </w:t>
      </w:r>
      <w:r>
        <w:rPr>
          <w:rStyle w:val="default"/>
          <w:rFonts w:cs="FrankRuehl"/>
          <w:rtl/>
        </w:rPr>
        <w:t>–</w:t>
      </w:r>
      <w:r>
        <w:rPr>
          <w:rStyle w:val="default"/>
          <w:rFonts w:cs="FrankRuehl" w:hint="cs"/>
          <w:rtl/>
        </w:rPr>
        <w:t xml:space="preserve"> הוועדה שמונתה לפי סעיף 14ב לחוק;</w:t>
      </w:r>
    </w:p>
    <w:p w:rsidR="00867075" w:rsidRDefault="00867075" w:rsidP="00867075">
      <w:pPr>
        <w:pStyle w:val="P00"/>
        <w:spacing w:before="72"/>
        <w:ind w:left="0" w:right="1134"/>
        <w:rPr>
          <w:rStyle w:val="default"/>
          <w:rFonts w:cs="FrankRuehl" w:hint="cs"/>
          <w:rtl/>
        </w:rPr>
      </w:pPr>
      <w:r>
        <w:rPr>
          <w:rStyle w:val="default"/>
          <w:rFonts w:cs="FrankRuehl" w:hint="cs"/>
          <w:rtl/>
        </w:rPr>
        <w:tab/>
        <w:t xml:space="preserve">"נקבל" </w:t>
      </w:r>
      <w:r>
        <w:rPr>
          <w:rStyle w:val="default"/>
          <w:rFonts w:cs="FrankRuehl"/>
          <w:rtl/>
        </w:rPr>
        <w:t>–</w:t>
      </w:r>
      <w:r>
        <w:rPr>
          <w:rStyle w:val="default"/>
          <w:rFonts w:cs="FrankRuehl" w:hint="cs"/>
          <w:rtl/>
        </w:rPr>
        <w:t xml:space="preserve"> מתווך במקרקעין שהוגשה נגדו קובלנה לפי סעיף 14יא(ה) לחוק;</w:t>
      </w:r>
    </w:p>
    <w:p w:rsidR="00867075" w:rsidRDefault="00867075" w:rsidP="00867075">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תובע כאמור בסעיף 14יא(א) לחוק.</w:t>
      </w:r>
    </w:p>
    <w:p w:rsidR="004C3351" w:rsidRDefault="000603C8" w:rsidP="006D264E">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3.25pt;z-index:251644416" o:allowincell="f" filled="f" stroked="f" strokecolor="lime" strokeweight=".25pt">
            <v:textbox style="mso-next-textbox:#_x0000_s1027" inset="0,0,0,0">
              <w:txbxContent>
                <w:p w:rsidR="000603C8" w:rsidRDefault="006D264E">
                  <w:pPr>
                    <w:spacing w:line="160" w:lineRule="exact"/>
                    <w:jc w:val="left"/>
                    <w:rPr>
                      <w:rFonts w:cs="Miriam" w:hint="cs"/>
                      <w:noProof/>
                      <w:sz w:val="18"/>
                      <w:szCs w:val="18"/>
                      <w:rtl/>
                    </w:rPr>
                  </w:pPr>
                  <w:r>
                    <w:rPr>
                      <w:rFonts w:cs="Miriam" w:hint="cs"/>
                      <w:sz w:val="18"/>
                      <w:szCs w:val="18"/>
                      <w:rtl/>
                    </w:rPr>
                    <w:t>הגשת קובלנה</w:t>
                  </w:r>
                </w:p>
              </w:txbxContent>
            </v:textbox>
            <w10:anchorlock/>
          </v:rect>
        </w:pict>
      </w:r>
      <w:r>
        <w:rPr>
          <w:rStyle w:val="big-number"/>
          <w:rFonts w:cs="Miriam"/>
          <w:rtl/>
        </w:rPr>
        <w:t>2</w:t>
      </w:r>
      <w:r w:rsidRPr="000B62CD">
        <w:rPr>
          <w:rStyle w:val="default"/>
          <w:rFonts w:cs="FrankRuehl"/>
          <w:rtl/>
        </w:rPr>
        <w:t>.</w:t>
      </w:r>
      <w:r w:rsidRPr="000B62CD">
        <w:rPr>
          <w:rStyle w:val="default"/>
          <w:rFonts w:cs="FrankRuehl"/>
          <w:rtl/>
        </w:rPr>
        <w:tab/>
      </w:r>
      <w:r w:rsidR="004C3351" w:rsidRPr="004C3351">
        <w:rPr>
          <w:rStyle w:val="default"/>
          <w:rFonts w:cs="FrankRuehl" w:hint="cs"/>
          <w:rtl/>
        </w:rPr>
        <w:t>(א)</w:t>
      </w:r>
      <w:r w:rsidR="004C3351" w:rsidRPr="004C3351">
        <w:rPr>
          <w:rStyle w:val="default"/>
          <w:rFonts w:cs="FrankRuehl" w:hint="cs"/>
          <w:rtl/>
        </w:rPr>
        <w:tab/>
      </w:r>
      <w:r w:rsidR="006D264E">
        <w:rPr>
          <w:rStyle w:val="default"/>
          <w:rFonts w:cs="FrankRuehl" w:hint="cs"/>
          <w:rtl/>
        </w:rPr>
        <w:t>קובלנה תיערך בכתב ותוגש לוועדת המשמעת בארבעה עותקים ובכמה עותקים נוספים כמספר הנקבלים בה.</w:t>
      </w:r>
    </w:p>
    <w:p w:rsidR="006D264E" w:rsidRDefault="006D264E" w:rsidP="006D26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932A8">
        <w:rPr>
          <w:rStyle w:val="default"/>
          <w:rFonts w:cs="FrankRuehl" w:hint="cs"/>
          <w:rtl/>
        </w:rPr>
        <w:t>עותק מהקובלנה יומצא לנקבל בהקדם האפשרי, ולא יאוחר משלושים ימים לפני תחילת הדיון.</w:t>
      </w:r>
    </w:p>
    <w:p w:rsidR="000B62CD" w:rsidRDefault="000B62CD" w:rsidP="00C932A8">
      <w:pPr>
        <w:pStyle w:val="P00"/>
        <w:spacing w:before="72"/>
        <w:ind w:left="0" w:right="1134"/>
        <w:rPr>
          <w:rStyle w:val="default"/>
          <w:rFonts w:cs="FrankRuehl" w:hint="cs"/>
          <w:rtl/>
        </w:rPr>
      </w:pPr>
      <w:bookmarkStart w:id="4" w:name="Seif3"/>
      <w:bookmarkEnd w:id="4"/>
      <w:r>
        <w:rPr>
          <w:lang w:val="he-IL"/>
        </w:rPr>
        <w:pict>
          <v:rect id="_x0000_s1054" style="position:absolute;left:0;text-align:left;margin-left:464.5pt;margin-top:8.05pt;width:75.05pt;height:13.25pt;z-index:251645440" o:allowincell="f" filled="f" stroked="f" strokecolor="lime" strokeweight=".25pt">
            <v:textbox style="mso-next-textbox:#_x0000_s1054"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פרטי הקובלנה</w:t>
                  </w:r>
                </w:p>
              </w:txbxContent>
            </v:textbox>
            <w10:anchorlock/>
          </v:rect>
        </w:pict>
      </w:r>
      <w:r w:rsidR="00C932A8">
        <w:rPr>
          <w:rStyle w:val="big-number"/>
          <w:rFonts w:cs="Miriam" w:hint="cs"/>
          <w:rtl/>
        </w:rPr>
        <w:t>3</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קובלנה תכיל פרטים אלה:</w:t>
      </w:r>
    </w:p>
    <w:p w:rsidR="00C932A8" w:rsidRDefault="00C932A8" w:rsidP="00C932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התובע;</w:t>
      </w:r>
    </w:p>
    <w:p w:rsidR="00C932A8" w:rsidRDefault="00C932A8" w:rsidP="00C932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הנקבל, מספר הזהות ומספר הרישיון שלו וכן מען מגוריו או מקום עבודתו;</w:t>
      </w:r>
    </w:p>
    <w:p w:rsidR="00C932A8" w:rsidRDefault="00C932A8" w:rsidP="00C932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העובדות המשמשות בסיס לקובלנה;</w:t>
      </w:r>
    </w:p>
    <w:p w:rsidR="00C932A8" w:rsidRDefault="00C932A8" w:rsidP="00C932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עבירות המשמעת המיוחסות לנקבל;</w:t>
      </w:r>
    </w:p>
    <w:p w:rsidR="00C932A8" w:rsidRDefault="00C932A8" w:rsidP="00C932A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שמות עדי התביעה.</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לקובלנה יצורף כל מסמך שיש בו כדי לבסס אותה.</w:t>
      </w:r>
    </w:p>
    <w:p w:rsidR="000B62CD" w:rsidRDefault="000B62CD" w:rsidP="00C932A8">
      <w:pPr>
        <w:pStyle w:val="P00"/>
        <w:spacing w:before="72"/>
        <w:ind w:left="0" w:right="1134"/>
        <w:rPr>
          <w:rStyle w:val="default"/>
          <w:rFonts w:cs="FrankRuehl" w:hint="cs"/>
          <w:rtl/>
        </w:rPr>
      </w:pPr>
      <w:bookmarkStart w:id="5" w:name="Seif4"/>
      <w:bookmarkEnd w:id="5"/>
      <w:r>
        <w:rPr>
          <w:lang w:val="he-IL"/>
        </w:rPr>
        <w:pict>
          <v:rect id="_x0000_s1055" style="position:absolute;left:0;text-align:left;margin-left:464.5pt;margin-top:8.05pt;width:75.05pt;height:13.25pt;z-index:251646464" o:allowincell="f" filled="f" stroked="f" strokecolor="lime" strokeweight=".25pt">
            <v:textbox style="mso-next-textbox:#_x0000_s1055"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צירוף אישומים</w:t>
                  </w:r>
                </w:p>
              </w:txbxContent>
            </v:textbox>
            <w10:anchorlock/>
          </v:rect>
        </w:pict>
      </w:r>
      <w:r w:rsidR="00C932A8">
        <w:rPr>
          <w:rStyle w:val="big-number"/>
          <w:rFonts w:cs="Miriam" w:hint="cs"/>
          <w:rtl/>
        </w:rPr>
        <w:t>4</w:t>
      </w:r>
      <w:r w:rsidRPr="000B62CD">
        <w:rPr>
          <w:rStyle w:val="default"/>
          <w:rFonts w:cs="FrankRuehl"/>
          <w:rtl/>
        </w:rPr>
        <w:t>.</w:t>
      </w:r>
      <w:r w:rsidRPr="000B62CD">
        <w:rPr>
          <w:rStyle w:val="default"/>
          <w:rFonts w:cs="FrankRuehl"/>
          <w:rtl/>
        </w:rPr>
        <w:tab/>
      </w:r>
      <w:r w:rsidR="00C932A8">
        <w:rPr>
          <w:rStyle w:val="default"/>
          <w:rFonts w:cs="FrankRuehl" w:hint="cs"/>
          <w:rtl/>
        </w:rPr>
        <w:t>מותר לצרף בקובלנה אחת אישומי משמעת אחדים המתייחסים לאותו נקבל, אם הם מבוססים על אותן עובדות או על עובדות דומות או על סדרת מעשים הקשורים זה לזה באופן שהם נחשבים למאורע אחד.</w:t>
      </w:r>
    </w:p>
    <w:p w:rsidR="000B62CD" w:rsidRDefault="000B62CD" w:rsidP="00C932A8">
      <w:pPr>
        <w:pStyle w:val="P00"/>
        <w:spacing w:before="72"/>
        <w:ind w:left="0" w:right="1134"/>
        <w:rPr>
          <w:rStyle w:val="default"/>
          <w:rFonts w:cs="FrankRuehl" w:hint="cs"/>
          <w:rtl/>
        </w:rPr>
      </w:pPr>
      <w:bookmarkStart w:id="6" w:name="Seif5"/>
      <w:bookmarkEnd w:id="6"/>
      <w:r>
        <w:rPr>
          <w:lang w:val="he-IL"/>
        </w:rPr>
        <w:pict>
          <v:rect id="_x0000_s1056" style="position:absolute;left:0;text-align:left;margin-left:464.5pt;margin-top:8.05pt;width:75.05pt;height:13.25pt;z-index:251647488" o:allowincell="f" filled="f" stroked="f" strokecolor="lime" strokeweight=".25pt">
            <v:textbox style="mso-next-textbox:#_x0000_s1056"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צירוף נקבלים</w:t>
                  </w:r>
                </w:p>
              </w:txbxContent>
            </v:textbox>
            <w10:anchorlock/>
          </v:rect>
        </w:pict>
      </w:r>
      <w:r w:rsidR="00C932A8">
        <w:rPr>
          <w:rStyle w:val="big-number"/>
          <w:rFonts w:cs="Miriam" w:hint="cs"/>
          <w:rtl/>
        </w:rPr>
        <w:t>5</w:t>
      </w:r>
      <w:r w:rsidRPr="000B62CD">
        <w:rPr>
          <w:rStyle w:val="default"/>
          <w:rFonts w:cs="FrankRuehl"/>
          <w:rtl/>
        </w:rPr>
        <w:t>.</w:t>
      </w:r>
      <w:r w:rsidRPr="000B62CD">
        <w:rPr>
          <w:rStyle w:val="default"/>
          <w:rFonts w:cs="FrankRuehl"/>
          <w:rtl/>
        </w:rPr>
        <w:tab/>
      </w:r>
      <w:r w:rsidR="00C932A8">
        <w:rPr>
          <w:rStyle w:val="default"/>
          <w:rFonts w:cs="FrankRuehl" w:hint="cs"/>
          <w:rtl/>
        </w:rPr>
        <w:t>מותר להאשים בקובלנה אחת כמה נקבלים, אם כל אחד מהם היה צד לאחת מהעבירות שבקובלנה או אם האישום הוא בשל סדרת מעשים המיוחסים לנקבלים והקשורים זה לזה באופן שהם מהווים מאורע אחד.</w:t>
      </w:r>
    </w:p>
    <w:p w:rsidR="000B62CD" w:rsidRDefault="000B62CD" w:rsidP="00C932A8">
      <w:pPr>
        <w:pStyle w:val="P00"/>
        <w:spacing w:before="72"/>
        <w:ind w:left="0" w:right="1134"/>
        <w:rPr>
          <w:rStyle w:val="default"/>
          <w:rFonts w:cs="FrankRuehl" w:hint="cs"/>
          <w:rtl/>
        </w:rPr>
      </w:pPr>
      <w:bookmarkStart w:id="7" w:name="Seif6"/>
      <w:bookmarkEnd w:id="7"/>
      <w:r>
        <w:rPr>
          <w:lang w:val="he-IL"/>
        </w:rPr>
        <w:pict>
          <v:rect id="_x0000_s1057" style="position:absolute;left:0;text-align:left;margin-left:464.5pt;margin-top:8.05pt;width:75.05pt;height:13.25pt;z-index:251648512" o:allowincell="f" filled="f" stroked="f" strokecolor="lime" strokeweight=".25pt">
            <v:textbox style="mso-next-textbox:#_x0000_s1057"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הפרדת הדיון</w:t>
                  </w:r>
                </w:p>
              </w:txbxContent>
            </v:textbox>
            <w10:anchorlock/>
          </v:rect>
        </w:pict>
      </w:r>
      <w:r w:rsidR="00C932A8">
        <w:rPr>
          <w:rStyle w:val="big-number"/>
          <w:rFonts w:cs="Miriam" w:hint="cs"/>
          <w:rtl/>
        </w:rPr>
        <w:t>6</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ועדת המשמעת רשאית, בכל שלב שלפני הכרעת הדין, לצוות על הפרדת הדיון באישום פלוני שנכלל בקובלנה או על הפרדת דיונו של נקבל פלוני שהואשם עם אחרים.</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הופרד הדיון, תוגש קובלנה נפרדת בשל אישום שהדיון בו הופרד או נגד נקבל שדיונו הופרד.</w:t>
      </w:r>
    </w:p>
    <w:p w:rsidR="000B62CD" w:rsidRDefault="000B62CD" w:rsidP="00C932A8">
      <w:pPr>
        <w:pStyle w:val="P00"/>
        <w:spacing w:before="72"/>
        <w:ind w:left="0" w:right="1134"/>
        <w:rPr>
          <w:rStyle w:val="default"/>
          <w:rFonts w:cs="FrankRuehl" w:hint="cs"/>
          <w:rtl/>
        </w:rPr>
      </w:pPr>
      <w:bookmarkStart w:id="8" w:name="Seif7"/>
      <w:bookmarkEnd w:id="8"/>
      <w:r>
        <w:rPr>
          <w:lang w:val="he-IL"/>
        </w:rPr>
        <w:pict>
          <v:rect id="_x0000_s1058" style="position:absolute;left:0;text-align:left;margin-left:464.5pt;margin-top:8.05pt;width:75.05pt;height:18.85pt;z-index:251649536" o:allowincell="f" filled="f" stroked="f" strokecolor="lime" strokeweight=".25pt">
            <v:textbox style="mso-next-textbox:#_x0000_s1058"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חזרה מקובלנה או תיקונה</w:t>
                  </w:r>
                </w:p>
              </w:txbxContent>
            </v:textbox>
            <w10:anchorlock/>
          </v:rect>
        </w:pict>
      </w:r>
      <w:r w:rsidR="00C932A8">
        <w:rPr>
          <w:rStyle w:val="big-number"/>
          <w:rFonts w:cs="Miriam" w:hint="cs"/>
          <w:rtl/>
        </w:rPr>
        <w:t>7</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התובע רשאי לחזור בו מהאישומים שבקובלנה, כולם או מקצתם, או לתקנם; חזרה או תיקון כאמור לפני תחילת הדיון יהיו בהודעה בכתב לוועדת המשמעת; חזרה או תיקון כאמור לאחר תחילת הדיון יהיו ברשות ועדת המשמעת.</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חזר בו התובע מהאישומים שבקובלנה, כולם או מקצתם, לאחר תחילת הדיון ולפני תשובת הנקבל לאישום, תבטל ועדת המשמעת את הקובלנה, כולה או מקצתה; חזר בו לאחר מכן, תזכה ועדת המשמעת את הנקבל מן הקובלנה, כולה או מקצתה לפי העניין.</w:t>
      </w:r>
    </w:p>
    <w:p w:rsidR="00C932A8" w:rsidRDefault="00C932A8" w:rsidP="00C932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חזרה מהקובלנה, כולה או מקצתה, או על תיקון הקובלנה, תומצא לנקבל.</w:t>
      </w:r>
    </w:p>
    <w:p w:rsidR="00C932A8" w:rsidRPr="00C932A8" w:rsidRDefault="00C932A8" w:rsidP="00C932A8">
      <w:pPr>
        <w:pStyle w:val="header-2"/>
        <w:ind w:left="0" w:right="1134"/>
        <w:rPr>
          <w:rFonts w:cs="Miriam" w:hint="cs"/>
          <w:rtl/>
        </w:rPr>
      </w:pPr>
      <w:bookmarkStart w:id="9" w:name="hed21"/>
      <w:bookmarkEnd w:id="9"/>
      <w:r w:rsidRPr="00C932A8">
        <w:rPr>
          <w:rFonts w:cs="Miriam" w:hint="cs"/>
          <w:rtl/>
        </w:rPr>
        <w:t>סימן ב': הזמנת בעלי הדין והעדים</w:t>
      </w:r>
    </w:p>
    <w:p w:rsidR="000B62CD" w:rsidRDefault="000B62CD" w:rsidP="00C932A8">
      <w:pPr>
        <w:pStyle w:val="P00"/>
        <w:spacing w:before="72"/>
        <w:ind w:left="0" w:right="1134"/>
        <w:rPr>
          <w:rStyle w:val="default"/>
          <w:rFonts w:cs="FrankRuehl" w:hint="cs"/>
          <w:rtl/>
        </w:rPr>
      </w:pPr>
      <w:bookmarkStart w:id="10" w:name="Seif8"/>
      <w:bookmarkEnd w:id="10"/>
      <w:r>
        <w:rPr>
          <w:lang w:val="he-IL"/>
        </w:rPr>
        <w:pict>
          <v:rect id="_x0000_s1059" style="position:absolute;left:0;text-align:left;margin-left:464.5pt;margin-top:8.05pt;width:75.05pt;height:13.25pt;z-index:251650560" o:allowincell="f" filled="f" stroked="f" strokecolor="lime" strokeweight=".25pt">
            <v:textbox style="mso-next-textbox:#_x0000_s1059"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הזמנה לדיון</w:t>
                  </w:r>
                </w:p>
              </w:txbxContent>
            </v:textbox>
            <w10:anchorlock/>
          </v:rect>
        </w:pict>
      </w:r>
      <w:r w:rsidR="00C932A8">
        <w:rPr>
          <w:rStyle w:val="big-number"/>
          <w:rFonts w:cs="Miriam" w:hint="cs"/>
          <w:rtl/>
        </w:rPr>
        <w:t>8</w:t>
      </w:r>
      <w:r w:rsidRPr="000B62CD">
        <w:rPr>
          <w:rStyle w:val="default"/>
          <w:rFonts w:cs="FrankRuehl"/>
          <w:rtl/>
        </w:rPr>
        <w:t>.</w:t>
      </w:r>
      <w:r w:rsidRPr="000B62CD">
        <w:rPr>
          <w:rStyle w:val="default"/>
          <w:rFonts w:cs="FrankRuehl"/>
          <w:rtl/>
        </w:rPr>
        <w:tab/>
      </w:r>
      <w:r w:rsidR="00C932A8">
        <w:rPr>
          <w:rStyle w:val="default"/>
          <w:rFonts w:cs="FrankRuehl" w:hint="cs"/>
          <w:rtl/>
        </w:rPr>
        <w:t>יושב ראש ועדת המשמעת יקבע את מועד הדיון; התובע והנקבל יקבלו מוועדת המשמעת הזמנה בכתב שיצוינו בה המקום והמועד להתייצבותם; ואולם אם נקבעה ישיבה נדחית בנוכחות התובע, הנקבל או בא כוחו, לא תהיה חובה להזמינם בכתב כאמור.</w:t>
      </w:r>
    </w:p>
    <w:p w:rsidR="000B62CD" w:rsidRDefault="000B62CD" w:rsidP="00C932A8">
      <w:pPr>
        <w:pStyle w:val="P00"/>
        <w:spacing w:before="72"/>
        <w:ind w:left="0" w:right="1134"/>
        <w:rPr>
          <w:rStyle w:val="default"/>
          <w:rFonts w:cs="FrankRuehl" w:hint="cs"/>
          <w:rtl/>
        </w:rPr>
      </w:pPr>
      <w:bookmarkStart w:id="11" w:name="Seif9"/>
      <w:bookmarkEnd w:id="11"/>
      <w:r>
        <w:rPr>
          <w:lang w:val="he-IL"/>
        </w:rPr>
        <w:pict>
          <v:rect id="_x0000_s1060" style="position:absolute;left:0;text-align:left;margin-left:464.5pt;margin-top:8.05pt;width:75.05pt;height:13.25pt;z-index:251651584" o:allowincell="f" filled="f" stroked="f" strokecolor="lime" strokeweight=".25pt">
            <v:textbox style="mso-next-textbox:#_x0000_s1060"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הזמנת עדים</w:t>
                  </w:r>
                </w:p>
              </w:txbxContent>
            </v:textbox>
            <w10:anchorlock/>
          </v:rect>
        </w:pict>
      </w:r>
      <w:r w:rsidR="00C932A8">
        <w:rPr>
          <w:rStyle w:val="big-number"/>
          <w:rFonts w:cs="Miriam" w:hint="cs"/>
          <w:rtl/>
        </w:rPr>
        <w:t>9</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יושב ראש ועדת המשמעת יזמין לדיון את העדים אשר ועדת המשמעת ראתה לנכון להזמין, בין לבקשת התובע או הנקבל ובין מיוזמתה, זולת אם ראתה שאין בעדות צורך או שהיא התבקשה למטרה שאיננה גילוי האמת.</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הזמנת עד תהיה בהמצאת הזמנה בכתב לעד או בהודעה בעל פה לעד על ידי ועדת המשמעת בשעת דיון.</w:t>
      </w:r>
    </w:p>
    <w:p w:rsidR="000B62CD" w:rsidRDefault="000B62CD" w:rsidP="00C932A8">
      <w:pPr>
        <w:pStyle w:val="P00"/>
        <w:spacing w:before="72"/>
        <w:ind w:left="0" w:right="1134"/>
        <w:rPr>
          <w:rStyle w:val="default"/>
          <w:rFonts w:cs="FrankRuehl" w:hint="cs"/>
          <w:rtl/>
        </w:rPr>
      </w:pPr>
      <w:bookmarkStart w:id="12" w:name="Seif10"/>
      <w:bookmarkEnd w:id="12"/>
      <w:r>
        <w:rPr>
          <w:lang w:val="he-IL"/>
        </w:rPr>
        <w:pict>
          <v:rect id="_x0000_s1061" style="position:absolute;left:0;text-align:left;margin-left:464.5pt;margin-top:8.05pt;width:75.05pt;height:11.9pt;z-index:251652608" o:allowincell="f" filled="f" stroked="f" strokecolor="lime" strokeweight=".25pt">
            <v:textbox style="mso-next-textbox:#_x0000_s1061"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צורת ההזמנה ותוכנה</w:t>
                  </w:r>
                </w:p>
              </w:txbxContent>
            </v:textbox>
            <w10:anchorlock/>
          </v:rect>
        </w:pict>
      </w:r>
      <w:r>
        <w:rPr>
          <w:rStyle w:val="big-number"/>
          <w:rFonts w:cs="Miriam" w:hint="cs"/>
          <w:rtl/>
        </w:rPr>
        <w:t>10</w:t>
      </w:r>
      <w:r w:rsidRPr="000B62CD">
        <w:rPr>
          <w:rStyle w:val="default"/>
          <w:rFonts w:cs="FrankRuehl"/>
          <w:rtl/>
        </w:rPr>
        <w:t>.</w:t>
      </w:r>
      <w:r w:rsidRPr="000B62CD">
        <w:rPr>
          <w:rStyle w:val="default"/>
          <w:rFonts w:cs="FrankRuehl"/>
          <w:rtl/>
        </w:rPr>
        <w:tab/>
      </w:r>
      <w:r w:rsidR="00C932A8">
        <w:rPr>
          <w:rStyle w:val="default"/>
          <w:rFonts w:cs="FrankRuehl" w:hint="cs"/>
          <w:rtl/>
        </w:rPr>
        <w:t>הזמנת עד בכתב תהיה חתומה בידי מי שקבע לכך יושב ראש ועדת המשמעת ותכיל פרטים אלה:</w:t>
      </w:r>
    </w:p>
    <w:p w:rsidR="00C932A8" w:rsidRDefault="00C932A8" w:rsidP="00C932A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העד המוזמן ומענו;</w:t>
      </w:r>
    </w:p>
    <w:p w:rsidR="00C932A8" w:rsidRDefault="00C932A8" w:rsidP="00C932A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שם התובע;</w:t>
      </w:r>
    </w:p>
    <w:p w:rsidR="00C932A8" w:rsidRDefault="00C932A8" w:rsidP="00C932A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הנקבל;</w:t>
      </w:r>
    </w:p>
    <w:p w:rsidR="00C932A8" w:rsidRDefault="00C932A8" w:rsidP="00C932A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המקום והמועד שבהם יש להתייצב או להגיש את המסמכים שיפורטו בהזמנה; נדרש העד להתייצב, יצוין הצורך שלשמו נדרשת ההתייצבות; הדרש העד להציג או להגיש מסמך, יתואר המסמך בהזמנה בדיוק סביר.</w:t>
      </w:r>
    </w:p>
    <w:p w:rsidR="00C932A8" w:rsidRPr="00C932A8" w:rsidRDefault="00C932A8" w:rsidP="00C932A8">
      <w:pPr>
        <w:pStyle w:val="medium2-header"/>
        <w:keepLines w:val="0"/>
        <w:spacing w:before="72"/>
        <w:ind w:left="0" w:right="1134"/>
        <w:rPr>
          <w:rFonts w:cs="FrankRuehl" w:hint="cs"/>
          <w:noProof/>
          <w:rtl/>
        </w:rPr>
      </w:pPr>
      <w:bookmarkStart w:id="13" w:name="med1"/>
      <w:bookmarkEnd w:id="13"/>
      <w:r w:rsidRPr="00C932A8">
        <w:rPr>
          <w:rFonts w:cs="FrankRuehl" w:hint="cs"/>
          <w:noProof/>
          <w:rtl/>
        </w:rPr>
        <w:t>פרק שני: הליכי הדיון לפני ועדת המשמעת</w:t>
      </w:r>
    </w:p>
    <w:p w:rsidR="00C932A8" w:rsidRPr="00C932A8" w:rsidRDefault="00C932A8" w:rsidP="00C932A8">
      <w:pPr>
        <w:pStyle w:val="header-2"/>
        <w:ind w:left="0" w:right="1134"/>
        <w:rPr>
          <w:rFonts w:cs="Miriam" w:hint="cs"/>
          <w:rtl/>
        </w:rPr>
      </w:pPr>
      <w:bookmarkStart w:id="14" w:name="hed22"/>
      <w:bookmarkEnd w:id="14"/>
      <w:r w:rsidRPr="00C932A8">
        <w:rPr>
          <w:rFonts w:cs="Miriam" w:hint="cs"/>
          <w:rtl/>
        </w:rPr>
        <w:t>סימן א': ניהול הדיון</w:t>
      </w:r>
    </w:p>
    <w:p w:rsidR="000B62CD" w:rsidRDefault="000B62CD" w:rsidP="00C932A8">
      <w:pPr>
        <w:pStyle w:val="P00"/>
        <w:spacing w:before="72"/>
        <w:ind w:left="0" w:right="1134"/>
        <w:rPr>
          <w:rStyle w:val="default"/>
          <w:rFonts w:cs="FrankRuehl" w:hint="cs"/>
          <w:rtl/>
        </w:rPr>
      </w:pPr>
      <w:bookmarkStart w:id="15" w:name="Seif11"/>
      <w:bookmarkEnd w:id="15"/>
      <w:r>
        <w:rPr>
          <w:lang w:val="he-IL"/>
        </w:rPr>
        <w:pict>
          <v:rect id="_x0000_s1062" style="position:absolute;left:0;text-align:left;margin-left:464.5pt;margin-top:8.05pt;width:75.05pt;height:13.25pt;z-index:251653632" o:allowincell="f" filled="f" stroked="f" strokecolor="lime" strokeweight=".25pt">
            <v:textbox style="mso-next-textbox:#_x0000_s1062"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ניהול הדיון</w:t>
                  </w:r>
                </w:p>
              </w:txbxContent>
            </v:textbox>
            <w10:anchorlock/>
          </v:rect>
        </w:pict>
      </w:r>
      <w:r>
        <w:rPr>
          <w:rStyle w:val="big-number"/>
          <w:rFonts w:cs="Miriam" w:hint="cs"/>
          <w:rtl/>
        </w:rPr>
        <w:t>1</w:t>
      </w:r>
      <w:r w:rsidR="00C932A8">
        <w:rPr>
          <w:rStyle w:val="big-number"/>
          <w:rFonts w:cs="Miriam" w:hint="cs"/>
          <w:rtl/>
        </w:rPr>
        <w:t>1</w:t>
      </w:r>
      <w:r w:rsidRPr="000B62CD">
        <w:rPr>
          <w:rStyle w:val="default"/>
          <w:rFonts w:cs="FrankRuehl"/>
          <w:rtl/>
        </w:rPr>
        <w:t>.</w:t>
      </w:r>
      <w:r w:rsidRPr="000B62CD">
        <w:rPr>
          <w:rStyle w:val="default"/>
          <w:rFonts w:cs="FrankRuehl"/>
          <w:rtl/>
        </w:rPr>
        <w:tab/>
      </w:r>
      <w:r w:rsidR="00C932A8">
        <w:rPr>
          <w:rStyle w:val="default"/>
          <w:rFonts w:cs="FrankRuehl" w:hint="cs"/>
          <w:rtl/>
        </w:rPr>
        <w:t>יושב ראש ועדת המשמעת ינהל את הדיון, והוא רשאי להורות כל הוראה הדרושה לקיום הסדר במקום הדיון.</w:t>
      </w:r>
    </w:p>
    <w:p w:rsidR="000B62CD" w:rsidRDefault="000B62CD" w:rsidP="00C932A8">
      <w:pPr>
        <w:pStyle w:val="P00"/>
        <w:spacing w:before="72"/>
        <w:ind w:left="0" w:right="1134"/>
        <w:rPr>
          <w:rStyle w:val="default"/>
          <w:rFonts w:cs="FrankRuehl" w:hint="cs"/>
          <w:rtl/>
        </w:rPr>
      </w:pPr>
      <w:bookmarkStart w:id="16" w:name="Seif12"/>
      <w:bookmarkEnd w:id="16"/>
      <w:r>
        <w:rPr>
          <w:lang w:val="he-IL"/>
        </w:rPr>
        <w:pict>
          <v:rect id="_x0000_s1063" style="position:absolute;left:0;text-align:left;margin-left:464.5pt;margin-top:8.05pt;width:75.05pt;height:13.25pt;z-index:251654656" o:allowincell="f" filled="f" stroked="f" strokecolor="lime" strokeweight=".25pt">
            <v:textbox style="mso-next-textbox:#_x0000_s1063"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פרוטוקול</w:t>
                  </w:r>
                </w:p>
              </w:txbxContent>
            </v:textbox>
            <w10:anchorlock/>
          </v:rect>
        </w:pict>
      </w:r>
      <w:r>
        <w:rPr>
          <w:rStyle w:val="big-number"/>
          <w:rFonts w:cs="Miriam" w:hint="cs"/>
          <w:rtl/>
        </w:rPr>
        <w:t>1</w:t>
      </w:r>
      <w:r w:rsidR="00C932A8">
        <w:rPr>
          <w:rStyle w:val="big-number"/>
          <w:rFonts w:cs="Miriam" w:hint="cs"/>
          <w:rtl/>
        </w:rPr>
        <w:t>2</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יושב ראש ועדת המשמעת ינהל פרוטוקול של הדיון, והוא רשאי לתת הוראות לעניין זה; כמו כן, רשאי היושב ראש להורות שהפרוטוקול יירשם בידי אחר או בדרך שיורה.</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הקובלנה, הפרוטוקול, וכל המסמכים שהוגשו לוועדת המשמעת בנוגע לאותו דיון יתויקו בתיק הדיון.</w:t>
      </w:r>
    </w:p>
    <w:p w:rsidR="00C932A8" w:rsidRPr="00C932A8" w:rsidRDefault="00C932A8" w:rsidP="00C932A8">
      <w:pPr>
        <w:pStyle w:val="header-2"/>
        <w:ind w:left="0" w:right="1134"/>
        <w:rPr>
          <w:rFonts w:cs="Miriam" w:hint="cs"/>
          <w:rtl/>
        </w:rPr>
      </w:pPr>
      <w:bookmarkStart w:id="17" w:name="hed23"/>
      <w:bookmarkEnd w:id="17"/>
      <w:r w:rsidRPr="00C932A8">
        <w:rPr>
          <w:rFonts w:cs="Miriam" w:hint="cs"/>
          <w:rtl/>
        </w:rPr>
        <w:t>סימן ב': בירור האשמה</w:t>
      </w:r>
    </w:p>
    <w:p w:rsidR="000B62CD" w:rsidRDefault="000B62CD" w:rsidP="00C932A8">
      <w:pPr>
        <w:pStyle w:val="P00"/>
        <w:spacing w:before="72"/>
        <w:ind w:left="0" w:right="1134"/>
        <w:rPr>
          <w:rStyle w:val="default"/>
          <w:rFonts w:cs="FrankRuehl" w:hint="cs"/>
          <w:rtl/>
        </w:rPr>
      </w:pPr>
      <w:bookmarkStart w:id="18" w:name="Seif13"/>
      <w:bookmarkEnd w:id="18"/>
      <w:r>
        <w:rPr>
          <w:lang w:val="he-IL"/>
        </w:rPr>
        <w:pict>
          <v:rect id="_x0000_s1064" style="position:absolute;left:0;text-align:left;margin-left:464.5pt;margin-top:8.05pt;width:75.05pt;height:22.35pt;z-index:251655680" o:allowincell="f" filled="f" stroked="f" strokecolor="lime" strokeweight=".25pt">
            <v:textbox style="mso-next-textbox:#_x0000_s1064"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תשובת הנקבל לקובלנה</w:t>
                  </w:r>
                </w:p>
              </w:txbxContent>
            </v:textbox>
            <w10:anchorlock/>
          </v:rect>
        </w:pict>
      </w:r>
      <w:r>
        <w:rPr>
          <w:rStyle w:val="big-number"/>
          <w:rFonts w:cs="Miriam" w:hint="cs"/>
          <w:rtl/>
        </w:rPr>
        <w:t>1</w:t>
      </w:r>
      <w:r w:rsidR="00C932A8">
        <w:rPr>
          <w:rStyle w:val="big-number"/>
          <w:rFonts w:cs="Miriam" w:hint="cs"/>
          <w:rtl/>
        </w:rPr>
        <w:t>3</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בתחילת הדיון יזהה יושב ראש ועדת המשמעת את הנקבל, יקרא לפניו את הקובלנה או יוודא שקרא את הקובלנה והבין את הנטען בה, וישאל אותו לתשובתו לקובלנה.</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הנקבל רשאי להודות בעובדות הנטענות בכתב הקובלנה, כולן או מקצתן, או לכפור בהן וכן לטעון עובדות נוספות, בין אם הודה כאמור ובין אם לאו.</w:t>
      </w:r>
    </w:p>
    <w:p w:rsidR="000B62CD" w:rsidRDefault="000B62CD" w:rsidP="00C932A8">
      <w:pPr>
        <w:pStyle w:val="P00"/>
        <w:spacing w:before="72"/>
        <w:ind w:left="0" w:right="1134"/>
        <w:rPr>
          <w:rStyle w:val="default"/>
          <w:rFonts w:cs="FrankRuehl" w:hint="cs"/>
          <w:rtl/>
        </w:rPr>
      </w:pPr>
      <w:bookmarkStart w:id="19" w:name="Seif14"/>
      <w:bookmarkEnd w:id="19"/>
      <w:r>
        <w:rPr>
          <w:lang w:val="he-IL"/>
        </w:rPr>
        <w:pict>
          <v:rect id="_x0000_s1065" style="position:absolute;left:0;text-align:left;margin-left:464.5pt;margin-top:8.05pt;width:75.05pt;height:21.45pt;z-index:251656704" o:allowincell="f" filled="f" stroked="f" strokecolor="lime" strokeweight=".25pt">
            <v:textbox style="mso-next-textbox:#_x0000_s1065"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ראיות מטעם התובע והנקבל</w:t>
                  </w:r>
                </w:p>
              </w:txbxContent>
            </v:textbox>
            <w10:anchorlock/>
          </v:rect>
        </w:pict>
      </w:r>
      <w:r>
        <w:rPr>
          <w:rStyle w:val="big-number"/>
          <w:rFonts w:cs="Miriam" w:hint="cs"/>
          <w:rtl/>
        </w:rPr>
        <w:t>1</w:t>
      </w:r>
      <w:r w:rsidR="00C932A8">
        <w:rPr>
          <w:rStyle w:val="big-number"/>
          <w:rFonts w:cs="Miriam" w:hint="cs"/>
          <w:rtl/>
        </w:rPr>
        <w:t>4</w:t>
      </w:r>
      <w:r w:rsidRPr="000B62CD">
        <w:rPr>
          <w:rStyle w:val="default"/>
          <w:rFonts w:cs="FrankRuehl"/>
          <w:rtl/>
        </w:rPr>
        <w:t>.</w:t>
      </w:r>
      <w:r w:rsidRPr="000B62CD">
        <w:rPr>
          <w:rStyle w:val="default"/>
          <w:rFonts w:cs="FrankRuehl"/>
          <w:rtl/>
        </w:rPr>
        <w:tab/>
      </w:r>
      <w:r w:rsidR="00C932A8">
        <w:rPr>
          <w:rStyle w:val="default"/>
          <w:rFonts w:cs="FrankRuehl" w:hint="cs"/>
          <w:rtl/>
        </w:rPr>
        <w:t>כפר הנקבל לפני ועדת המשמעת בעובדות הנטענות בקובלנה, כולן או מקצתן, או טען עובדות נוספות, רשאים התובע ואחריו הנקבל להביא עדים מטעמם ולהגיש ראיות אחרות.</w:t>
      </w:r>
    </w:p>
    <w:p w:rsidR="000B62CD" w:rsidRDefault="000B62CD" w:rsidP="00C932A8">
      <w:pPr>
        <w:pStyle w:val="P00"/>
        <w:spacing w:before="72"/>
        <w:ind w:left="0" w:right="1134"/>
        <w:rPr>
          <w:rStyle w:val="default"/>
          <w:rFonts w:cs="FrankRuehl" w:hint="cs"/>
          <w:rtl/>
        </w:rPr>
      </w:pPr>
      <w:bookmarkStart w:id="20" w:name="Seif15"/>
      <w:bookmarkEnd w:id="20"/>
      <w:r>
        <w:rPr>
          <w:lang w:val="he-IL"/>
        </w:rPr>
        <w:pict>
          <v:rect id="_x0000_s1066" style="position:absolute;left:0;text-align:left;margin-left:464.5pt;margin-top:8.05pt;width:75.05pt;height:27.7pt;z-index:251657728" o:allowincell="f" filled="f" stroked="f" strokecolor="lime" strokeweight=".25pt">
            <v:textbox style="mso-next-textbox:#_x0000_s1066"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ראיות מטעם ועדת המשמעת וראיות נוספות</w:t>
                  </w:r>
                </w:p>
              </w:txbxContent>
            </v:textbox>
            <w10:anchorlock/>
          </v:rect>
        </w:pict>
      </w:r>
      <w:r>
        <w:rPr>
          <w:rStyle w:val="big-number"/>
          <w:rFonts w:cs="Miriam" w:hint="cs"/>
          <w:rtl/>
        </w:rPr>
        <w:t>1</w:t>
      </w:r>
      <w:r w:rsidR="00C932A8">
        <w:rPr>
          <w:rStyle w:val="big-number"/>
          <w:rFonts w:cs="Miriam" w:hint="cs"/>
          <w:rtl/>
        </w:rPr>
        <w:t>5</w:t>
      </w:r>
      <w:r w:rsidRPr="000B62CD">
        <w:rPr>
          <w:rStyle w:val="default"/>
          <w:rFonts w:cs="FrankRuehl"/>
          <w:rtl/>
        </w:rPr>
        <w:t>.</w:t>
      </w:r>
      <w:r w:rsidRPr="000B62CD">
        <w:rPr>
          <w:rStyle w:val="default"/>
          <w:rFonts w:cs="FrankRuehl"/>
          <w:rtl/>
        </w:rPr>
        <w:tab/>
      </w:r>
      <w:r w:rsidR="00C932A8">
        <w:rPr>
          <w:rStyle w:val="default"/>
          <w:rFonts w:cs="FrankRuehl" w:hint="cs"/>
          <w:rtl/>
        </w:rPr>
        <w:t>סיימו התובע והנקבל את הבאת ראיותיהם, רשאית ועדת המשמעת להזמין עד מטעמה, אפילו נשמעה כבר עדותו, ולהורות על הגשת כל ראיה אחרת, ורשאית היא להרשות לתובע ולנקבל, לבקשתם, להביא ראיות נוספות, והכול אם ראתה צורך בכך.</w:t>
      </w:r>
    </w:p>
    <w:p w:rsidR="000B62CD" w:rsidRDefault="000B62CD" w:rsidP="00C932A8">
      <w:pPr>
        <w:pStyle w:val="P00"/>
        <w:spacing w:before="72"/>
        <w:ind w:left="0" w:right="1134"/>
        <w:rPr>
          <w:rStyle w:val="default"/>
          <w:rFonts w:cs="FrankRuehl" w:hint="cs"/>
          <w:rtl/>
        </w:rPr>
      </w:pPr>
      <w:bookmarkStart w:id="21" w:name="Seif16"/>
      <w:bookmarkEnd w:id="21"/>
      <w:r>
        <w:rPr>
          <w:lang w:val="he-IL"/>
        </w:rPr>
        <w:pict>
          <v:rect id="_x0000_s1067" style="position:absolute;left:0;text-align:left;margin-left:464.5pt;margin-top:8.05pt;width:75.05pt;height:21pt;z-index:251658752" o:allowincell="f" filled="f" stroked="f" strokecolor="lime" strokeweight=".25pt">
            <v:textbox style="mso-next-textbox:#_x0000_s1067"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סדר חקירת עדים והגשת ראיות אחרות</w:t>
                  </w:r>
                </w:p>
              </w:txbxContent>
            </v:textbox>
            <w10:anchorlock/>
          </v:rect>
        </w:pict>
      </w:r>
      <w:r>
        <w:rPr>
          <w:rStyle w:val="big-number"/>
          <w:rFonts w:cs="Miriam" w:hint="cs"/>
          <w:rtl/>
        </w:rPr>
        <w:t>1</w:t>
      </w:r>
      <w:r w:rsidR="00C932A8">
        <w:rPr>
          <w:rStyle w:val="big-number"/>
          <w:rFonts w:cs="Miriam" w:hint="cs"/>
          <w:rtl/>
        </w:rPr>
        <w:t>6</w:t>
      </w:r>
      <w:r w:rsidRPr="000B62CD">
        <w:rPr>
          <w:rStyle w:val="default"/>
          <w:rFonts w:cs="FrankRuehl"/>
          <w:rtl/>
        </w:rPr>
        <w:t>.</w:t>
      </w:r>
      <w:r w:rsidRPr="000B62CD">
        <w:rPr>
          <w:rStyle w:val="default"/>
          <w:rFonts w:cs="FrankRuehl"/>
          <w:rtl/>
        </w:rPr>
        <w:tab/>
      </w:r>
      <w:r w:rsidR="00C932A8">
        <w:rPr>
          <w:rStyle w:val="default"/>
          <w:rFonts w:cs="FrankRuehl" w:hint="cs"/>
          <w:rtl/>
        </w:rPr>
        <w:t>סדר חקירת העדים והגשת ראיות אחרות יהיה, ככל האפשר, כסדר הנהוג במשפט פלילי.</w:t>
      </w:r>
    </w:p>
    <w:p w:rsidR="000B62CD" w:rsidRDefault="000B62CD" w:rsidP="00C932A8">
      <w:pPr>
        <w:pStyle w:val="P00"/>
        <w:spacing w:before="72"/>
        <w:ind w:left="0" w:right="1134"/>
        <w:rPr>
          <w:rStyle w:val="default"/>
          <w:rFonts w:cs="FrankRuehl" w:hint="cs"/>
          <w:rtl/>
        </w:rPr>
      </w:pPr>
      <w:bookmarkStart w:id="22" w:name="Seif17"/>
      <w:bookmarkEnd w:id="22"/>
      <w:r>
        <w:rPr>
          <w:lang w:val="he-IL"/>
        </w:rPr>
        <w:pict>
          <v:rect id="_x0000_s1068" style="position:absolute;left:0;text-align:left;margin-left:464.5pt;margin-top:8.05pt;width:75.05pt;height:13.25pt;z-index:251659776" o:allowincell="f" filled="f" stroked="f" strokecolor="lime" strokeweight=".25pt">
            <v:textbox style="mso-next-textbox:#_x0000_s1068"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סיכומים</w:t>
                  </w:r>
                </w:p>
              </w:txbxContent>
            </v:textbox>
            <w10:anchorlock/>
          </v:rect>
        </w:pict>
      </w:r>
      <w:r>
        <w:rPr>
          <w:rStyle w:val="big-number"/>
          <w:rFonts w:cs="Miriam" w:hint="cs"/>
          <w:rtl/>
        </w:rPr>
        <w:t>1</w:t>
      </w:r>
      <w:r w:rsidR="00C932A8">
        <w:rPr>
          <w:rStyle w:val="big-number"/>
          <w:rFonts w:cs="Miriam" w:hint="cs"/>
          <w:rtl/>
        </w:rPr>
        <w:t>7</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 xml:space="preserve">בתום הבאת הראיות או במקומה </w:t>
      </w:r>
      <w:r w:rsidR="00C932A8">
        <w:rPr>
          <w:rStyle w:val="default"/>
          <w:rFonts w:cs="FrankRuehl"/>
          <w:rtl/>
        </w:rPr>
        <w:t>–</w:t>
      </w:r>
      <w:r w:rsidR="00C932A8">
        <w:rPr>
          <w:rStyle w:val="default"/>
          <w:rFonts w:cs="FrankRuehl" w:hint="cs"/>
          <w:rtl/>
        </w:rPr>
        <w:t xml:space="preserve"> אם לא הובאו ראיות עקב הודאת הנקבל בעובדות או מטעם אחר </w:t>
      </w:r>
      <w:r w:rsidR="00C932A8">
        <w:rPr>
          <w:rStyle w:val="default"/>
          <w:rFonts w:cs="FrankRuehl"/>
          <w:rtl/>
        </w:rPr>
        <w:t>–</w:t>
      </w:r>
      <w:r w:rsidR="00C932A8">
        <w:rPr>
          <w:rStyle w:val="default"/>
          <w:rFonts w:cs="FrankRuehl" w:hint="cs"/>
          <w:rtl/>
        </w:rPr>
        <w:t xml:space="preserve"> רשאים התובע ואחריו הנקבל להשמיע את סיכומיהם לעניין האשמה.</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המשמעת רשאית שהסיכומים, כולם או מקצתם, יוגשו לה בכתב, לפי סדר שתורה ובמועדים שתורה.</w:t>
      </w:r>
    </w:p>
    <w:p w:rsidR="00C932A8" w:rsidRPr="00C932A8" w:rsidRDefault="00C932A8" w:rsidP="00C932A8">
      <w:pPr>
        <w:pStyle w:val="header-2"/>
        <w:ind w:left="0" w:right="1134"/>
        <w:rPr>
          <w:rFonts w:cs="Miriam" w:hint="cs"/>
          <w:rtl/>
        </w:rPr>
      </w:pPr>
      <w:bookmarkStart w:id="23" w:name="hed24"/>
      <w:bookmarkEnd w:id="23"/>
      <w:r w:rsidRPr="00C932A8">
        <w:rPr>
          <w:rFonts w:cs="Miriam" w:hint="cs"/>
          <w:rtl/>
        </w:rPr>
        <w:t>סימן ג': פסק דין</w:t>
      </w:r>
    </w:p>
    <w:p w:rsidR="000B62CD" w:rsidRDefault="000B62CD" w:rsidP="004F46DA">
      <w:pPr>
        <w:pStyle w:val="P00"/>
        <w:spacing w:before="72"/>
        <w:ind w:left="0" w:right="1134"/>
        <w:rPr>
          <w:rStyle w:val="default"/>
          <w:rFonts w:cs="FrankRuehl" w:hint="cs"/>
          <w:rtl/>
        </w:rPr>
      </w:pPr>
      <w:bookmarkStart w:id="24" w:name="Seif18"/>
      <w:bookmarkEnd w:id="24"/>
      <w:r>
        <w:rPr>
          <w:lang w:val="he-IL"/>
        </w:rPr>
        <w:pict>
          <v:rect id="_x0000_s1069" style="position:absolute;left:0;text-align:left;margin-left:464.5pt;margin-top:8.05pt;width:75.05pt;height:13.25pt;z-index:251660800" o:allowincell="f" filled="f" stroked="f" strokecolor="lime" strokeweight=".25pt">
            <v:textbox style="mso-next-textbox:#_x0000_s1069" inset="0,0,0,0">
              <w:txbxContent>
                <w:p w:rsidR="000B62CD" w:rsidRDefault="00C932A8" w:rsidP="000B62CD">
                  <w:pPr>
                    <w:spacing w:line="160" w:lineRule="exact"/>
                    <w:jc w:val="left"/>
                    <w:rPr>
                      <w:rFonts w:cs="Miriam" w:hint="cs"/>
                      <w:noProof/>
                      <w:sz w:val="18"/>
                      <w:szCs w:val="18"/>
                      <w:rtl/>
                    </w:rPr>
                  </w:pPr>
                  <w:r>
                    <w:rPr>
                      <w:rFonts w:cs="Miriam" w:hint="cs"/>
                      <w:sz w:val="18"/>
                      <w:szCs w:val="18"/>
                      <w:rtl/>
                    </w:rPr>
                    <w:t>הכרעת הדין</w:t>
                  </w:r>
                </w:p>
              </w:txbxContent>
            </v:textbox>
            <w10:anchorlock/>
          </v:rect>
        </w:pict>
      </w:r>
      <w:r>
        <w:rPr>
          <w:rStyle w:val="big-number"/>
          <w:rFonts w:cs="Miriam" w:hint="cs"/>
          <w:rtl/>
        </w:rPr>
        <w:t>1</w:t>
      </w:r>
      <w:r w:rsidR="004F46DA">
        <w:rPr>
          <w:rStyle w:val="big-number"/>
          <w:rFonts w:cs="Miriam" w:hint="cs"/>
          <w:rtl/>
        </w:rPr>
        <w:t>8</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C932A8">
        <w:rPr>
          <w:rStyle w:val="default"/>
          <w:rFonts w:cs="FrankRuehl" w:hint="cs"/>
          <w:rtl/>
        </w:rPr>
        <w:t xml:space="preserve">לאחר בירור הקובלנה ולא יאוחר מ-60 ימים מיום סיום הדיון האחרון, ואם הסתיים הדיון בסיכומים בכתב </w:t>
      </w:r>
      <w:r w:rsidR="00C932A8">
        <w:rPr>
          <w:rStyle w:val="default"/>
          <w:rFonts w:cs="FrankRuehl"/>
          <w:rtl/>
        </w:rPr>
        <w:t>–</w:t>
      </w:r>
      <w:r w:rsidR="00C932A8">
        <w:rPr>
          <w:rStyle w:val="default"/>
          <w:rFonts w:cs="FrankRuehl" w:hint="cs"/>
          <w:rtl/>
        </w:rPr>
        <w:t xml:space="preserve"> מיום שהשלמה קבלת סיכומי התובע והנקבל, תכריע ועדת המשמעת אם הנקבל עבר עבירת משמעת אם לאו (להלן </w:t>
      </w:r>
      <w:r w:rsidR="00C932A8">
        <w:rPr>
          <w:rStyle w:val="default"/>
          <w:rFonts w:cs="FrankRuehl"/>
          <w:rtl/>
        </w:rPr>
        <w:t>–</w:t>
      </w:r>
      <w:r w:rsidR="00C932A8">
        <w:rPr>
          <w:rStyle w:val="default"/>
          <w:rFonts w:cs="FrankRuehl" w:hint="cs"/>
          <w:rtl/>
        </w:rPr>
        <w:t xml:space="preserve"> הכרעת הדין).</w:t>
      </w:r>
    </w:p>
    <w:p w:rsidR="00C932A8" w:rsidRDefault="00C932A8" w:rsidP="00C932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הכרעת הדין תהיה בכתב, תנומק ותיקרא בפני התובע והנקבל או שיומצא להם העתק ממנה, כפי שתורה ועדת המשמעת.</w:t>
      </w:r>
    </w:p>
    <w:p w:rsidR="000B62CD" w:rsidRDefault="000B62CD" w:rsidP="00F232BF">
      <w:pPr>
        <w:pStyle w:val="P00"/>
        <w:spacing w:before="72"/>
        <w:ind w:left="0" w:right="1134"/>
        <w:rPr>
          <w:rStyle w:val="default"/>
          <w:rFonts w:cs="FrankRuehl" w:hint="cs"/>
          <w:rtl/>
        </w:rPr>
      </w:pPr>
      <w:bookmarkStart w:id="25" w:name="Seif19"/>
      <w:bookmarkEnd w:id="25"/>
      <w:r>
        <w:rPr>
          <w:lang w:val="he-IL"/>
        </w:rPr>
        <w:pict>
          <v:rect id="_x0000_s1070" style="position:absolute;left:0;text-align:left;margin-left:464.5pt;margin-top:8.05pt;width:75.05pt;height:20.75pt;z-index:251661824" o:allowincell="f" filled="f" stroked="f" strokecolor="lime" strokeweight=".25pt">
            <v:textbox style="mso-next-textbox:#_x0000_s1070" inset="0,0,0,0">
              <w:txbxContent>
                <w:p w:rsidR="000B62CD" w:rsidRDefault="004F46DA" w:rsidP="000B62CD">
                  <w:pPr>
                    <w:spacing w:line="160" w:lineRule="exact"/>
                    <w:jc w:val="left"/>
                    <w:rPr>
                      <w:rFonts w:cs="Miriam" w:hint="cs"/>
                      <w:noProof/>
                      <w:sz w:val="18"/>
                      <w:szCs w:val="18"/>
                      <w:rtl/>
                    </w:rPr>
                  </w:pPr>
                  <w:r>
                    <w:rPr>
                      <w:rFonts w:cs="Miriam" w:hint="cs"/>
                      <w:sz w:val="18"/>
                      <w:szCs w:val="18"/>
                      <w:rtl/>
                    </w:rPr>
                    <w:t>עבירות משמעת אחרות</w:t>
                  </w:r>
                </w:p>
              </w:txbxContent>
            </v:textbox>
            <w10:anchorlock/>
          </v:rect>
        </w:pict>
      </w:r>
      <w:r>
        <w:rPr>
          <w:rStyle w:val="big-number"/>
          <w:rFonts w:cs="Miriam" w:hint="cs"/>
          <w:rtl/>
        </w:rPr>
        <w:t>1</w:t>
      </w:r>
      <w:r w:rsidR="004F46DA">
        <w:rPr>
          <w:rStyle w:val="big-number"/>
          <w:rFonts w:cs="Miriam" w:hint="cs"/>
          <w:rtl/>
        </w:rPr>
        <w:t>9</w:t>
      </w:r>
      <w:r w:rsidRPr="000B62CD">
        <w:rPr>
          <w:rStyle w:val="default"/>
          <w:rFonts w:cs="FrankRuehl"/>
          <w:rtl/>
        </w:rPr>
        <w:t>.</w:t>
      </w:r>
      <w:r w:rsidRPr="000B62CD">
        <w:rPr>
          <w:rStyle w:val="default"/>
          <w:rFonts w:cs="FrankRuehl"/>
          <w:rtl/>
        </w:rPr>
        <w:tab/>
      </w:r>
      <w:r w:rsidR="00F232BF">
        <w:rPr>
          <w:rStyle w:val="default"/>
          <w:rFonts w:cs="FrankRuehl" w:hint="cs"/>
          <w:rtl/>
        </w:rPr>
        <w:t>ועדת המשמעת רשאית לקבוע כי הנקבל עבר כל עבירת משמעת שהתגלתה מן העובדות שהוכחו לפניה לרבות עובדות שלא נטענו בקובלנה, ובלבד שניתנה לנקבל הזדמנות סבירה להתגונן אך לא תטיל עליו אלא אמצעי משמעת אחד בשל אותו מעשה.</w:t>
      </w:r>
    </w:p>
    <w:p w:rsidR="000B62CD" w:rsidRDefault="000B62CD" w:rsidP="00F232BF">
      <w:pPr>
        <w:pStyle w:val="P00"/>
        <w:spacing w:before="72"/>
        <w:ind w:left="0" w:right="1134"/>
        <w:rPr>
          <w:rStyle w:val="default"/>
          <w:rFonts w:cs="FrankRuehl" w:hint="cs"/>
          <w:rtl/>
        </w:rPr>
      </w:pPr>
      <w:bookmarkStart w:id="26" w:name="Seif20"/>
      <w:bookmarkEnd w:id="26"/>
      <w:r>
        <w:rPr>
          <w:lang w:val="he-IL"/>
        </w:rPr>
        <w:pict>
          <v:rect id="_x0000_s1071" style="position:absolute;left:0;text-align:left;margin-left:464.5pt;margin-top:8.05pt;width:75.05pt;height:19.65pt;z-index:251662848" o:allowincell="f" filled="f" stroked="f" strokecolor="lime" strokeweight=".25pt">
            <v:textbox style="mso-next-textbox:#_x0000_s1071"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טענות וראיות לאמצעי משמעת</w:t>
                  </w:r>
                </w:p>
              </w:txbxContent>
            </v:textbox>
            <w10:anchorlock/>
          </v:rect>
        </w:pict>
      </w:r>
      <w:r>
        <w:rPr>
          <w:rStyle w:val="big-number"/>
          <w:rFonts w:cs="Miriam" w:hint="cs"/>
          <w:rtl/>
        </w:rPr>
        <w:t>20</w:t>
      </w:r>
      <w:r w:rsidRPr="000B62CD">
        <w:rPr>
          <w:rStyle w:val="default"/>
          <w:rFonts w:cs="FrankRuehl"/>
          <w:rtl/>
        </w:rPr>
        <w:t>.</w:t>
      </w:r>
      <w:r w:rsidRPr="000B62CD">
        <w:rPr>
          <w:rStyle w:val="default"/>
          <w:rFonts w:cs="FrankRuehl"/>
          <w:rtl/>
        </w:rPr>
        <w:tab/>
      </w:r>
      <w:r w:rsidR="00F232BF">
        <w:rPr>
          <w:rStyle w:val="default"/>
          <w:rFonts w:cs="FrankRuehl" w:hint="cs"/>
          <w:rtl/>
        </w:rPr>
        <w:t>החליטה ועדת המשמעת כי הנקבל עבר עבירת משמעת, רשאים התובע ואחריו הנקבל להביא את ראיותיהם ולטעון את טענותיהם לעניין אמצעי המשמעת במועד שתקבע.</w:t>
      </w:r>
    </w:p>
    <w:p w:rsidR="000B62CD" w:rsidRDefault="000B62CD" w:rsidP="00F232BF">
      <w:pPr>
        <w:pStyle w:val="P00"/>
        <w:spacing w:before="72"/>
        <w:ind w:left="0" w:right="1134"/>
        <w:rPr>
          <w:rStyle w:val="default"/>
          <w:rFonts w:cs="FrankRuehl" w:hint="cs"/>
          <w:rtl/>
        </w:rPr>
      </w:pPr>
      <w:bookmarkStart w:id="27" w:name="Seif21"/>
      <w:bookmarkEnd w:id="27"/>
      <w:r>
        <w:rPr>
          <w:lang w:val="he-IL"/>
        </w:rPr>
        <w:pict>
          <v:rect id="_x0000_s1072" style="position:absolute;left:0;text-align:left;margin-left:464.5pt;margin-top:8.05pt;width:75.05pt;height:13.25pt;z-index:251663872" o:allowincell="f" filled="f" stroked="f" strokecolor="lime" strokeweight=".25pt">
            <v:textbox style="mso-next-textbox:#_x0000_s1072"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נקיטת אמצעי משמעת</w:t>
                  </w:r>
                </w:p>
              </w:txbxContent>
            </v:textbox>
            <w10:anchorlock/>
          </v:rect>
        </w:pict>
      </w:r>
      <w:r>
        <w:rPr>
          <w:rStyle w:val="big-number"/>
          <w:rFonts w:cs="Miriam" w:hint="cs"/>
          <w:rtl/>
        </w:rPr>
        <w:t>2</w:t>
      </w:r>
      <w:r w:rsidR="00F232BF">
        <w:rPr>
          <w:rStyle w:val="big-number"/>
          <w:rFonts w:cs="Miriam" w:hint="cs"/>
          <w:rtl/>
        </w:rPr>
        <w:t>1</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F232BF">
        <w:rPr>
          <w:rStyle w:val="default"/>
          <w:rFonts w:cs="FrankRuehl" w:hint="cs"/>
          <w:rtl/>
        </w:rPr>
        <w:t xml:space="preserve">לאחר הבאת הראיות וטיעון הטענות לעניין אמצעי המשמעת כאמור בתקנה 20, ולא יאוחר מ-23 ימים מיום סיום הדיון לגביהם, תקבע ועדת המשמעת את החלטתה לעניין אמצעי המשמעת (להלן </w:t>
      </w:r>
      <w:r w:rsidR="00F232BF">
        <w:rPr>
          <w:rStyle w:val="default"/>
          <w:rFonts w:cs="FrankRuehl"/>
          <w:rtl/>
        </w:rPr>
        <w:t>–</w:t>
      </w:r>
      <w:r w:rsidR="00F232BF">
        <w:rPr>
          <w:rStyle w:val="default"/>
          <w:rFonts w:cs="FrankRuehl" w:hint="cs"/>
          <w:rtl/>
        </w:rPr>
        <w:t xml:space="preserve"> גזר הדין).</w:t>
      </w:r>
    </w:p>
    <w:p w:rsidR="00F232BF" w:rsidRDefault="00F232BF" w:rsidP="00F232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גזר הדין ייחתם בידי חברי ועדת המשמעת וייקרא לפני התובע והנקבל או שיומצא להם העתק ממנו, כפי שתורה ועדת המשמעת.</w:t>
      </w:r>
    </w:p>
    <w:p w:rsidR="00ED6B0F" w:rsidRDefault="00ED6B0F" w:rsidP="00ED6B0F">
      <w:pPr>
        <w:pStyle w:val="P00"/>
        <w:spacing w:before="72"/>
        <w:ind w:left="0" w:right="1134"/>
        <w:rPr>
          <w:rStyle w:val="default"/>
          <w:rFonts w:cs="FrankRuehl" w:hint="cs"/>
          <w:rtl/>
        </w:rPr>
      </w:pPr>
      <w:bookmarkStart w:id="28" w:name="Seif29"/>
      <w:bookmarkEnd w:id="28"/>
      <w:r>
        <w:rPr>
          <w:lang w:val="he-IL"/>
        </w:rPr>
        <w:pict>
          <v:rect id="_x0000_s1080" style="position:absolute;left:0;text-align:left;margin-left:464.5pt;margin-top:8.05pt;width:75.05pt;height:26.65pt;z-index:251672064" o:allowincell="f" filled="f" stroked="f" strokecolor="lime" strokeweight=".25pt">
            <v:textbox style="mso-next-textbox:#_x0000_s1080" inset="0,0,0,0">
              <w:txbxContent>
                <w:p w:rsidR="00ED6B0F" w:rsidRDefault="00ED6B0F" w:rsidP="00ED6B0F">
                  <w:pPr>
                    <w:spacing w:line="160" w:lineRule="exact"/>
                    <w:jc w:val="left"/>
                    <w:rPr>
                      <w:rFonts w:cs="Miriam" w:hint="cs"/>
                      <w:sz w:val="18"/>
                      <w:szCs w:val="18"/>
                      <w:rtl/>
                    </w:rPr>
                  </w:pPr>
                  <w:r>
                    <w:rPr>
                      <w:rFonts w:cs="Miriam" w:hint="cs"/>
                      <w:sz w:val="18"/>
                      <w:szCs w:val="18"/>
                      <w:rtl/>
                    </w:rPr>
                    <w:t>חיוב בתשלום הוצאות</w:t>
                  </w:r>
                </w:p>
                <w:p w:rsidR="00ED6B0F" w:rsidRDefault="00ED6B0F" w:rsidP="00ED6B0F">
                  <w:pPr>
                    <w:spacing w:line="160" w:lineRule="exact"/>
                    <w:jc w:val="left"/>
                    <w:rPr>
                      <w:rFonts w:cs="Miriam" w:hint="cs"/>
                      <w:noProof/>
                      <w:sz w:val="18"/>
                      <w:szCs w:val="18"/>
                      <w:rtl/>
                    </w:rPr>
                  </w:pPr>
                  <w:r>
                    <w:rPr>
                      <w:rFonts w:cs="Miriam" w:hint="cs"/>
                      <w:sz w:val="18"/>
                      <w:szCs w:val="18"/>
                      <w:rtl/>
                    </w:rPr>
                    <w:t>תק' תשע"ה-2014</w:t>
                  </w:r>
                </w:p>
              </w:txbxContent>
            </v:textbox>
            <w10:anchorlock/>
          </v:rect>
        </w:pict>
      </w:r>
      <w:r>
        <w:rPr>
          <w:rStyle w:val="big-number"/>
          <w:rFonts w:cs="Miriam" w:hint="cs"/>
          <w:rtl/>
        </w:rPr>
        <w:t>21</w:t>
      </w:r>
      <w:r>
        <w:rPr>
          <w:rStyle w:val="default"/>
          <w:rFonts w:cs="FrankRuehl" w:hint="cs"/>
          <w:rtl/>
        </w:rPr>
        <w:t>א</w:t>
      </w:r>
      <w:r w:rsidRPr="000B62CD">
        <w:rPr>
          <w:rStyle w:val="default"/>
          <w:rFonts w:cs="FrankRuehl"/>
          <w:rtl/>
        </w:rPr>
        <w:t>.</w:t>
      </w:r>
      <w:r w:rsidRPr="000B62CD">
        <w:rPr>
          <w:rStyle w:val="default"/>
          <w:rFonts w:cs="FrankRuehl"/>
          <w:rtl/>
        </w:rPr>
        <w:tab/>
      </w:r>
      <w:r>
        <w:rPr>
          <w:rStyle w:val="default"/>
          <w:rFonts w:cs="FrankRuehl" w:hint="cs"/>
          <w:rtl/>
        </w:rPr>
        <w:t>חיוב בתשלום הוצאות לפי סעיף 14כא(1) או (2) לחוק לא יעלה על סכום של 6,000 שקלים חדשים.</w:t>
      </w:r>
    </w:p>
    <w:p w:rsidR="00ED6B0F" w:rsidRPr="00ED6B0F" w:rsidRDefault="00ED6B0F" w:rsidP="00ED6B0F">
      <w:pPr>
        <w:pStyle w:val="P00"/>
        <w:spacing w:before="0"/>
        <w:ind w:left="0" w:right="1134"/>
        <w:rPr>
          <w:rStyle w:val="default"/>
          <w:rFonts w:cs="FrankRuehl" w:hint="cs"/>
          <w:vanish/>
          <w:color w:val="FF0000"/>
          <w:sz w:val="20"/>
          <w:szCs w:val="20"/>
          <w:shd w:val="clear" w:color="auto" w:fill="FFFF99"/>
          <w:rtl/>
        </w:rPr>
      </w:pPr>
      <w:bookmarkStart w:id="29" w:name="Rov39"/>
      <w:r w:rsidRPr="00ED6B0F">
        <w:rPr>
          <w:rStyle w:val="default"/>
          <w:rFonts w:cs="FrankRuehl" w:hint="cs"/>
          <w:vanish/>
          <w:color w:val="FF0000"/>
          <w:sz w:val="20"/>
          <w:szCs w:val="20"/>
          <w:shd w:val="clear" w:color="auto" w:fill="FFFF99"/>
          <w:rtl/>
        </w:rPr>
        <w:t>מיום 5.11.2014</w:t>
      </w:r>
    </w:p>
    <w:p w:rsidR="00ED6B0F" w:rsidRPr="00ED6B0F" w:rsidRDefault="00ED6B0F" w:rsidP="00ED6B0F">
      <w:pPr>
        <w:pStyle w:val="P00"/>
        <w:spacing w:before="0"/>
        <w:ind w:left="0" w:right="1134"/>
        <w:rPr>
          <w:rStyle w:val="default"/>
          <w:rFonts w:cs="FrankRuehl" w:hint="cs"/>
          <w:vanish/>
          <w:sz w:val="20"/>
          <w:szCs w:val="20"/>
          <w:shd w:val="clear" w:color="auto" w:fill="FFFF99"/>
          <w:rtl/>
        </w:rPr>
      </w:pPr>
      <w:r w:rsidRPr="00ED6B0F">
        <w:rPr>
          <w:rStyle w:val="default"/>
          <w:rFonts w:cs="FrankRuehl" w:hint="cs"/>
          <w:b/>
          <w:bCs/>
          <w:vanish/>
          <w:sz w:val="20"/>
          <w:szCs w:val="20"/>
          <w:shd w:val="clear" w:color="auto" w:fill="FFFF99"/>
          <w:rtl/>
        </w:rPr>
        <w:t>תק' תשע"ה-2014</w:t>
      </w:r>
    </w:p>
    <w:p w:rsidR="00ED6B0F" w:rsidRPr="00ED6B0F" w:rsidRDefault="00ED6B0F" w:rsidP="00ED6B0F">
      <w:pPr>
        <w:pStyle w:val="P00"/>
        <w:spacing w:before="0"/>
        <w:ind w:left="0" w:right="1134"/>
        <w:rPr>
          <w:rStyle w:val="default"/>
          <w:rFonts w:cs="FrankRuehl" w:hint="cs"/>
          <w:vanish/>
          <w:sz w:val="20"/>
          <w:szCs w:val="20"/>
          <w:shd w:val="clear" w:color="auto" w:fill="FFFF99"/>
          <w:rtl/>
        </w:rPr>
      </w:pPr>
      <w:hyperlink r:id="rId6" w:history="1">
        <w:r w:rsidRPr="00ED6B0F">
          <w:rPr>
            <w:rStyle w:val="Hyperlink"/>
            <w:rFonts w:cs="FrankRuehl" w:hint="cs"/>
            <w:vanish/>
            <w:szCs w:val="20"/>
            <w:shd w:val="clear" w:color="auto" w:fill="FFFF99"/>
            <w:rtl/>
          </w:rPr>
          <w:t>ק"ת תשע"ה מס' 7434</w:t>
        </w:r>
      </w:hyperlink>
      <w:r w:rsidRPr="00ED6B0F">
        <w:rPr>
          <w:rStyle w:val="default"/>
          <w:rFonts w:cs="FrankRuehl" w:hint="cs"/>
          <w:vanish/>
          <w:sz w:val="20"/>
          <w:szCs w:val="20"/>
          <w:shd w:val="clear" w:color="auto" w:fill="FFFF99"/>
          <w:rtl/>
        </w:rPr>
        <w:t xml:space="preserve"> מיום 5.11.2014 עמ' 47</w:t>
      </w:r>
    </w:p>
    <w:p w:rsidR="00ED6B0F" w:rsidRPr="00ED6B0F" w:rsidRDefault="00ED6B0F" w:rsidP="00ED6B0F">
      <w:pPr>
        <w:pStyle w:val="P00"/>
        <w:spacing w:before="0"/>
        <w:ind w:left="0" w:right="1134"/>
        <w:rPr>
          <w:rStyle w:val="default"/>
          <w:rFonts w:cs="FrankRuehl" w:hint="cs"/>
          <w:sz w:val="2"/>
          <w:szCs w:val="2"/>
          <w:rtl/>
        </w:rPr>
      </w:pPr>
      <w:r w:rsidRPr="00ED6B0F">
        <w:rPr>
          <w:rStyle w:val="default"/>
          <w:rFonts w:cs="FrankRuehl" w:hint="cs"/>
          <w:b/>
          <w:bCs/>
          <w:vanish/>
          <w:sz w:val="20"/>
          <w:szCs w:val="20"/>
          <w:shd w:val="clear" w:color="auto" w:fill="FFFF99"/>
          <w:rtl/>
        </w:rPr>
        <w:t>הוספת תקנה 21א</w:t>
      </w:r>
      <w:bookmarkEnd w:id="29"/>
    </w:p>
    <w:p w:rsidR="000B62CD" w:rsidRDefault="000B62CD" w:rsidP="00F232BF">
      <w:pPr>
        <w:pStyle w:val="P00"/>
        <w:spacing w:before="72"/>
        <w:ind w:left="0" w:right="1134"/>
        <w:rPr>
          <w:rStyle w:val="default"/>
          <w:rFonts w:cs="FrankRuehl" w:hint="cs"/>
          <w:rtl/>
        </w:rPr>
      </w:pPr>
      <w:bookmarkStart w:id="30" w:name="Seif22"/>
      <w:bookmarkEnd w:id="30"/>
      <w:r>
        <w:rPr>
          <w:lang w:val="he-IL"/>
        </w:rPr>
        <w:pict>
          <v:rect id="_x0000_s1073" style="position:absolute;left:0;text-align:left;margin-left:464.5pt;margin-top:8.05pt;width:75.05pt;height:13.25pt;z-index:251664896" o:allowincell="f" filled="f" stroked="f" strokecolor="lime" strokeweight=".25pt">
            <v:textbox style="mso-next-textbox:#_x0000_s1073"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המצאת החלטה</w:t>
                  </w:r>
                </w:p>
              </w:txbxContent>
            </v:textbox>
            <w10:anchorlock/>
          </v:rect>
        </w:pict>
      </w:r>
      <w:r>
        <w:rPr>
          <w:rStyle w:val="big-number"/>
          <w:rFonts w:cs="Miriam" w:hint="cs"/>
          <w:rtl/>
        </w:rPr>
        <w:t>2</w:t>
      </w:r>
      <w:r w:rsidR="00F232BF">
        <w:rPr>
          <w:rStyle w:val="big-number"/>
          <w:rFonts w:cs="Miriam" w:hint="cs"/>
          <w:rtl/>
        </w:rPr>
        <w:t>2</w:t>
      </w:r>
      <w:r w:rsidRPr="000B62CD">
        <w:rPr>
          <w:rStyle w:val="default"/>
          <w:rFonts w:cs="FrankRuehl"/>
          <w:rtl/>
        </w:rPr>
        <w:t>.</w:t>
      </w:r>
      <w:r w:rsidRPr="000B62CD">
        <w:rPr>
          <w:rStyle w:val="default"/>
          <w:rFonts w:cs="FrankRuehl"/>
          <w:rtl/>
        </w:rPr>
        <w:tab/>
      </w:r>
      <w:r w:rsidR="00F232BF">
        <w:rPr>
          <w:rStyle w:val="default"/>
          <w:rFonts w:cs="FrankRuehl" w:hint="cs"/>
          <w:rtl/>
        </w:rPr>
        <w:t>העתק מהכרעת דין ומגזר דין שהוקראו, יומצא לתובע ולנקבל.</w:t>
      </w:r>
    </w:p>
    <w:p w:rsidR="000B62CD" w:rsidRDefault="000B62CD" w:rsidP="00F232BF">
      <w:pPr>
        <w:pStyle w:val="P00"/>
        <w:spacing w:before="72"/>
        <w:ind w:left="0" w:right="1134"/>
        <w:rPr>
          <w:rStyle w:val="default"/>
          <w:rFonts w:cs="FrankRuehl" w:hint="cs"/>
          <w:rtl/>
        </w:rPr>
      </w:pPr>
      <w:bookmarkStart w:id="31" w:name="Seif23"/>
      <w:bookmarkEnd w:id="31"/>
      <w:r>
        <w:rPr>
          <w:lang w:val="he-IL"/>
        </w:rPr>
        <w:pict>
          <v:rect id="_x0000_s1074" style="position:absolute;left:0;text-align:left;margin-left:464.5pt;margin-top:8.05pt;width:75.05pt;height:13.25pt;z-index:251665920" o:allowincell="f" filled="f" stroked="f" strokecolor="lime" strokeweight=".25pt">
            <v:textbox style="mso-next-textbox:#_x0000_s1074"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חריגה מהמועד</w:t>
                  </w:r>
                </w:p>
              </w:txbxContent>
            </v:textbox>
            <w10:anchorlock/>
          </v:rect>
        </w:pict>
      </w:r>
      <w:r>
        <w:rPr>
          <w:rStyle w:val="big-number"/>
          <w:rFonts w:cs="Miriam" w:hint="cs"/>
          <w:rtl/>
        </w:rPr>
        <w:t>2</w:t>
      </w:r>
      <w:r w:rsidR="00F232BF">
        <w:rPr>
          <w:rStyle w:val="big-number"/>
          <w:rFonts w:cs="Miriam" w:hint="cs"/>
          <w:rtl/>
        </w:rPr>
        <w:t>3</w:t>
      </w:r>
      <w:r w:rsidRPr="000B62CD">
        <w:rPr>
          <w:rStyle w:val="default"/>
          <w:rFonts w:cs="FrankRuehl"/>
          <w:rtl/>
        </w:rPr>
        <w:t>.</w:t>
      </w:r>
      <w:r w:rsidRPr="000B62CD">
        <w:rPr>
          <w:rStyle w:val="default"/>
          <w:rFonts w:cs="FrankRuehl"/>
          <w:rtl/>
        </w:rPr>
        <w:tab/>
      </w:r>
      <w:r w:rsidR="00F232BF">
        <w:rPr>
          <w:rStyle w:val="default"/>
          <w:rFonts w:cs="FrankRuehl" w:hint="cs"/>
          <w:rtl/>
        </w:rPr>
        <w:t>הכרעת דין וגזר דין שניתנו שלא במועדים שנקבעו בתקנות אלה, לא ייפסלו בשל כך בלבד.</w:t>
      </w:r>
    </w:p>
    <w:p w:rsidR="000B62CD" w:rsidRDefault="000B62CD" w:rsidP="00F232BF">
      <w:pPr>
        <w:pStyle w:val="P00"/>
        <w:spacing w:before="72"/>
        <w:ind w:left="0" w:right="1134"/>
        <w:rPr>
          <w:rStyle w:val="default"/>
          <w:rFonts w:cs="FrankRuehl" w:hint="cs"/>
          <w:rtl/>
        </w:rPr>
      </w:pPr>
      <w:bookmarkStart w:id="32" w:name="Seif24"/>
      <w:bookmarkEnd w:id="32"/>
      <w:r>
        <w:rPr>
          <w:lang w:val="he-IL"/>
        </w:rPr>
        <w:pict>
          <v:rect id="_x0000_s1075" style="position:absolute;left:0;text-align:left;margin-left:464.5pt;margin-top:8.05pt;width:75.05pt;height:13.25pt;z-index:251666944" o:allowincell="f" filled="f" stroked="f" strokecolor="lime" strokeweight=".25pt">
            <v:textbox style="mso-next-textbox:#_x0000_s1075"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דיון בהעדר הנקבל</w:t>
                  </w:r>
                </w:p>
              </w:txbxContent>
            </v:textbox>
            <w10:anchorlock/>
          </v:rect>
        </w:pict>
      </w:r>
      <w:r>
        <w:rPr>
          <w:rStyle w:val="big-number"/>
          <w:rFonts w:cs="Miriam" w:hint="cs"/>
          <w:rtl/>
        </w:rPr>
        <w:t>2</w:t>
      </w:r>
      <w:r w:rsidR="00F232BF">
        <w:rPr>
          <w:rStyle w:val="big-number"/>
          <w:rFonts w:cs="Miriam" w:hint="cs"/>
          <w:rtl/>
        </w:rPr>
        <w:t>4</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F232BF">
        <w:rPr>
          <w:rStyle w:val="default"/>
          <w:rFonts w:cs="FrankRuehl" w:hint="cs"/>
          <w:rtl/>
        </w:rPr>
        <w:t>הסתיימו ההליכים לפי תקנות אלה, רשאית ועדת המשמעת, לבקשת נקבל, לבטל את הכרעת הדין וגזר הדין שניתנו בעקבות דיון שהתקיים בהעדרו, אם ראתה שהיתה סיבה מוצדקת לאי-התייצבותו או אם ראתה שהדבר דרוש כדי למנוע עיוות דין; בקשה לפי תקנה זו תוגש בתוך שלושים ימים מהיום שהומצאה לנקבל ההחלטה על נקיטת אמצעי משמעת, ואולם רשאית ועדת המשמעת, מטעמים מיוחדים שיירשמו, לדון בבקשה שהוגשה לאחר מועד זה.</w:t>
      </w:r>
    </w:p>
    <w:p w:rsidR="00F232BF" w:rsidRDefault="00F232BF" w:rsidP="00F232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תקנה זו כדי לגרוע מסמכותה של ועדת המשמעת לבטל דיון, שהתקיים בהעדר הנקבל, אף אם לא הסתיימו ההליכים לפי תקנות אלה, אם ראתה שהיתה סיבה מוצדקת לאי-התייצבותו או אם ראתה שהדבר דרוש כדי למנוע עיוות דין.</w:t>
      </w:r>
    </w:p>
    <w:p w:rsidR="00F232BF" w:rsidRPr="00F232BF" w:rsidRDefault="00F232BF" w:rsidP="00F232BF">
      <w:pPr>
        <w:pStyle w:val="medium2-header"/>
        <w:keepLines w:val="0"/>
        <w:spacing w:before="72"/>
        <w:ind w:left="0" w:right="1134"/>
        <w:rPr>
          <w:rFonts w:cs="FrankRuehl" w:hint="cs"/>
          <w:noProof/>
          <w:rtl/>
        </w:rPr>
      </w:pPr>
      <w:bookmarkStart w:id="33" w:name="med2"/>
      <w:bookmarkEnd w:id="33"/>
      <w:r w:rsidRPr="00F232BF">
        <w:rPr>
          <w:rFonts w:cs="FrankRuehl" w:hint="cs"/>
          <w:noProof/>
          <w:rtl/>
        </w:rPr>
        <w:t>פרק שלישי: הוראות שונות</w:t>
      </w:r>
    </w:p>
    <w:p w:rsidR="000B62CD" w:rsidRDefault="000B62CD" w:rsidP="00F232BF">
      <w:pPr>
        <w:pStyle w:val="P00"/>
        <w:spacing w:before="72"/>
        <w:ind w:left="0" w:right="1134"/>
        <w:rPr>
          <w:rStyle w:val="default"/>
          <w:rFonts w:cs="FrankRuehl" w:hint="cs"/>
          <w:rtl/>
        </w:rPr>
      </w:pPr>
      <w:bookmarkStart w:id="34" w:name="Seif25"/>
      <w:bookmarkEnd w:id="34"/>
      <w:r>
        <w:rPr>
          <w:lang w:val="he-IL"/>
        </w:rPr>
        <w:pict>
          <v:rect id="_x0000_s1076" style="position:absolute;left:0;text-align:left;margin-left:464.5pt;margin-top:8.05pt;width:75.05pt;height:13.25pt;z-index:251667968" o:allowincell="f" filled="f" stroked="f" strokecolor="lime" strokeweight=".25pt">
            <v:textbox style="mso-next-textbox:#_x0000_s1076"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המצאת מסמכים</w:t>
                  </w:r>
                </w:p>
              </w:txbxContent>
            </v:textbox>
            <w10:anchorlock/>
          </v:rect>
        </w:pict>
      </w:r>
      <w:r>
        <w:rPr>
          <w:rStyle w:val="big-number"/>
          <w:rFonts w:cs="Miriam" w:hint="cs"/>
          <w:rtl/>
        </w:rPr>
        <w:t>2</w:t>
      </w:r>
      <w:r w:rsidR="00F232BF">
        <w:rPr>
          <w:rStyle w:val="big-number"/>
          <w:rFonts w:cs="Miriam" w:hint="cs"/>
          <w:rtl/>
        </w:rPr>
        <w:t>5</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F232BF">
        <w:rPr>
          <w:rStyle w:val="default"/>
          <w:rFonts w:cs="FrankRuehl" w:hint="cs"/>
          <w:rtl/>
        </w:rPr>
        <w:t xml:space="preserve">מסמך שיש להמציאו לאדם לפי תקנות אלה, תהיה המצאתו במסירה לידיו או במשלוח בדואר רשום עם אישור מסירה לפי מען מגוריו או עבודתו, ובאין למצאו במקום כאמור </w:t>
      </w:r>
      <w:r w:rsidR="00F232BF">
        <w:rPr>
          <w:rStyle w:val="default"/>
          <w:rFonts w:cs="FrankRuehl"/>
          <w:rtl/>
        </w:rPr>
        <w:t>–</w:t>
      </w:r>
      <w:r w:rsidR="00F232BF">
        <w:rPr>
          <w:rStyle w:val="default"/>
          <w:rFonts w:cs="FrankRuehl" w:hint="cs"/>
          <w:rtl/>
        </w:rPr>
        <w:t xml:space="preserve"> לידי בן משפחתו הגר עמו ונראה שמלאו לו שמונה עשרה שנים.</w:t>
      </w:r>
    </w:p>
    <w:p w:rsidR="00F232BF" w:rsidRDefault="00F232BF" w:rsidP="00F232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ההמצאה במכתב רשום כאמור בתקנת משנה (א), יראו את התאריך שבאישור המסירה כתאריך ההמצאה.</w:t>
      </w:r>
    </w:p>
    <w:p w:rsidR="00F232BF" w:rsidRDefault="00F232BF" w:rsidP="00F232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מסירת מסמך לידי סניגורו של הנקבל או מסירתו לידי פקיד במשרדו או משלוח מכתב רשום עם אישור מסירה לפי מען משרדו, ייראו כהמצאה לנקבל, זולת אם הודיע סניגורו או פקידו של הנקבל לוועדת המשמעת, בתוך חמישה ימים מקבלת המסמך, כי אין ביכולתו להביא את המסמך לידיעת הנקבל.</w:t>
      </w:r>
    </w:p>
    <w:p w:rsidR="000B62CD" w:rsidRDefault="000B62CD" w:rsidP="00F232BF">
      <w:pPr>
        <w:pStyle w:val="P00"/>
        <w:spacing w:before="72"/>
        <w:ind w:left="0" w:right="1134"/>
        <w:rPr>
          <w:rStyle w:val="default"/>
          <w:rFonts w:cs="FrankRuehl" w:hint="cs"/>
          <w:rtl/>
        </w:rPr>
      </w:pPr>
      <w:bookmarkStart w:id="35" w:name="Seif26"/>
      <w:bookmarkEnd w:id="35"/>
      <w:r>
        <w:rPr>
          <w:lang w:val="he-IL"/>
        </w:rPr>
        <w:pict>
          <v:rect id="_x0000_s1077" style="position:absolute;left:0;text-align:left;margin-left:464.5pt;margin-top:8.05pt;width:75.05pt;height:13.25pt;z-index:251668992" o:allowincell="f" filled="f" stroked="f" strokecolor="lime" strokeweight=".25pt">
            <v:textbox style="mso-next-textbox:#_x0000_s1077"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תחליף המצאה</w:t>
                  </w:r>
                </w:p>
              </w:txbxContent>
            </v:textbox>
            <w10:anchorlock/>
          </v:rect>
        </w:pict>
      </w:r>
      <w:r>
        <w:rPr>
          <w:rStyle w:val="big-number"/>
          <w:rFonts w:cs="Miriam" w:hint="cs"/>
          <w:rtl/>
        </w:rPr>
        <w:t>2</w:t>
      </w:r>
      <w:r w:rsidR="00F232BF">
        <w:rPr>
          <w:rStyle w:val="big-number"/>
          <w:rFonts w:cs="Miriam" w:hint="cs"/>
          <w:rtl/>
        </w:rPr>
        <w:t>6</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F232BF">
        <w:rPr>
          <w:rStyle w:val="default"/>
          <w:rFonts w:cs="FrankRuehl" w:hint="cs"/>
          <w:rtl/>
        </w:rPr>
        <w:t>לא בוצעה המצאת מסמך עקב סירוב לקבל את המסמך או לחתום על אישור מסירה, יראו את המסמך כאילו הומצא כדין, אם הומצא לפי הוראות ועדת המשמעת באחת מדרכים אלה:</w:t>
      </w:r>
    </w:p>
    <w:p w:rsidR="00F232BF" w:rsidRDefault="00F232BF" w:rsidP="00F232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בהדבקת עותק המסמך על דלת הבית שבו רגיל האדם לגור או לעבוד;</w:t>
      </w:r>
    </w:p>
    <w:p w:rsidR="00F232BF" w:rsidRDefault="00F232BF" w:rsidP="00F232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בפרסום מודעה בעיתון יומי.</w:t>
      </w:r>
    </w:p>
    <w:p w:rsidR="00F232BF" w:rsidRDefault="00F232BF" w:rsidP="00F232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המשמעת רשאית להורות על המצאת מסמך בכל דרך סבירה אחרת שתיראה לה, אם הדרכים בתקנת משנה (א) אינן ישימות בנסיבות העניין.</w:t>
      </w:r>
    </w:p>
    <w:p w:rsidR="000B62CD" w:rsidRDefault="000B62CD" w:rsidP="00F232BF">
      <w:pPr>
        <w:pStyle w:val="P00"/>
        <w:spacing w:before="72"/>
        <w:ind w:left="0" w:right="1134"/>
        <w:rPr>
          <w:rStyle w:val="default"/>
          <w:rFonts w:cs="FrankRuehl" w:hint="cs"/>
          <w:rtl/>
        </w:rPr>
      </w:pPr>
      <w:bookmarkStart w:id="36" w:name="Seif27"/>
      <w:bookmarkEnd w:id="36"/>
      <w:r>
        <w:rPr>
          <w:lang w:val="he-IL"/>
        </w:rPr>
        <w:pict>
          <v:rect id="_x0000_s1078" style="position:absolute;left:0;text-align:left;margin-left:464.5pt;margin-top:8.05pt;width:75.05pt;height:22.2pt;z-index:251670016" o:allowincell="f" filled="f" stroked="f" strokecolor="lime" strokeweight=".25pt">
            <v:textbox style="mso-next-textbox:#_x0000_s1078"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פגמים שאינם פוגמים בדיון</w:t>
                  </w:r>
                </w:p>
              </w:txbxContent>
            </v:textbox>
            <w10:anchorlock/>
          </v:rect>
        </w:pict>
      </w:r>
      <w:r>
        <w:rPr>
          <w:rStyle w:val="big-number"/>
          <w:rFonts w:cs="Miriam" w:hint="cs"/>
          <w:rtl/>
        </w:rPr>
        <w:t>2</w:t>
      </w:r>
      <w:r w:rsidR="00F232BF">
        <w:rPr>
          <w:rStyle w:val="big-number"/>
          <w:rFonts w:cs="Miriam" w:hint="cs"/>
          <w:rtl/>
        </w:rPr>
        <w:t>7</w:t>
      </w:r>
      <w:r w:rsidRPr="000B62CD">
        <w:rPr>
          <w:rStyle w:val="default"/>
          <w:rFonts w:cs="FrankRuehl"/>
          <w:rtl/>
        </w:rPr>
        <w:t>.</w:t>
      </w:r>
      <w:r w:rsidRPr="000B62CD">
        <w:rPr>
          <w:rStyle w:val="default"/>
          <w:rFonts w:cs="FrankRuehl"/>
          <w:rtl/>
        </w:rPr>
        <w:tab/>
      </w:r>
      <w:r w:rsidR="00F232BF">
        <w:rPr>
          <w:rStyle w:val="default"/>
          <w:rFonts w:cs="FrankRuehl" w:hint="cs"/>
          <w:rtl/>
        </w:rPr>
        <w:t>ליקוי טכני של מסמך לפי תקנות אלה אין בו כדי לפגום בתוקפם של ההליכים על פיו; ואולם אם נראה לוועדת המשמעת כי יש בדבר חשש לעיוות דינו של הנקבל, תורה כל הוראה הדרושה להסרת החשש.</w:t>
      </w:r>
    </w:p>
    <w:p w:rsidR="00F232BF" w:rsidRPr="00F232BF" w:rsidRDefault="00F232BF" w:rsidP="00F232BF">
      <w:pPr>
        <w:pStyle w:val="medium2-header"/>
        <w:keepLines w:val="0"/>
        <w:spacing w:before="72"/>
        <w:ind w:left="0" w:right="1134"/>
        <w:rPr>
          <w:rFonts w:cs="FrankRuehl" w:hint="cs"/>
          <w:noProof/>
          <w:rtl/>
        </w:rPr>
      </w:pPr>
      <w:bookmarkStart w:id="37" w:name="med3"/>
      <w:bookmarkEnd w:id="37"/>
      <w:r w:rsidRPr="00F232BF">
        <w:rPr>
          <w:rFonts w:cs="FrankRuehl" w:hint="cs"/>
          <w:noProof/>
          <w:rtl/>
        </w:rPr>
        <w:t>פרק רביעי: ערעור</w:t>
      </w:r>
    </w:p>
    <w:p w:rsidR="000B62CD" w:rsidRDefault="000B62CD" w:rsidP="00F232BF">
      <w:pPr>
        <w:pStyle w:val="P00"/>
        <w:spacing w:before="72"/>
        <w:ind w:left="0" w:right="1134"/>
        <w:rPr>
          <w:rStyle w:val="default"/>
          <w:rFonts w:cs="FrankRuehl" w:hint="cs"/>
          <w:rtl/>
        </w:rPr>
      </w:pPr>
      <w:bookmarkStart w:id="38" w:name="Seif28"/>
      <w:bookmarkEnd w:id="38"/>
      <w:r>
        <w:rPr>
          <w:lang w:val="he-IL"/>
        </w:rPr>
        <w:pict>
          <v:rect id="_x0000_s1079" style="position:absolute;left:0;text-align:left;margin-left:464.5pt;margin-top:8.05pt;width:75.05pt;height:13.25pt;z-index:251671040" o:allowincell="f" filled="f" stroked="f" strokecolor="lime" strokeweight=".25pt">
            <v:textbox style="mso-next-textbox:#_x0000_s1079" inset="0,0,0,0">
              <w:txbxContent>
                <w:p w:rsidR="000B62CD" w:rsidRDefault="00F232BF" w:rsidP="000B62CD">
                  <w:pPr>
                    <w:spacing w:line="160" w:lineRule="exact"/>
                    <w:jc w:val="left"/>
                    <w:rPr>
                      <w:rFonts w:cs="Miriam" w:hint="cs"/>
                      <w:noProof/>
                      <w:sz w:val="18"/>
                      <w:szCs w:val="18"/>
                      <w:rtl/>
                    </w:rPr>
                  </w:pPr>
                  <w:r>
                    <w:rPr>
                      <w:rFonts w:cs="Miriam" w:hint="cs"/>
                      <w:sz w:val="18"/>
                      <w:szCs w:val="18"/>
                      <w:rtl/>
                    </w:rPr>
                    <w:t>סדרי דין בערעור</w:t>
                  </w:r>
                </w:p>
              </w:txbxContent>
            </v:textbox>
            <w10:anchorlock/>
          </v:rect>
        </w:pict>
      </w:r>
      <w:r>
        <w:rPr>
          <w:rStyle w:val="big-number"/>
          <w:rFonts w:cs="Miriam" w:hint="cs"/>
          <w:rtl/>
        </w:rPr>
        <w:t>2</w:t>
      </w:r>
      <w:r w:rsidR="00F232BF">
        <w:rPr>
          <w:rStyle w:val="big-number"/>
          <w:rFonts w:cs="Miriam" w:hint="cs"/>
          <w:rtl/>
        </w:rPr>
        <w:t>8</w:t>
      </w:r>
      <w:r w:rsidRPr="000B62CD">
        <w:rPr>
          <w:rStyle w:val="default"/>
          <w:rFonts w:cs="FrankRuehl"/>
          <w:rtl/>
        </w:rPr>
        <w:t>.</w:t>
      </w:r>
      <w:r w:rsidRPr="000B62CD">
        <w:rPr>
          <w:rStyle w:val="default"/>
          <w:rFonts w:cs="FrankRuehl"/>
          <w:rtl/>
        </w:rPr>
        <w:tab/>
      </w:r>
      <w:r w:rsidRPr="004C3351">
        <w:rPr>
          <w:rStyle w:val="default"/>
          <w:rFonts w:cs="FrankRuehl" w:hint="cs"/>
          <w:rtl/>
        </w:rPr>
        <w:t>(א)</w:t>
      </w:r>
      <w:r w:rsidRPr="004C3351">
        <w:rPr>
          <w:rStyle w:val="default"/>
          <w:rFonts w:cs="FrankRuehl" w:hint="cs"/>
          <w:rtl/>
        </w:rPr>
        <w:tab/>
      </w:r>
      <w:r w:rsidR="00F232BF">
        <w:rPr>
          <w:rStyle w:val="default"/>
          <w:rFonts w:cs="FrankRuehl" w:hint="cs"/>
          <w:rtl/>
        </w:rPr>
        <w:t>ערעור על החלטת ועדת המשמעת בקובלנה כאמור בסעיף 14כג לחוק יוגש לבית המשפט המחוזי שבאזור שיפוטו מצוי מקום מושבה של ועדת המשמעת.</w:t>
      </w:r>
    </w:p>
    <w:p w:rsidR="00F232BF" w:rsidRDefault="00F232BF" w:rsidP="00F232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הערעור יוגש ויתברר בדרך שבה מוגש ומתברר ערעור לפי תקנות בתי המשפט (סדרי דין בערעור לבית המשפט העליון לפי חוק לשכת עורכי הדין), התשמ"ט-1988, בשינוים המחויבים ובשינויים אלה:</w:t>
      </w:r>
    </w:p>
    <w:p w:rsidR="00F232BF" w:rsidRDefault="00F232BF" w:rsidP="00F232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 מקום, במקום "הנאשם" יקראו "הנקבל", במקום "הקובל" יקראו "התובע ובמקום "בית הדין", "בית הדין המשמעתי המחוזי" ו"בית הדין המשמעתי הארצי" יקראו "ועדת המשמעת";</w:t>
      </w:r>
    </w:p>
    <w:p w:rsidR="00F232BF" w:rsidRDefault="00F232BF" w:rsidP="00F232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בתקנה 3, פסקה (3) </w:t>
      </w:r>
      <w:r>
        <w:rPr>
          <w:rStyle w:val="default"/>
          <w:rFonts w:cs="FrankRuehl"/>
          <w:rtl/>
        </w:rPr>
        <w:t>–</w:t>
      </w:r>
      <w:r>
        <w:rPr>
          <w:rStyle w:val="default"/>
          <w:rFonts w:cs="FrankRuehl" w:hint="cs"/>
          <w:rtl/>
        </w:rPr>
        <w:t xml:space="preserve"> לא תיקרא;</w:t>
      </w:r>
    </w:p>
    <w:p w:rsidR="00F232BF" w:rsidRDefault="00F232BF" w:rsidP="00F232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תקנה 5 יקראו:</w:t>
      </w:r>
    </w:p>
    <w:p w:rsidR="00F232BF" w:rsidRDefault="00F232BF" w:rsidP="00F232BF">
      <w:pPr>
        <w:pStyle w:val="P00"/>
        <w:spacing w:before="72"/>
        <w:ind w:left="1474" w:right="1134"/>
        <w:rPr>
          <w:rStyle w:val="default"/>
          <w:rFonts w:cs="FrankRuehl" w:hint="cs"/>
          <w:rtl/>
        </w:rPr>
      </w:pPr>
      <w:r>
        <w:rPr>
          <w:rStyle w:val="default"/>
          <w:rFonts w:cs="FrankRuehl" w:hint="cs"/>
          <w:rtl/>
        </w:rPr>
        <w:t>"</w:t>
      </w:r>
      <w:r w:rsidRPr="00F232BF">
        <w:rPr>
          <w:rStyle w:val="default"/>
          <w:rFonts w:cs="Miriam" w:hint="cs"/>
          <w:sz w:val="18"/>
          <w:szCs w:val="18"/>
          <w:rtl/>
        </w:rPr>
        <w:t>צירוף מסמכים</w:t>
      </w:r>
    </w:p>
    <w:p w:rsidR="00F232BF" w:rsidRDefault="00F232BF" w:rsidP="00F232BF">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להודעת הערעור תצורף החלטתה של ועדת המשמעת בקובלנה";</w:t>
      </w:r>
    </w:p>
    <w:p w:rsidR="00F232BF" w:rsidRDefault="00F232BF" w:rsidP="00F232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בתקנה 6, הסיפה החל במילים "בערעור לפי סעיף 76" </w:t>
      </w:r>
      <w:r>
        <w:rPr>
          <w:rStyle w:val="default"/>
          <w:rFonts w:cs="FrankRuehl"/>
          <w:rtl/>
        </w:rPr>
        <w:t>–</w:t>
      </w:r>
      <w:r>
        <w:rPr>
          <w:rStyle w:val="default"/>
          <w:rFonts w:cs="FrankRuehl" w:hint="cs"/>
          <w:rtl/>
        </w:rPr>
        <w:t xml:space="preserve"> לא תיקרא;</w:t>
      </w:r>
    </w:p>
    <w:p w:rsidR="00F232BF" w:rsidRDefault="00F232BF" w:rsidP="00F232B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בתקנה 14, במקום "למערער, למשיב" יקראו "למערער ולמשיב" והסיפה החל במילים "ובערעור לפי סעיף 76" </w:t>
      </w:r>
      <w:r>
        <w:rPr>
          <w:rStyle w:val="default"/>
          <w:rFonts w:cs="FrankRuehl"/>
          <w:rtl/>
        </w:rPr>
        <w:t>–</w:t>
      </w:r>
      <w:r>
        <w:rPr>
          <w:rStyle w:val="default"/>
          <w:rFonts w:cs="FrankRuehl" w:hint="cs"/>
          <w:rtl/>
        </w:rPr>
        <w:t xml:space="preserve"> לא תיקרא.</w:t>
      </w:r>
    </w:p>
    <w:p w:rsidR="00807767" w:rsidRDefault="00807767">
      <w:pPr>
        <w:pStyle w:val="P00"/>
        <w:spacing w:before="72"/>
        <w:ind w:left="0" w:right="1134"/>
        <w:rPr>
          <w:rStyle w:val="default"/>
          <w:rFonts w:cs="FrankRuehl" w:hint="cs"/>
          <w:rtl/>
        </w:rPr>
      </w:pPr>
    </w:p>
    <w:p w:rsidR="005D486B" w:rsidRDefault="005D486B">
      <w:pPr>
        <w:pStyle w:val="P00"/>
        <w:spacing w:before="72"/>
        <w:ind w:left="0" w:right="1134"/>
        <w:rPr>
          <w:rStyle w:val="default"/>
          <w:rFonts w:cs="FrankRuehl" w:hint="cs"/>
          <w:rtl/>
        </w:rPr>
      </w:pPr>
    </w:p>
    <w:p w:rsidR="000603C8" w:rsidRDefault="00F232BF" w:rsidP="00F232BF">
      <w:pPr>
        <w:pStyle w:val="sig-0"/>
        <w:tabs>
          <w:tab w:val="clear" w:pos="4820"/>
          <w:tab w:val="center" w:pos="5670"/>
        </w:tabs>
        <w:spacing w:before="72"/>
        <w:ind w:left="0" w:right="1134"/>
        <w:rPr>
          <w:rFonts w:cs="FrankRuehl" w:hint="cs"/>
          <w:sz w:val="26"/>
          <w:rtl/>
        </w:rPr>
      </w:pPr>
      <w:r>
        <w:rPr>
          <w:rFonts w:cs="FrankRuehl" w:hint="cs"/>
          <w:sz w:val="26"/>
          <w:rtl/>
        </w:rPr>
        <w:t>ד' באב התשע"ד (31 ביולי 2014</w:t>
      </w:r>
      <w:r w:rsidR="000603C8">
        <w:rPr>
          <w:rFonts w:cs="FrankRuehl" w:hint="cs"/>
          <w:sz w:val="26"/>
          <w:rtl/>
        </w:rPr>
        <w:t>)</w:t>
      </w:r>
      <w:r w:rsidR="000603C8">
        <w:rPr>
          <w:rFonts w:cs="FrankRuehl"/>
          <w:sz w:val="26"/>
          <w:rtl/>
        </w:rPr>
        <w:tab/>
      </w:r>
      <w:r>
        <w:rPr>
          <w:rFonts w:cs="FrankRuehl" w:hint="cs"/>
          <w:sz w:val="26"/>
          <w:rtl/>
        </w:rPr>
        <w:t>ציפי לבני</w:t>
      </w:r>
    </w:p>
    <w:p w:rsidR="000603C8" w:rsidRDefault="000603C8" w:rsidP="000B62C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sidR="00F232BF">
        <w:rPr>
          <w:rFonts w:cs="FrankRuehl" w:hint="cs"/>
          <w:sz w:val="22"/>
          <w:rtl/>
        </w:rPr>
        <w:t>ת</w:t>
      </w:r>
      <w:r>
        <w:rPr>
          <w:rFonts w:cs="FrankRuehl" w:hint="cs"/>
          <w:sz w:val="22"/>
          <w:rtl/>
        </w:rPr>
        <w:t xml:space="preserve"> המשפטים</w:t>
      </w:r>
    </w:p>
    <w:p w:rsidR="000B62CD" w:rsidRPr="005D486B" w:rsidRDefault="000B62CD">
      <w:pPr>
        <w:pStyle w:val="P00"/>
        <w:spacing w:before="72"/>
        <w:ind w:left="0" w:right="1134"/>
        <w:rPr>
          <w:rStyle w:val="default"/>
          <w:rFonts w:cs="FrankRuehl" w:hint="cs"/>
          <w:rtl/>
        </w:rPr>
      </w:pPr>
    </w:p>
    <w:p w:rsidR="000603C8" w:rsidRPr="005D486B" w:rsidRDefault="000603C8">
      <w:pPr>
        <w:pStyle w:val="P00"/>
        <w:spacing w:before="72"/>
        <w:ind w:left="0" w:right="1134"/>
        <w:rPr>
          <w:rStyle w:val="default"/>
          <w:rFonts w:cs="FrankRuehl"/>
          <w:rtl/>
        </w:rPr>
      </w:pPr>
    </w:p>
    <w:p w:rsidR="000603C8" w:rsidRPr="005D486B" w:rsidRDefault="000603C8" w:rsidP="005D486B">
      <w:pPr>
        <w:pStyle w:val="P00"/>
        <w:spacing w:before="72"/>
        <w:ind w:left="0" w:right="1134"/>
        <w:rPr>
          <w:rStyle w:val="default"/>
          <w:rFonts w:cs="FrankRuehl"/>
          <w:rtl/>
        </w:rPr>
      </w:pPr>
      <w:bookmarkStart w:id="39" w:name="LawPartEnd"/>
    </w:p>
    <w:bookmarkEnd w:id="39"/>
    <w:p w:rsidR="008A512E" w:rsidRDefault="008A512E" w:rsidP="005D486B">
      <w:pPr>
        <w:pStyle w:val="P00"/>
        <w:spacing w:before="72"/>
        <w:ind w:left="0" w:right="1134"/>
        <w:rPr>
          <w:rStyle w:val="default"/>
          <w:rFonts w:cs="FrankRuehl"/>
          <w:rtl/>
        </w:rPr>
      </w:pPr>
    </w:p>
    <w:p w:rsidR="008A512E" w:rsidRDefault="008A512E" w:rsidP="005D486B">
      <w:pPr>
        <w:pStyle w:val="P00"/>
        <w:spacing w:before="72"/>
        <w:ind w:left="0" w:right="1134"/>
        <w:rPr>
          <w:rStyle w:val="default"/>
          <w:rFonts w:cs="FrankRuehl"/>
          <w:rtl/>
        </w:rPr>
      </w:pPr>
    </w:p>
    <w:p w:rsidR="008A512E" w:rsidRDefault="008A512E" w:rsidP="008A512E">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FD0A78" w:rsidRDefault="00FD0A78" w:rsidP="008A512E">
      <w:pPr>
        <w:pStyle w:val="P00"/>
        <w:spacing w:before="72"/>
        <w:ind w:left="0" w:right="1134"/>
        <w:jc w:val="center"/>
        <w:rPr>
          <w:rStyle w:val="default"/>
          <w:rFonts w:cs="David"/>
          <w:color w:val="0000FF"/>
          <w:szCs w:val="24"/>
          <w:u w:val="single"/>
          <w:rtl/>
        </w:rPr>
      </w:pPr>
    </w:p>
    <w:p w:rsidR="00FD0A78" w:rsidRDefault="00FD0A78" w:rsidP="008A512E">
      <w:pPr>
        <w:pStyle w:val="P00"/>
        <w:spacing w:before="72"/>
        <w:ind w:left="0" w:right="1134"/>
        <w:jc w:val="center"/>
        <w:rPr>
          <w:rStyle w:val="default"/>
          <w:rFonts w:cs="David"/>
          <w:color w:val="0000FF"/>
          <w:szCs w:val="24"/>
          <w:u w:val="single"/>
          <w:rtl/>
        </w:rPr>
      </w:pPr>
    </w:p>
    <w:p w:rsidR="00FD0A78" w:rsidRDefault="00FD0A78" w:rsidP="00FD0A78">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0603C8" w:rsidRPr="00FD0A78" w:rsidRDefault="000603C8" w:rsidP="00FD0A78">
      <w:pPr>
        <w:pStyle w:val="P00"/>
        <w:spacing w:before="72"/>
        <w:ind w:left="0" w:right="1134"/>
        <w:jc w:val="center"/>
        <w:rPr>
          <w:rStyle w:val="default"/>
          <w:rFonts w:cs="David"/>
          <w:color w:val="0000FF"/>
          <w:szCs w:val="24"/>
          <w:u w:val="single"/>
          <w:rtl/>
        </w:rPr>
      </w:pPr>
    </w:p>
    <w:sectPr w:rsidR="000603C8" w:rsidRPr="00FD0A7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76C3" w:rsidRDefault="000876C3">
      <w:r>
        <w:separator/>
      </w:r>
    </w:p>
  </w:endnote>
  <w:endnote w:type="continuationSeparator" w:id="0">
    <w:p w:rsidR="000876C3" w:rsidRDefault="0008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3C8" w:rsidRDefault="000603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603C8" w:rsidRDefault="000603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603C8" w:rsidRDefault="000603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0A78">
      <w:rPr>
        <w:rFonts w:cs="TopType Jerushalmi"/>
        <w:noProof/>
        <w:color w:val="000000"/>
        <w:sz w:val="14"/>
        <w:szCs w:val="14"/>
      </w:rPr>
      <w:t>Z:\000-law\yael\2014\2014-11-09\tav\501_091.doc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3C8" w:rsidRDefault="000603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0A78">
      <w:rPr>
        <w:rFonts w:hAnsi="FrankRuehl" w:cs="FrankRuehl"/>
        <w:noProof/>
        <w:sz w:val="24"/>
        <w:szCs w:val="24"/>
        <w:rtl/>
      </w:rPr>
      <w:t>6</w:t>
    </w:r>
    <w:r>
      <w:rPr>
        <w:rFonts w:hAnsi="FrankRuehl" w:cs="FrankRuehl"/>
        <w:sz w:val="24"/>
        <w:szCs w:val="24"/>
        <w:rtl/>
      </w:rPr>
      <w:fldChar w:fldCharType="end"/>
    </w:r>
  </w:p>
  <w:p w:rsidR="000603C8" w:rsidRDefault="000603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603C8" w:rsidRDefault="000603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0A78">
      <w:rPr>
        <w:rFonts w:cs="TopType Jerushalmi"/>
        <w:noProof/>
        <w:color w:val="000000"/>
        <w:sz w:val="14"/>
        <w:szCs w:val="14"/>
      </w:rPr>
      <w:t>Z:\000-law\yael\2014\2014-11-09\tav\501_091.doc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76C3" w:rsidRDefault="000876C3" w:rsidP="005D486B">
      <w:pPr>
        <w:spacing w:before="60" w:line="240" w:lineRule="auto"/>
        <w:ind w:right="1134"/>
      </w:pPr>
      <w:r>
        <w:separator/>
      </w:r>
    </w:p>
  </w:footnote>
  <w:footnote w:type="continuationSeparator" w:id="0">
    <w:p w:rsidR="000876C3" w:rsidRDefault="000876C3">
      <w:r>
        <w:continuationSeparator/>
      </w:r>
    </w:p>
  </w:footnote>
  <w:footnote w:id="1">
    <w:p w:rsidR="00CB5B46" w:rsidRDefault="005D486B" w:rsidP="00CB5B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D486B">
        <w:rPr>
          <w:rFonts w:cs="FrankRuehl"/>
          <w:rtl/>
        </w:rPr>
        <w:t xml:space="preserve">* </w:t>
      </w:r>
      <w:r>
        <w:rPr>
          <w:rFonts w:cs="FrankRuehl"/>
          <w:rtl/>
        </w:rPr>
        <w:t>פ</w:t>
      </w:r>
      <w:r>
        <w:rPr>
          <w:rFonts w:cs="FrankRuehl" w:hint="cs"/>
          <w:rtl/>
        </w:rPr>
        <w:t>ו</w:t>
      </w:r>
      <w:r>
        <w:rPr>
          <w:rFonts w:cs="FrankRuehl"/>
          <w:rtl/>
        </w:rPr>
        <w:t>ר</w:t>
      </w:r>
      <w:r>
        <w:rPr>
          <w:rFonts w:cs="FrankRuehl" w:hint="cs"/>
          <w:rtl/>
        </w:rPr>
        <w:t xml:space="preserve">סמו </w:t>
      </w:r>
      <w:hyperlink r:id="rId1" w:history="1">
        <w:r w:rsidRPr="00CB5B46">
          <w:rPr>
            <w:rStyle w:val="Hyperlink"/>
            <w:rFonts w:cs="FrankRuehl" w:hint="cs"/>
            <w:rtl/>
          </w:rPr>
          <w:t>ק"ת תש</w:t>
        </w:r>
        <w:r w:rsidR="000B62CD" w:rsidRPr="00CB5B46">
          <w:rPr>
            <w:rStyle w:val="Hyperlink"/>
            <w:rFonts w:cs="FrankRuehl" w:hint="cs"/>
            <w:rtl/>
          </w:rPr>
          <w:t>ע"ד</w:t>
        </w:r>
        <w:r w:rsidRPr="00CB5B46">
          <w:rPr>
            <w:rStyle w:val="Hyperlink"/>
            <w:rFonts w:cs="FrankRuehl" w:hint="cs"/>
            <w:rtl/>
          </w:rPr>
          <w:t xml:space="preserve"> מס' </w:t>
        </w:r>
        <w:r w:rsidR="000B62CD" w:rsidRPr="00CB5B46">
          <w:rPr>
            <w:rStyle w:val="Hyperlink"/>
            <w:rFonts w:cs="FrankRuehl" w:hint="cs"/>
            <w:rtl/>
          </w:rPr>
          <w:t>7419</w:t>
        </w:r>
      </w:hyperlink>
      <w:r>
        <w:rPr>
          <w:rFonts w:cs="FrankRuehl" w:hint="cs"/>
          <w:rtl/>
        </w:rPr>
        <w:t xml:space="preserve"> מיום </w:t>
      </w:r>
      <w:r w:rsidR="000B62CD">
        <w:rPr>
          <w:rFonts w:cs="FrankRuehl" w:hint="cs"/>
          <w:rtl/>
        </w:rPr>
        <w:t>2.9.2014</w:t>
      </w:r>
      <w:r>
        <w:rPr>
          <w:rFonts w:cs="FrankRuehl" w:hint="cs"/>
          <w:rtl/>
        </w:rPr>
        <w:t xml:space="preserve"> עמ' </w:t>
      </w:r>
      <w:r w:rsidR="000B62CD">
        <w:rPr>
          <w:rFonts w:cs="FrankRuehl" w:hint="cs"/>
          <w:rtl/>
        </w:rPr>
        <w:t>1728</w:t>
      </w:r>
      <w:r>
        <w:rPr>
          <w:rFonts w:cs="FrankRuehl" w:hint="cs"/>
          <w:rtl/>
        </w:rPr>
        <w:t>.</w:t>
      </w:r>
    </w:p>
    <w:p w:rsidR="00965962" w:rsidRPr="005D486B" w:rsidRDefault="00ED6B0F" w:rsidP="00965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965962">
          <w:rPr>
            <w:rStyle w:val="Hyperlink"/>
            <w:rFonts w:cs="FrankRuehl" w:hint="cs"/>
            <w:rtl/>
          </w:rPr>
          <w:t>ק"ת תשע"ה מס' 7434</w:t>
        </w:r>
      </w:hyperlink>
      <w:r>
        <w:rPr>
          <w:rFonts w:cs="FrankRuehl" w:hint="cs"/>
          <w:rtl/>
        </w:rPr>
        <w:t xml:space="preserve"> מיום 5.11.2014 עמ' 47 </w:t>
      </w:r>
      <w:r>
        <w:rPr>
          <w:rFonts w:cs="FrankRuehl"/>
          <w:rtl/>
        </w:rPr>
        <w:t>–</w:t>
      </w:r>
      <w:r>
        <w:rPr>
          <w:rFonts w:cs="FrankRuehl" w:hint="cs"/>
          <w:rtl/>
        </w:rPr>
        <w:t xml:space="preserve"> תק' תשע"ה-2014.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3C8" w:rsidRDefault="000603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המתווכים במקרקעין (נושאי בחינה), תשנ"ז–1997</w:t>
    </w:r>
  </w:p>
  <w:p w:rsidR="000603C8" w:rsidRDefault="000603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03C8" w:rsidRDefault="000603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3C8" w:rsidRDefault="000603C8" w:rsidP="000B62C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המתווכים במקרקעין (</w:t>
    </w:r>
    <w:r w:rsidR="000B62CD">
      <w:rPr>
        <w:rFonts w:hAnsi="FrankRuehl" w:cs="FrankRuehl" w:hint="cs"/>
        <w:color w:val="000000"/>
        <w:sz w:val="28"/>
        <w:szCs w:val="28"/>
        <w:rtl/>
      </w:rPr>
      <w:t>סדרי דין בדיון לפני ועדת המשמעת ובערעור לבית משפט), תשע"ד-2014</w:t>
    </w:r>
  </w:p>
  <w:p w:rsidR="000603C8" w:rsidRDefault="000603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03C8" w:rsidRDefault="000603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759E"/>
    <w:rsid w:val="00003057"/>
    <w:rsid w:val="000541E7"/>
    <w:rsid w:val="000603C8"/>
    <w:rsid w:val="000876C3"/>
    <w:rsid w:val="00090BFF"/>
    <w:rsid w:val="000B62CD"/>
    <w:rsid w:val="000B7574"/>
    <w:rsid w:val="000D4F4A"/>
    <w:rsid w:val="000F248C"/>
    <w:rsid w:val="00106903"/>
    <w:rsid w:val="00130410"/>
    <w:rsid w:val="00150E26"/>
    <w:rsid w:val="001A742E"/>
    <w:rsid w:val="001B692E"/>
    <w:rsid w:val="00246F5F"/>
    <w:rsid w:val="0025759E"/>
    <w:rsid w:val="002A698E"/>
    <w:rsid w:val="003023A4"/>
    <w:rsid w:val="00303A3F"/>
    <w:rsid w:val="00415862"/>
    <w:rsid w:val="0045583C"/>
    <w:rsid w:val="004B296B"/>
    <w:rsid w:val="004C3351"/>
    <w:rsid w:val="004F46DA"/>
    <w:rsid w:val="00586BED"/>
    <w:rsid w:val="005D486B"/>
    <w:rsid w:val="0068734A"/>
    <w:rsid w:val="006D264E"/>
    <w:rsid w:val="006D451C"/>
    <w:rsid w:val="0071320E"/>
    <w:rsid w:val="007F47FE"/>
    <w:rsid w:val="007F6907"/>
    <w:rsid w:val="00807767"/>
    <w:rsid w:val="00845DB1"/>
    <w:rsid w:val="008662A3"/>
    <w:rsid w:val="00867075"/>
    <w:rsid w:val="008A512E"/>
    <w:rsid w:val="00906CFF"/>
    <w:rsid w:val="00965962"/>
    <w:rsid w:val="00AE24BF"/>
    <w:rsid w:val="00B86DFB"/>
    <w:rsid w:val="00B92BE0"/>
    <w:rsid w:val="00BC32C0"/>
    <w:rsid w:val="00BF3384"/>
    <w:rsid w:val="00C20B11"/>
    <w:rsid w:val="00C24ECC"/>
    <w:rsid w:val="00C932A8"/>
    <w:rsid w:val="00CB46C7"/>
    <w:rsid w:val="00CB5B46"/>
    <w:rsid w:val="00D20F4D"/>
    <w:rsid w:val="00D379A5"/>
    <w:rsid w:val="00D45CA7"/>
    <w:rsid w:val="00DA1C1F"/>
    <w:rsid w:val="00E00BF4"/>
    <w:rsid w:val="00E37BCB"/>
    <w:rsid w:val="00EB7F79"/>
    <w:rsid w:val="00ED6B0F"/>
    <w:rsid w:val="00EE18BE"/>
    <w:rsid w:val="00F232BF"/>
    <w:rsid w:val="00FC7EC2"/>
    <w:rsid w:val="00FD0A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41AA0DC-788C-440F-8307-42C04F34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D486B"/>
    <w:rPr>
      <w:sz w:val="20"/>
      <w:szCs w:val="20"/>
    </w:rPr>
  </w:style>
  <w:style w:type="character" w:styleId="a6">
    <w:name w:val="footnote reference"/>
    <w:basedOn w:val="a0"/>
    <w:semiHidden/>
    <w:rsid w:val="005D486B"/>
    <w:rPr>
      <w:vertAlign w:val="superscript"/>
    </w:rPr>
  </w:style>
  <w:style w:type="paragraph" w:customStyle="1" w:styleId="medium2-header">
    <w:name w:val="medium2-header"/>
    <w:basedOn w:val="a"/>
    <w:rsid w:val="00867075"/>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P00"/>
    <w:rsid w:val="00867075"/>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43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434.pdf" TargetMode="External"/><Relationship Id="rId1" Type="http://schemas.openxmlformats.org/officeDocument/2006/relationships/hyperlink" Target="http://www.nevo.co.il/law_word/law06/tak-74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12489</CharactersWithSpaces>
  <SharedDoc>false</SharedDoc>
  <HLinks>
    <vt:vector size="258" baseType="variant">
      <vt:variant>
        <vt:i4>393283</vt:i4>
      </vt:variant>
      <vt:variant>
        <vt:i4>234</vt:i4>
      </vt:variant>
      <vt:variant>
        <vt:i4>0</vt:i4>
      </vt:variant>
      <vt:variant>
        <vt:i4>5</vt:i4>
      </vt:variant>
      <vt:variant>
        <vt:lpwstr>http://www.nevo.co.il/advertisements/nevo-100.doc</vt:lpwstr>
      </vt:variant>
      <vt:variant>
        <vt:lpwstr/>
      </vt:variant>
      <vt:variant>
        <vt:i4>393283</vt:i4>
      </vt:variant>
      <vt:variant>
        <vt:i4>231</vt:i4>
      </vt:variant>
      <vt:variant>
        <vt:i4>0</vt:i4>
      </vt:variant>
      <vt:variant>
        <vt:i4>5</vt:i4>
      </vt:variant>
      <vt:variant>
        <vt:lpwstr>http://www.nevo.co.il/advertisements/nevo-100.doc</vt:lpwstr>
      </vt:variant>
      <vt:variant>
        <vt:lpwstr/>
      </vt:variant>
      <vt:variant>
        <vt:i4>8192008</vt:i4>
      </vt:variant>
      <vt:variant>
        <vt:i4>228</vt:i4>
      </vt:variant>
      <vt:variant>
        <vt:i4>0</vt:i4>
      </vt:variant>
      <vt:variant>
        <vt:i4>5</vt:i4>
      </vt:variant>
      <vt:variant>
        <vt:lpwstr>http://www.nevo.co.il/Law_word/law06/tak-7434.pdf</vt:lpwstr>
      </vt:variant>
      <vt:variant>
        <vt:lpwstr/>
      </vt:variant>
      <vt:variant>
        <vt:i4>3866664</vt:i4>
      </vt:variant>
      <vt:variant>
        <vt:i4>222</vt:i4>
      </vt:variant>
      <vt:variant>
        <vt:i4>0</vt:i4>
      </vt:variant>
      <vt:variant>
        <vt:i4>5</vt:i4>
      </vt:variant>
      <vt:variant>
        <vt:lpwstr/>
      </vt:variant>
      <vt:variant>
        <vt:lpwstr>Seif28</vt:lpwstr>
      </vt:variant>
      <vt:variant>
        <vt:i4>5636105</vt:i4>
      </vt:variant>
      <vt:variant>
        <vt:i4>216</vt:i4>
      </vt:variant>
      <vt:variant>
        <vt:i4>0</vt:i4>
      </vt:variant>
      <vt:variant>
        <vt:i4>5</vt:i4>
      </vt:variant>
      <vt:variant>
        <vt:lpwstr/>
      </vt:variant>
      <vt:variant>
        <vt:lpwstr>med3</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5701641</vt:i4>
      </vt:variant>
      <vt:variant>
        <vt:i4>192</vt:i4>
      </vt:variant>
      <vt:variant>
        <vt:i4>0</vt:i4>
      </vt:variant>
      <vt:variant>
        <vt:i4>5</vt:i4>
      </vt:variant>
      <vt:variant>
        <vt:lpwstr/>
      </vt:variant>
      <vt:variant>
        <vt:lpwstr>med2</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3801128</vt:i4>
      </vt:variant>
      <vt:variant>
        <vt:i4>168</vt:i4>
      </vt:variant>
      <vt:variant>
        <vt:i4>0</vt:i4>
      </vt:variant>
      <vt:variant>
        <vt:i4>5</vt:i4>
      </vt:variant>
      <vt:variant>
        <vt:lpwstr/>
      </vt:variant>
      <vt:variant>
        <vt:lpwstr>Seif29</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5701644</vt:i4>
      </vt:variant>
      <vt:variant>
        <vt:i4>138</vt:i4>
      </vt:variant>
      <vt:variant>
        <vt:i4>0</vt:i4>
      </vt:variant>
      <vt:variant>
        <vt:i4>5</vt:i4>
      </vt:variant>
      <vt:variant>
        <vt:lpwstr/>
      </vt:variant>
      <vt:variant>
        <vt:lpwstr>hed24</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5701644</vt:i4>
      </vt:variant>
      <vt:variant>
        <vt:i4>102</vt:i4>
      </vt:variant>
      <vt:variant>
        <vt:i4>0</vt:i4>
      </vt:variant>
      <vt:variant>
        <vt:i4>5</vt:i4>
      </vt:variant>
      <vt:variant>
        <vt:lpwstr/>
      </vt:variant>
      <vt:variant>
        <vt:lpwstr>hed23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hed22</vt:lpwstr>
      </vt:variant>
      <vt:variant>
        <vt:i4>5505033</vt:i4>
      </vt:variant>
      <vt:variant>
        <vt:i4>78</vt:i4>
      </vt:variant>
      <vt:variant>
        <vt:i4>0</vt:i4>
      </vt:variant>
      <vt:variant>
        <vt:i4>5</vt:i4>
      </vt:variant>
      <vt:variant>
        <vt:lpwstr/>
      </vt:variant>
      <vt:variant>
        <vt:lpwstr>med1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5701644</vt:i4>
      </vt:variant>
      <vt:variant>
        <vt:i4>54</vt:i4>
      </vt:variant>
      <vt:variant>
        <vt:i4>0</vt:i4>
      </vt:variant>
      <vt:variant>
        <vt:i4>5</vt:i4>
      </vt:variant>
      <vt:variant>
        <vt:lpwstr/>
      </vt:variant>
      <vt:variant>
        <vt:lpwstr>hed21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8192008</vt:i4>
      </vt:variant>
      <vt:variant>
        <vt:i4>3</vt:i4>
      </vt:variant>
      <vt:variant>
        <vt:i4>0</vt:i4>
      </vt:variant>
      <vt:variant>
        <vt:i4>5</vt:i4>
      </vt:variant>
      <vt:variant>
        <vt:lpwstr>http://www.nevo.co.il/law_word/law06/tak-7434.pdf</vt:lpwstr>
      </vt:variant>
      <vt:variant>
        <vt:lpwstr/>
      </vt:variant>
      <vt:variant>
        <vt:i4>8323077</vt:i4>
      </vt:variant>
      <vt:variant>
        <vt:i4>0</vt:i4>
      </vt:variant>
      <vt:variant>
        <vt:i4>0</vt:i4>
      </vt:variant>
      <vt:variant>
        <vt:i4>5</vt:i4>
      </vt:variant>
      <vt:variant>
        <vt:lpwstr>http://www.nevo.co.il/law_word/law06/tak-7419.pdf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מתווכים במקרקעין</vt:lpwstr>
  </property>
  <property fmtid="{D5CDD505-2E9C-101B-9397-08002B2CF9AE}" pid="4" name="LAWNAME">
    <vt:lpwstr>תקנות המתווכים במקרקעין (סדרי דין בדיון לפני ועדת המשמעת ובערעור לבית משפט), תשע"ד-2014</vt:lpwstr>
  </property>
  <property fmtid="{D5CDD505-2E9C-101B-9397-08002B2CF9AE}" pid="5" name="LAWNUMBER">
    <vt:lpwstr>0091</vt:lpwstr>
  </property>
  <property fmtid="{D5CDD505-2E9C-101B-9397-08002B2CF9AE}" pid="6" name="TYPE">
    <vt:lpwstr>01</vt:lpwstr>
  </property>
  <property fmtid="{D5CDD505-2E9C-101B-9397-08002B2CF9AE}" pid="7" name="MEKOR_NAME1">
    <vt:lpwstr>חוק המתווכים במקרקעין</vt:lpwstr>
  </property>
  <property fmtid="{D5CDD505-2E9C-101B-9397-08002B2CF9AE}" pid="8" name="MEKOR_SAIF1">
    <vt:lpwstr>14טוX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מתווכים במקרקעין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מתווכים במקרקעין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http://www.nevo.co.il/law_word/law06/tak-7434.pdf;‎רשומות - תקנות כלליות#תוקנו ק"ת תשע"ה מס' ‏‏7434 #מיום 5.11.2014 עמ' 47 – תק' תשע"ה-2014‏</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http://www.nevo.co.il/law_word/law06/tak-7419.pdf;‎רשומות - תקנות כלליות#פורסמו ק"ת תשע"ד מס' ‏‏7419 #מיום 2.9.2014 עמ' 1728‏</vt:lpwstr>
  </property>
</Properties>
</file>