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D4B" w:rsidRDefault="00AC7D4B" w:rsidP="005B0EF7">
      <w:pPr>
        <w:pStyle w:val="big-header"/>
        <w:ind w:left="0" w:right="1134"/>
        <w:rPr>
          <w:rFonts w:cs="FrankRuehl"/>
          <w:sz w:val="32"/>
        </w:rPr>
      </w:pPr>
      <w:r>
        <w:rPr>
          <w:rFonts w:cs="FrankRuehl" w:hint="cs"/>
          <w:sz w:val="32"/>
          <w:rtl/>
        </w:rPr>
        <w:t>תקנות המתווכים במקרקעין (פעולות שיווק), תשס"ה-2004</w:t>
      </w:r>
    </w:p>
    <w:p w:rsidR="004C46D9" w:rsidRPr="004C46D9" w:rsidRDefault="004C46D9" w:rsidP="004C46D9">
      <w:pPr>
        <w:spacing w:line="320" w:lineRule="auto"/>
        <w:rPr>
          <w:rFonts w:cs="FrankRuehl"/>
          <w:szCs w:val="26"/>
          <w:rtl/>
        </w:rPr>
      </w:pPr>
    </w:p>
    <w:p w:rsidR="004C46D9" w:rsidRDefault="004C46D9" w:rsidP="004C46D9">
      <w:pPr>
        <w:spacing w:line="320" w:lineRule="auto"/>
        <w:rPr>
          <w:rtl/>
        </w:rPr>
      </w:pPr>
    </w:p>
    <w:p w:rsidR="004C46D9" w:rsidRDefault="004C46D9" w:rsidP="004C46D9">
      <w:pPr>
        <w:spacing w:line="320" w:lineRule="auto"/>
        <w:rPr>
          <w:rFonts w:cs="FrankRuehl"/>
          <w:szCs w:val="26"/>
          <w:rtl/>
        </w:rPr>
      </w:pPr>
      <w:r w:rsidRPr="004C46D9">
        <w:rPr>
          <w:rFonts w:cs="Miriam"/>
          <w:szCs w:val="22"/>
          <w:rtl/>
        </w:rPr>
        <w:t>משפט פרטי וכלכלה</w:t>
      </w:r>
      <w:r w:rsidRPr="004C46D9">
        <w:rPr>
          <w:rFonts w:cs="FrankRuehl"/>
          <w:szCs w:val="26"/>
          <w:rtl/>
        </w:rPr>
        <w:t xml:space="preserve"> – הסדרת עיסוק – מתווכים במקרקעין</w:t>
      </w:r>
    </w:p>
    <w:p w:rsidR="004C46D9" w:rsidRPr="004C46D9" w:rsidRDefault="004C46D9" w:rsidP="004C46D9">
      <w:pPr>
        <w:spacing w:line="320" w:lineRule="auto"/>
        <w:rPr>
          <w:rFonts w:cs="Miriam" w:hint="cs"/>
          <w:szCs w:val="22"/>
          <w:rtl/>
        </w:rPr>
      </w:pPr>
      <w:r w:rsidRPr="004C46D9">
        <w:rPr>
          <w:rFonts w:cs="Miriam"/>
          <w:szCs w:val="22"/>
          <w:rtl/>
        </w:rPr>
        <w:t>רשויות ומשפט מנהלי</w:t>
      </w:r>
      <w:r w:rsidRPr="004C46D9">
        <w:rPr>
          <w:rFonts w:cs="FrankRuehl"/>
          <w:szCs w:val="26"/>
          <w:rtl/>
        </w:rPr>
        <w:t xml:space="preserve"> – הסדרת עיסוק – מתווכים במקרקעין</w:t>
      </w:r>
      <w:r w:rsidR="00FD0A2A">
        <w:rPr>
          <w:rFonts w:cs="Miriam" w:hint="cs"/>
          <w:szCs w:val="22"/>
          <w:rtl/>
        </w:rPr>
        <w:t xml:space="preserve"> </w:t>
      </w:r>
    </w:p>
    <w:p w:rsidR="005B0EF7" w:rsidRDefault="005B0EF7" w:rsidP="005B0EF7">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C7D4B">
        <w:tblPrEx>
          <w:tblCellMar>
            <w:top w:w="0" w:type="dxa"/>
            <w:bottom w:w="0" w:type="dxa"/>
          </w:tblCellMar>
        </w:tblPrEx>
        <w:trPr>
          <w:jc w:val="right"/>
        </w:trPr>
        <w:tc>
          <w:tcPr>
            <w:tcW w:w="850" w:type="dxa"/>
          </w:tcPr>
          <w:p w:rsidR="00AC7D4B" w:rsidRDefault="00AC7D4B">
            <w:pPr>
              <w:rPr>
                <w:rStyle w:val="big-number"/>
                <w:rFonts w:cs="FrankRuehl" w:hint="cs"/>
                <w:sz w:val="24"/>
                <w:szCs w:val="24"/>
              </w:rPr>
            </w:pPr>
            <w:r>
              <w:rPr>
                <w:rStyle w:val="big-number"/>
                <w:rFonts w:cs="FrankRuehl"/>
                <w:sz w:val="24"/>
                <w:szCs w:val="24"/>
                <w:rtl/>
              </w:rPr>
              <w:fldChar w:fldCharType="begin"/>
            </w:r>
            <w:r>
              <w:rPr>
                <w:rStyle w:val="big-number"/>
                <w:rFonts w:cs="FrankRuehl"/>
                <w:sz w:val="24"/>
                <w:szCs w:val="24"/>
                <w:rtl/>
              </w:rPr>
              <w:instrText xml:space="preserve"> </w:instrText>
            </w:r>
            <w:r>
              <w:rPr>
                <w:rStyle w:val="big-number"/>
                <w:rFonts w:cs="FrankRuehl"/>
                <w:sz w:val="24"/>
                <w:szCs w:val="24"/>
              </w:rPr>
              <w:instrText>PAGEREF Seif0</w:instrText>
            </w:r>
            <w:r>
              <w:rPr>
                <w:rStyle w:val="big-number"/>
                <w:rFonts w:cs="FrankRuehl"/>
                <w:sz w:val="24"/>
                <w:szCs w:val="24"/>
                <w:rtl/>
              </w:rPr>
              <w:instrText xml:space="preserve"> </w:instrText>
            </w:r>
            <w:r>
              <w:rPr>
                <w:rStyle w:val="big-number"/>
                <w:rFonts w:cs="FrankRuehl"/>
                <w:sz w:val="24"/>
                <w:szCs w:val="24"/>
                <w:rtl/>
              </w:rPr>
              <w:fldChar w:fldCharType="separate"/>
            </w:r>
            <w:r w:rsidR="005B0EF7">
              <w:rPr>
                <w:rStyle w:val="big-number"/>
                <w:rFonts w:cs="FrankRuehl"/>
                <w:noProof/>
                <w:sz w:val="24"/>
                <w:szCs w:val="24"/>
                <w:rtl/>
              </w:rPr>
              <w:t>2</w:t>
            </w:r>
            <w:r>
              <w:rPr>
                <w:rStyle w:val="big-number"/>
                <w:rFonts w:cs="FrankRuehl"/>
                <w:sz w:val="24"/>
                <w:szCs w:val="24"/>
                <w:rtl/>
              </w:rPr>
              <w:fldChar w:fldCharType="end"/>
            </w:r>
          </w:p>
        </w:tc>
        <w:tc>
          <w:tcPr>
            <w:tcW w:w="567" w:type="dxa"/>
          </w:tcPr>
          <w:p w:rsidR="00AC7D4B" w:rsidRDefault="00AC7D4B">
            <w:pPr>
              <w:rPr>
                <w:rStyle w:val="big-number"/>
                <w:rFonts w:cs="FrankRuehl" w:hint="cs"/>
                <w:sz w:val="24"/>
                <w:szCs w:val="24"/>
              </w:rPr>
            </w:pPr>
            <w:hyperlink w:anchor="Seif0" w:tooltip="פעולות שיווק" w:history="1">
              <w:r>
                <w:rPr>
                  <w:rStyle w:val="Hyperlink"/>
                </w:rPr>
                <w:t>Go</w:t>
              </w:r>
            </w:hyperlink>
          </w:p>
        </w:tc>
        <w:tc>
          <w:tcPr>
            <w:tcW w:w="5669" w:type="dxa"/>
          </w:tcPr>
          <w:p w:rsidR="00AC7D4B" w:rsidRDefault="00AC7D4B">
            <w:pPr>
              <w:rPr>
                <w:rStyle w:val="big-number"/>
                <w:rFonts w:cs="FrankRuehl"/>
                <w:sz w:val="24"/>
                <w:szCs w:val="24"/>
                <w:rtl/>
              </w:rPr>
            </w:pPr>
            <w:r>
              <w:rPr>
                <w:rStyle w:val="big-number"/>
                <w:rFonts w:cs="FrankRuehl"/>
                <w:sz w:val="24"/>
                <w:szCs w:val="24"/>
                <w:rtl/>
              </w:rPr>
              <w:t>פעולות שיווק</w:t>
            </w:r>
          </w:p>
        </w:tc>
        <w:tc>
          <w:tcPr>
            <w:tcW w:w="1247" w:type="dxa"/>
          </w:tcPr>
          <w:p w:rsidR="00AC7D4B" w:rsidRDefault="00AC7D4B">
            <w:pPr>
              <w:rPr>
                <w:rStyle w:val="big-number"/>
                <w:rFonts w:cs="FrankRuehl" w:hint="cs"/>
                <w:sz w:val="24"/>
                <w:szCs w:val="24"/>
              </w:rPr>
            </w:pPr>
            <w:r>
              <w:rPr>
                <w:rStyle w:val="big-number"/>
                <w:rFonts w:cs="FrankRuehl"/>
                <w:sz w:val="24"/>
                <w:szCs w:val="24"/>
                <w:rtl/>
              </w:rPr>
              <w:t xml:space="preserve">סעיף 1 </w:t>
            </w:r>
          </w:p>
        </w:tc>
      </w:tr>
      <w:tr w:rsidR="00AC7D4B">
        <w:tblPrEx>
          <w:tblCellMar>
            <w:top w:w="0" w:type="dxa"/>
            <w:bottom w:w="0" w:type="dxa"/>
          </w:tblCellMar>
        </w:tblPrEx>
        <w:trPr>
          <w:jc w:val="right"/>
        </w:trPr>
        <w:tc>
          <w:tcPr>
            <w:tcW w:w="850" w:type="dxa"/>
          </w:tcPr>
          <w:p w:rsidR="00AC7D4B" w:rsidRDefault="00AC7D4B">
            <w:pPr>
              <w:rPr>
                <w:rStyle w:val="big-number"/>
                <w:rFonts w:cs="FrankRuehl" w:hint="cs"/>
                <w:sz w:val="24"/>
                <w:szCs w:val="24"/>
              </w:rPr>
            </w:pPr>
            <w:r>
              <w:rPr>
                <w:rStyle w:val="big-number"/>
                <w:rFonts w:cs="FrankRuehl"/>
                <w:sz w:val="24"/>
                <w:szCs w:val="24"/>
                <w:rtl/>
              </w:rPr>
              <w:fldChar w:fldCharType="begin"/>
            </w:r>
            <w:r>
              <w:rPr>
                <w:rStyle w:val="big-number"/>
                <w:rFonts w:cs="FrankRuehl"/>
                <w:sz w:val="24"/>
                <w:szCs w:val="24"/>
                <w:rtl/>
              </w:rPr>
              <w:instrText xml:space="preserve"> </w:instrText>
            </w:r>
            <w:r>
              <w:rPr>
                <w:rStyle w:val="big-number"/>
                <w:rFonts w:cs="FrankRuehl"/>
                <w:sz w:val="24"/>
                <w:szCs w:val="24"/>
              </w:rPr>
              <w:instrText>PAGEREF Seif2</w:instrText>
            </w:r>
            <w:r>
              <w:rPr>
                <w:rStyle w:val="big-number"/>
                <w:rFonts w:cs="FrankRuehl"/>
                <w:sz w:val="24"/>
                <w:szCs w:val="24"/>
                <w:rtl/>
              </w:rPr>
              <w:instrText xml:space="preserve"> </w:instrText>
            </w:r>
            <w:r>
              <w:rPr>
                <w:rStyle w:val="big-number"/>
                <w:rFonts w:cs="FrankRuehl"/>
                <w:sz w:val="24"/>
                <w:szCs w:val="24"/>
                <w:rtl/>
              </w:rPr>
              <w:fldChar w:fldCharType="separate"/>
            </w:r>
            <w:r w:rsidR="005B0EF7">
              <w:rPr>
                <w:rStyle w:val="big-number"/>
                <w:rFonts w:cs="FrankRuehl"/>
                <w:noProof/>
                <w:sz w:val="24"/>
                <w:szCs w:val="24"/>
                <w:rtl/>
              </w:rPr>
              <w:t>2</w:t>
            </w:r>
            <w:r>
              <w:rPr>
                <w:rStyle w:val="big-number"/>
                <w:rFonts w:cs="FrankRuehl"/>
                <w:sz w:val="24"/>
                <w:szCs w:val="24"/>
                <w:rtl/>
              </w:rPr>
              <w:fldChar w:fldCharType="end"/>
            </w:r>
          </w:p>
        </w:tc>
        <w:tc>
          <w:tcPr>
            <w:tcW w:w="567" w:type="dxa"/>
          </w:tcPr>
          <w:p w:rsidR="00AC7D4B" w:rsidRDefault="00AC7D4B">
            <w:pPr>
              <w:rPr>
                <w:rStyle w:val="big-number"/>
                <w:rFonts w:cs="FrankRuehl" w:hint="cs"/>
                <w:sz w:val="24"/>
                <w:szCs w:val="24"/>
              </w:rPr>
            </w:pPr>
            <w:hyperlink w:anchor="Seif2" w:tooltip="תחילה" w:history="1">
              <w:r>
                <w:rPr>
                  <w:rStyle w:val="Hyperlink"/>
                </w:rPr>
                <w:t>Go</w:t>
              </w:r>
            </w:hyperlink>
          </w:p>
        </w:tc>
        <w:tc>
          <w:tcPr>
            <w:tcW w:w="5669" w:type="dxa"/>
          </w:tcPr>
          <w:p w:rsidR="00AC7D4B" w:rsidRDefault="00AC7D4B">
            <w:pPr>
              <w:rPr>
                <w:rStyle w:val="big-number"/>
                <w:rFonts w:cs="FrankRuehl"/>
                <w:sz w:val="24"/>
                <w:szCs w:val="24"/>
                <w:rtl/>
              </w:rPr>
            </w:pPr>
            <w:r>
              <w:rPr>
                <w:rStyle w:val="big-number"/>
                <w:rFonts w:cs="FrankRuehl"/>
                <w:sz w:val="24"/>
                <w:szCs w:val="24"/>
                <w:rtl/>
              </w:rPr>
              <w:t>תחילה</w:t>
            </w:r>
          </w:p>
        </w:tc>
        <w:tc>
          <w:tcPr>
            <w:tcW w:w="1247" w:type="dxa"/>
          </w:tcPr>
          <w:p w:rsidR="00AC7D4B" w:rsidRDefault="00AC7D4B">
            <w:pPr>
              <w:rPr>
                <w:rStyle w:val="big-number"/>
                <w:rFonts w:cs="FrankRuehl" w:hint="cs"/>
                <w:sz w:val="24"/>
                <w:szCs w:val="24"/>
              </w:rPr>
            </w:pPr>
            <w:r>
              <w:rPr>
                <w:rStyle w:val="big-number"/>
                <w:rFonts w:cs="FrankRuehl"/>
                <w:sz w:val="24"/>
                <w:szCs w:val="24"/>
                <w:rtl/>
              </w:rPr>
              <w:t xml:space="preserve">סעיף 2 </w:t>
            </w:r>
          </w:p>
        </w:tc>
      </w:tr>
      <w:tr w:rsidR="00AC7D4B">
        <w:tblPrEx>
          <w:tblCellMar>
            <w:top w:w="0" w:type="dxa"/>
            <w:bottom w:w="0" w:type="dxa"/>
          </w:tblCellMar>
        </w:tblPrEx>
        <w:trPr>
          <w:jc w:val="right"/>
        </w:trPr>
        <w:tc>
          <w:tcPr>
            <w:tcW w:w="850" w:type="dxa"/>
          </w:tcPr>
          <w:p w:rsidR="00AC7D4B" w:rsidRDefault="00AC7D4B">
            <w:pPr>
              <w:rPr>
                <w:rStyle w:val="big-number"/>
                <w:rFonts w:cs="FrankRuehl" w:hint="cs"/>
                <w:sz w:val="24"/>
                <w:szCs w:val="24"/>
              </w:rPr>
            </w:pPr>
            <w:r>
              <w:rPr>
                <w:rStyle w:val="big-number"/>
                <w:rFonts w:cs="FrankRuehl"/>
                <w:sz w:val="24"/>
                <w:szCs w:val="24"/>
                <w:rtl/>
              </w:rPr>
              <w:fldChar w:fldCharType="begin"/>
            </w:r>
            <w:r>
              <w:rPr>
                <w:rStyle w:val="big-number"/>
                <w:rFonts w:cs="FrankRuehl"/>
                <w:sz w:val="24"/>
                <w:szCs w:val="24"/>
                <w:rtl/>
              </w:rPr>
              <w:instrText xml:space="preserve"> </w:instrText>
            </w:r>
            <w:r>
              <w:rPr>
                <w:rStyle w:val="big-number"/>
                <w:rFonts w:cs="FrankRuehl"/>
                <w:sz w:val="24"/>
                <w:szCs w:val="24"/>
              </w:rPr>
              <w:instrText>PAGEREF Seif1</w:instrText>
            </w:r>
            <w:r>
              <w:rPr>
                <w:rStyle w:val="big-number"/>
                <w:rFonts w:cs="FrankRuehl"/>
                <w:sz w:val="24"/>
                <w:szCs w:val="24"/>
                <w:rtl/>
              </w:rPr>
              <w:instrText xml:space="preserve"> </w:instrText>
            </w:r>
            <w:r>
              <w:rPr>
                <w:rStyle w:val="big-number"/>
                <w:rFonts w:cs="FrankRuehl"/>
                <w:sz w:val="24"/>
                <w:szCs w:val="24"/>
                <w:rtl/>
              </w:rPr>
              <w:fldChar w:fldCharType="separate"/>
            </w:r>
            <w:r w:rsidR="005B0EF7">
              <w:rPr>
                <w:rStyle w:val="big-number"/>
                <w:rFonts w:cs="FrankRuehl"/>
                <w:noProof/>
                <w:sz w:val="24"/>
                <w:szCs w:val="24"/>
                <w:rtl/>
              </w:rPr>
              <w:t>2</w:t>
            </w:r>
            <w:r>
              <w:rPr>
                <w:rStyle w:val="big-number"/>
                <w:rFonts w:cs="FrankRuehl"/>
                <w:sz w:val="24"/>
                <w:szCs w:val="24"/>
                <w:rtl/>
              </w:rPr>
              <w:fldChar w:fldCharType="end"/>
            </w:r>
          </w:p>
        </w:tc>
        <w:tc>
          <w:tcPr>
            <w:tcW w:w="567" w:type="dxa"/>
          </w:tcPr>
          <w:p w:rsidR="00AC7D4B" w:rsidRDefault="00AC7D4B">
            <w:pPr>
              <w:rPr>
                <w:rStyle w:val="big-number"/>
                <w:rFonts w:cs="FrankRuehl" w:hint="cs"/>
                <w:sz w:val="24"/>
                <w:szCs w:val="24"/>
              </w:rPr>
            </w:pPr>
            <w:hyperlink w:anchor="Seif1" w:tooltip="תחולה" w:history="1">
              <w:r>
                <w:rPr>
                  <w:rStyle w:val="Hyperlink"/>
                </w:rPr>
                <w:t>Go</w:t>
              </w:r>
            </w:hyperlink>
          </w:p>
        </w:tc>
        <w:tc>
          <w:tcPr>
            <w:tcW w:w="5669" w:type="dxa"/>
          </w:tcPr>
          <w:p w:rsidR="00AC7D4B" w:rsidRDefault="00AC7D4B">
            <w:pPr>
              <w:rPr>
                <w:rStyle w:val="big-number"/>
                <w:rFonts w:cs="FrankRuehl"/>
                <w:sz w:val="24"/>
                <w:szCs w:val="24"/>
                <w:rtl/>
              </w:rPr>
            </w:pPr>
            <w:r>
              <w:rPr>
                <w:rStyle w:val="big-number"/>
                <w:rFonts w:cs="FrankRuehl"/>
                <w:sz w:val="24"/>
                <w:szCs w:val="24"/>
                <w:rtl/>
              </w:rPr>
              <w:t>תחולה</w:t>
            </w:r>
          </w:p>
        </w:tc>
        <w:tc>
          <w:tcPr>
            <w:tcW w:w="1247" w:type="dxa"/>
          </w:tcPr>
          <w:p w:rsidR="00AC7D4B" w:rsidRDefault="00AC7D4B">
            <w:pPr>
              <w:rPr>
                <w:rStyle w:val="big-number"/>
                <w:rFonts w:cs="FrankRuehl" w:hint="cs"/>
                <w:sz w:val="24"/>
                <w:szCs w:val="24"/>
              </w:rPr>
            </w:pPr>
            <w:r>
              <w:rPr>
                <w:rStyle w:val="big-number"/>
                <w:rFonts w:cs="FrankRuehl"/>
                <w:sz w:val="24"/>
                <w:szCs w:val="24"/>
                <w:rtl/>
              </w:rPr>
              <w:t xml:space="preserve">סעיף 3 </w:t>
            </w:r>
          </w:p>
        </w:tc>
      </w:tr>
    </w:tbl>
    <w:p w:rsidR="005B0EF7" w:rsidRDefault="005B0EF7" w:rsidP="005B0EF7">
      <w:pPr>
        <w:pStyle w:val="big-header"/>
        <w:ind w:left="0" w:right="1134"/>
        <w:rPr>
          <w:rFonts w:cs="FrankRuehl" w:hint="cs"/>
          <w:sz w:val="32"/>
          <w:rtl/>
        </w:rPr>
      </w:pPr>
    </w:p>
    <w:p w:rsidR="005B0EF7" w:rsidRDefault="005B0EF7" w:rsidP="004C46D9">
      <w:pPr>
        <w:pStyle w:val="big-header"/>
        <w:ind w:left="0" w:right="1134"/>
        <w:rPr>
          <w:rFonts w:cs="FrankRuehl" w:hint="cs"/>
          <w:sz w:val="32"/>
          <w:rtl/>
        </w:rPr>
      </w:pPr>
      <w:r>
        <w:rPr>
          <w:rFonts w:cs="FrankRuehl"/>
          <w:sz w:val="32"/>
          <w:rtl/>
        </w:rPr>
        <w:br w:type="page"/>
      </w:r>
      <w:r>
        <w:rPr>
          <w:rFonts w:cs="FrankRuehl" w:hint="cs"/>
          <w:sz w:val="32"/>
          <w:rtl/>
        </w:rPr>
        <w:lastRenderedPageBreak/>
        <w:t>תקנות המתווכים במקרקעין (פעולות שיווק), תשס"ה-2004</w:t>
      </w:r>
      <w:r>
        <w:rPr>
          <w:rStyle w:val="default"/>
          <w:sz w:val="22"/>
          <w:szCs w:val="22"/>
          <w:rtl/>
        </w:rPr>
        <w:footnoteReference w:customMarkFollows="1" w:id="1"/>
        <w:t>*</w:t>
      </w:r>
    </w:p>
    <w:p w:rsidR="00AC7D4B" w:rsidRDefault="00AC7D4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בתוקף סמכותי לפי סעיף 9(ד) לחוק המתווכים במקרקעין, התשנ"ו-1996 (להלן </w:t>
      </w:r>
      <w:r>
        <w:rPr>
          <w:rStyle w:val="big-number"/>
          <w:rFonts w:cs="FrankRuehl"/>
          <w:sz w:val="26"/>
          <w:szCs w:val="26"/>
          <w:rtl/>
        </w:rPr>
        <w:t>–</w:t>
      </w:r>
      <w:r>
        <w:rPr>
          <w:rStyle w:val="big-number"/>
          <w:rFonts w:cs="FrankRuehl" w:hint="cs"/>
          <w:sz w:val="26"/>
          <w:szCs w:val="26"/>
          <w:rtl/>
        </w:rPr>
        <w:t xml:space="preserve"> החוק), ובאישור ועדת הכלכלה של הכנסת, אני מתקין תקנות אלה:</w:t>
      </w:r>
    </w:p>
    <w:p w:rsidR="00AC7D4B" w:rsidRDefault="00AC7D4B">
      <w:pPr>
        <w:pStyle w:val="P00"/>
        <w:spacing w:before="72"/>
        <w:ind w:left="0" w:right="1134"/>
        <w:rPr>
          <w:rStyle w:val="big-number"/>
          <w:rFonts w:cs="FrankRuehl" w:hint="cs"/>
          <w:sz w:val="26"/>
          <w:szCs w:val="26"/>
          <w:rtl/>
        </w:rPr>
      </w:pPr>
      <w:bookmarkStart w:id="0" w:name="Seif0"/>
      <w:bookmarkEnd w:id="0"/>
      <w:r>
        <w:rPr>
          <w:rFonts w:cs="Miriam"/>
          <w:lang w:val="he-IL"/>
        </w:rPr>
        <w:pict>
          <v:rect id="_x0000_s1026" style="position:absolute;left:0;text-align:left;margin-left:468pt;margin-top:8.05pt;width:70.55pt;height:8.95pt;z-index:251656704" filled="f" stroked="f" strokecolor="lime" strokeweight=".25pt">
            <v:textbox style="mso-next-textbox:#_x0000_s1026" inset="1mm,0,1mm,0">
              <w:txbxContent>
                <w:p w:rsidR="00AC7D4B" w:rsidRDefault="00AC7D4B">
                  <w:pPr>
                    <w:spacing w:line="160" w:lineRule="exact"/>
                    <w:rPr>
                      <w:rFonts w:cs="Miriam" w:hint="cs"/>
                      <w:noProof/>
                      <w:sz w:val="18"/>
                      <w:szCs w:val="18"/>
                      <w:rtl/>
                    </w:rPr>
                  </w:pPr>
                  <w:r>
                    <w:rPr>
                      <w:rFonts w:cs="Miriam" w:hint="cs"/>
                      <w:sz w:val="18"/>
                      <w:szCs w:val="18"/>
                      <w:rtl/>
                    </w:rPr>
                    <w:t>פעולות שיווק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ניתנה למתווך במקרקעין בלעדיות כאמור בסעיף 9(ב) לחוק, יבצע המתווך שתי פעולות שיווק לפחות מבין הפעולות המנויות בפסקאות (1) עד (6), אלא אם כן סוכם שתבוצע פעולת שיווק כאמור בפסקה (7), יחד עם פעולה מהפעולות המנויות בפסקאות (1) עד (6) או בלעדיה, הכל כפי שיוסכם עם הלקוח:</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פרסום באמצעות שילוט באחת או יותר מן הדרכים שלהלן:</w:t>
      </w:r>
    </w:p>
    <w:p w:rsidR="00AC7D4B" w:rsidRDefault="00AC7D4B">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הצבת שלט על הנכס או בקרבתו;</w:t>
      </w:r>
    </w:p>
    <w:p w:rsidR="00AC7D4B" w:rsidRDefault="00AC7D4B">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הצבת שלט על גבי לוח מודעות ציבורי;</w:t>
      </w:r>
    </w:p>
    <w:p w:rsidR="00AC7D4B" w:rsidRDefault="00AC7D4B">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הצבת שלט במרכז קהילתי;</w:t>
      </w:r>
    </w:p>
    <w:p w:rsidR="00AC7D4B" w:rsidRDefault="00AC7D4B">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כל שלט אחר כפי שיוסכם בין המתווך ללקוח.</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פרסום בקרב קהל לקוחות מסוים, המופיע במאגר של המתווך, באמצעי אלקטרוני, באמצעות דיוור ישיר או באמצעי אחר כפי שיוסכם, או פרסום מודעה באתר אינטרנט או באמצעי ממוחשב אחר אשר יועדו לשיווק נכסי מקרקעין;</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פרסום בעיתון יומי נפוץ אחד לפחות;</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פרסום בעיתון מקומי או בעיתון המיועד לקהל יעד מסוים בהתאם לבחירתו של הלקוח;</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הזמנת רוכשים פוטנציאליים או מתווכים נוספים לבקר בנכס במועד שיוסכם עליו;</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הזמנתם של חמישה מתווכים אחרים לפחות, הפעילים ביישוב שבו מצוי הנכס העומד למכירה, לשתף פעולה לשם מכירת הנכס;</w:t>
      </w:r>
    </w:p>
    <w:p w:rsidR="00AC7D4B" w:rsidRDefault="00AC7D4B">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כל פעולת שיווק שאינה מנויה בפסקאות (1) עד (6), כפי שתוסכם בין הצדדים.</w:t>
      </w:r>
    </w:p>
    <w:p w:rsidR="00AC7D4B" w:rsidRDefault="00AC7D4B">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המתווך יפרט בטופס, הנפרד מההזמנה לתיווך במקרקעין, את כל הפעולות הקבועות בתקנת משנה (א)(1) עד (6) וכן יציין כי המזמין רשאי להסכים עם המתווך על פעולות השיווק שיבצע המתווך; החליטו המתווך והלקוח על פעולת שיווק כאמור בתקנת משנה (א)(7), תצוין גם פעולה זו בנפרד וכן יצוין האם הוחלט כי המתווך יבצע פעולה זו יחד עם אחת הפעולות המנויות בפסקאות (1) עד (6) כאמור או בלעדיה.</w:t>
      </w:r>
    </w:p>
    <w:p w:rsidR="00AC7D4B" w:rsidRDefault="00AC7D4B">
      <w:pPr>
        <w:pStyle w:val="P00"/>
        <w:spacing w:before="72"/>
        <w:ind w:left="0" w:right="1134"/>
        <w:rPr>
          <w:rStyle w:val="default"/>
          <w:rFonts w:cs="FrankRuehl" w:hint="cs"/>
          <w:rtl/>
        </w:rPr>
      </w:pPr>
      <w:bookmarkStart w:id="1" w:name="Seif2"/>
      <w:bookmarkEnd w:id="1"/>
      <w:r>
        <w:rPr>
          <w:rFonts w:cs="Miriam"/>
          <w:lang w:val="he-IL"/>
        </w:rPr>
        <w:pict>
          <v:rect id="_x0000_s1215" style="position:absolute;left:0;text-align:left;margin-left:468pt;margin-top:8.05pt;width:70.55pt;height:12.9pt;z-index:251658752" filled="f" stroked="f" strokecolor="lime" strokeweight=".25pt">
            <v:textbox style="mso-next-textbox:#_x0000_s1215" inset="1mm,0,1mm,0">
              <w:txbxContent>
                <w:p w:rsidR="00AC7D4B" w:rsidRDefault="00AC7D4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 xml:space="preserve">תחילתן של תקנות אלה ביום תחילתו של חוק המתווכים במקרקעין (תיקון מס' 4), התשס"ד-2004 (להלן </w:t>
      </w:r>
      <w:r>
        <w:rPr>
          <w:rStyle w:val="default"/>
          <w:rFonts w:cs="FrankRuehl"/>
          <w:rtl/>
        </w:rPr>
        <w:t>–</w:t>
      </w:r>
      <w:r>
        <w:rPr>
          <w:rStyle w:val="default"/>
          <w:rFonts w:cs="FrankRuehl" w:hint="cs"/>
          <w:rtl/>
        </w:rPr>
        <w:t xml:space="preserve"> יום התחילה).</w:t>
      </w:r>
    </w:p>
    <w:p w:rsidR="00AC7D4B" w:rsidRDefault="00AC7D4B">
      <w:pPr>
        <w:pStyle w:val="P00"/>
        <w:spacing w:before="72"/>
        <w:ind w:left="0" w:right="1134"/>
        <w:rPr>
          <w:rStyle w:val="default"/>
          <w:rFonts w:cs="FrankRuehl" w:hint="cs"/>
          <w:rtl/>
        </w:rPr>
      </w:pPr>
      <w:bookmarkStart w:id="2" w:name="Seif1"/>
      <w:bookmarkEnd w:id="2"/>
      <w:r>
        <w:rPr>
          <w:rFonts w:cs="Miriam"/>
          <w:lang w:val="he-IL"/>
        </w:rPr>
        <w:pict>
          <v:rect id="_x0000_s1152" style="position:absolute;left:0;text-align:left;margin-left:468pt;margin-top:8.05pt;width:70.55pt;height:9.15pt;z-index:251657728" filled="f" stroked="f" strokecolor="lime" strokeweight=".25pt">
            <v:textbox style="mso-next-textbox:#_x0000_s1152" inset="1mm,0,1mm,0">
              <w:txbxContent>
                <w:p w:rsidR="00AC7D4B" w:rsidRDefault="00AC7D4B">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3.</w:t>
      </w:r>
      <w:r>
        <w:rPr>
          <w:rStyle w:val="big-number"/>
          <w:rFonts w:cs="FrankRuehl"/>
          <w:sz w:val="26"/>
          <w:szCs w:val="26"/>
          <w:rtl/>
        </w:rPr>
        <w:tab/>
      </w:r>
      <w:r>
        <w:rPr>
          <w:rStyle w:val="default"/>
          <w:rFonts w:cs="FrankRuehl" w:hint="cs"/>
          <w:rtl/>
        </w:rPr>
        <w:t>תקנות אלה יחולו על עסקאות תיווך שנכרתו לאחר יום התחילה.</w:t>
      </w:r>
    </w:p>
    <w:p w:rsidR="00AC7D4B" w:rsidRDefault="00AC7D4B">
      <w:pPr>
        <w:pStyle w:val="P00"/>
        <w:spacing w:before="72"/>
        <w:ind w:left="0" w:right="1134"/>
        <w:rPr>
          <w:rStyle w:val="default"/>
          <w:rFonts w:cs="FrankRuehl" w:hint="cs"/>
          <w:rtl/>
        </w:rPr>
      </w:pPr>
    </w:p>
    <w:p w:rsidR="00AC7D4B" w:rsidRDefault="00AC7D4B">
      <w:pPr>
        <w:pStyle w:val="P00"/>
        <w:spacing w:before="72"/>
        <w:ind w:left="0" w:right="1134"/>
        <w:rPr>
          <w:rStyle w:val="default"/>
          <w:rFonts w:cs="FrankRuehl" w:hint="cs"/>
          <w:rtl/>
        </w:rPr>
      </w:pPr>
    </w:p>
    <w:p w:rsidR="00AC7D4B" w:rsidRDefault="00AC7D4B" w:rsidP="005B0EF7">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י"ט בחשון התשס"ה (3 בנובמבר 2004)</w:t>
      </w:r>
      <w:r>
        <w:rPr>
          <w:rFonts w:cs="FrankRuehl" w:hint="cs"/>
          <w:sz w:val="26"/>
          <w:szCs w:val="26"/>
          <w:rtl/>
        </w:rPr>
        <w:tab/>
        <w:t>יוסף (טומי) לפיד</w:t>
      </w:r>
    </w:p>
    <w:p w:rsidR="00AC7D4B" w:rsidRDefault="00AC7D4B" w:rsidP="005B0EF7">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המשפטים</w:t>
      </w:r>
    </w:p>
    <w:p w:rsidR="00AC7D4B" w:rsidRPr="005B0EF7" w:rsidRDefault="00AC7D4B" w:rsidP="005B0EF7">
      <w:pPr>
        <w:pStyle w:val="P00"/>
        <w:spacing w:before="72"/>
        <w:ind w:left="0" w:right="1134"/>
        <w:rPr>
          <w:rStyle w:val="default"/>
          <w:rFonts w:cs="FrankRuehl" w:hint="cs"/>
          <w:rtl/>
        </w:rPr>
      </w:pPr>
    </w:p>
    <w:p w:rsidR="005B0EF7" w:rsidRPr="005B0EF7" w:rsidRDefault="005B0EF7" w:rsidP="005B0EF7">
      <w:pPr>
        <w:pStyle w:val="P00"/>
        <w:spacing w:before="72"/>
        <w:ind w:left="0" w:right="1134"/>
        <w:rPr>
          <w:rStyle w:val="default"/>
          <w:rFonts w:cs="FrankRuehl" w:hint="cs"/>
          <w:rtl/>
        </w:rPr>
      </w:pPr>
    </w:p>
    <w:sectPr w:rsidR="005B0EF7" w:rsidRPr="005B0EF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5E55" w:rsidRDefault="00055E55">
      <w:r>
        <w:separator/>
      </w:r>
    </w:p>
  </w:endnote>
  <w:endnote w:type="continuationSeparator" w:id="0">
    <w:p w:rsidR="00055E55" w:rsidRDefault="0005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D4B" w:rsidRDefault="00AC7D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C7D4B" w:rsidRDefault="00AC7D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7D4B" w:rsidRDefault="00AC7D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0EF7">
      <w:rPr>
        <w:rFonts w:cs="TopType Jerushalmi"/>
        <w:noProof/>
        <w:color w:val="000000"/>
        <w:sz w:val="14"/>
        <w:szCs w:val="14"/>
      </w:rPr>
      <w:t>D:\Yael\hakika\Revadim</w:t>
    </w:r>
    <w:r w:rsidR="005B0EF7">
      <w:rPr>
        <w:rFonts w:cs="TopType Jerushalmi"/>
        <w:noProof/>
        <w:color w:val="000000"/>
        <w:sz w:val="14"/>
        <w:szCs w:val="14"/>
        <w:rtl/>
      </w:rPr>
      <w:t>\קישורים\999_361.</w:t>
    </w:r>
    <w:r w:rsidR="005B0EF7">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D4B" w:rsidRDefault="00AC7D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D0A2A">
      <w:rPr>
        <w:rFonts w:hAnsi="FrankRuehl" w:cs="FrankRuehl"/>
        <w:noProof/>
        <w:sz w:val="24"/>
        <w:szCs w:val="24"/>
        <w:rtl/>
      </w:rPr>
      <w:t>1</w:t>
    </w:r>
    <w:r>
      <w:rPr>
        <w:rFonts w:hAnsi="FrankRuehl" w:cs="FrankRuehl"/>
        <w:sz w:val="24"/>
        <w:szCs w:val="24"/>
        <w:rtl/>
      </w:rPr>
      <w:fldChar w:fldCharType="end"/>
    </w:r>
  </w:p>
  <w:p w:rsidR="00AC7D4B" w:rsidRDefault="00AC7D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7D4B" w:rsidRDefault="00AC7D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0EF7">
      <w:rPr>
        <w:rFonts w:cs="TopType Jerushalmi"/>
        <w:noProof/>
        <w:color w:val="000000"/>
        <w:sz w:val="14"/>
        <w:szCs w:val="14"/>
      </w:rPr>
      <w:t>D:\Yael\hakika\Revadim</w:t>
    </w:r>
    <w:r w:rsidR="005B0EF7">
      <w:rPr>
        <w:rFonts w:cs="TopType Jerushalmi"/>
        <w:noProof/>
        <w:color w:val="000000"/>
        <w:sz w:val="14"/>
        <w:szCs w:val="14"/>
        <w:rtl/>
      </w:rPr>
      <w:t>\קישורים\999_361.</w:t>
    </w:r>
    <w:r w:rsidR="005B0EF7">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5E55" w:rsidRDefault="00055E55" w:rsidP="005B0EF7">
      <w:pPr>
        <w:spacing w:before="60"/>
        <w:ind w:right="1134"/>
      </w:pPr>
      <w:r>
        <w:separator/>
      </w:r>
    </w:p>
  </w:footnote>
  <w:footnote w:type="continuationSeparator" w:id="0">
    <w:p w:rsidR="00055E55" w:rsidRDefault="00055E55">
      <w:r>
        <w:continuationSeparator/>
      </w:r>
    </w:p>
  </w:footnote>
  <w:footnote w:id="1">
    <w:p w:rsidR="005B0EF7" w:rsidRDefault="005B0EF7" w:rsidP="005B0E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תשס"ה מס' 6348</w:t>
        </w:r>
      </w:hyperlink>
      <w:r>
        <w:rPr>
          <w:rFonts w:cs="FrankRuehl" w:hint="cs"/>
          <w:rtl/>
        </w:rPr>
        <w:t xml:space="preserve"> מיום 17.11.2004 עמ' 159.</w:t>
      </w:r>
    </w:p>
    <w:p w:rsidR="005B0EF7" w:rsidRDefault="005B0EF7" w:rsidP="005B0EF7">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D4B" w:rsidRDefault="00AC7D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C7D4B" w:rsidRDefault="00AC7D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7D4B" w:rsidRDefault="00AC7D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7D4B" w:rsidRDefault="00AC7D4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המתווכים במקרקעין (פעולות שיווק), תשס"ה-2004</w:t>
    </w:r>
  </w:p>
  <w:p w:rsidR="00AC7D4B" w:rsidRDefault="00AC7D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7D4B" w:rsidRDefault="00AC7D4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296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38BD"/>
    <w:rsid w:val="00055E55"/>
    <w:rsid w:val="001C577D"/>
    <w:rsid w:val="00255123"/>
    <w:rsid w:val="003A38BD"/>
    <w:rsid w:val="004C46D9"/>
    <w:rsid w:val="004E1EC7"/>
    <w:rsid w:val="005B0EF7"/>
    <w:rsid w:val="008F0EAE"/>
    <w:rsid w:val="00AC7D4B"/>
    <w:rsid w:val="00B803DD"/>
    <w:rsid w:val="00D453A6"/>
    <w:rsid w:val="00FD0A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D71878B6-BDF9-49BE-8809-AD24B259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2239</CharactersWithSpaces>
  <SharedDoc>false</SharedDoc>
  <HLinks>
    <vt:vector size="24" baseType="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Seif0</vt:lpwstr>
      </vt:variant>
      <vt:variant>
        <vt:i4>8060931</vt:i4>
      </vt:variant>
      <vt:variant>
        <vt:i4>0</vt:i4>
      </vt:variant>
      <vt:variant>
        <vt:i4>0</vt:i4>
      </vt:variant>
      <vt:variant>
        <vt:i4>5</vt:i4>
      </vt:variant>
      <vt:variant>
        <vt:lpwstr>http://www.nevo.co.il/Law_word/law06/TAK-6348.pdf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המתווכים במקרקעין (פעולות שיווק), תשס"ה-2004</vt:lpwstr>
  </property>
  <property fmtid="{D5CDD505-2E9C-101B-9397-08002B2CF9AE}" pid="4" name="LAWNUMBER">
    <vt:lpwstr>0361</vt:lpwstr>
  </property>
  <property fmtid="{D5CDD505-2E9C-101B-9397-08002B2CF9AE}" pid="5" name="TYPE">
    <vt:lpwstr>01</vt:lpwstr>
  </property>
  <property fmtid="{D5CDD505-2E9C-101B-9397-08002B2CF9AE}" pid="6" name="CHNAME">
    <vt:lpwstr>מקרקעין</vt:lpwstr>
  </property>
  <property fmtid="{D5CDD505-2E9C-101B-9397-08002B2CF9AE}" pid="7" name="LINKK1">
    <vt:lpwstr>http://www.nevo.co.il/Law_word/law06/TAK-6348.pdf;רשומות - תקנות כלליות#פורסמו ק"ת תשס"ה מס' 6348#מיום 17.11.2004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המתווכים במקרקעין</vt:lpwstr>
  </property>
  <property fmtid="{D5CDD505-2E9C-101B-9397-08002B2CF9AE}" pid="18" name="MEKOR_SAIF1">
    <vt:lpwstr>9XדX</vt:lpwstr>
  </property>
  <property fmtid="{D5CDD505-2E9C-101B-9397-08002B2CF9AE}" pid="19" name="NOSE11">
    <vt:lpwstr>משפט פרטי וכלכלה</vt:lpwstr>
  </property>
  <property fmtid="{D5CDD505-2E9C-101B-9397-08002B2CF9AE}" pid="20" name="NOSE21">
    <vt:lpwstr>הסדרת עיסוק</vt:lpwstr>
  </property>
  <property fmtid="{D5CDD505-2E9C-101B-9397-08002B2CF9AE}" pid="21" name="NOSE31">
    <vt:lpwstr>מתווכים במקרקעין</vt:lpwstr>
  </property>
  <property fmtid="{D5CDD505-2E9C-101B-9397-08002B2CF9AE}" pid="22" name="NOSE41">
    <vt:lpwstr/>
  </property>
  <property fmtid="{D5CDD505-2E9C-101B-9397-08002B2CF9AE}" pid="23" name="NOSE12">
    <vt:lpwstr>רשויות ומשפט מנהלי</vt:lpwstr>
  </property>
  <property fmtid="{D5CDD505-2E9C-101B-9397-08002B2CF9AE}" pid="24" name="NOSE22">
    <vt:lpwstr>הסדרת עיסוק</vt:lpwstr>
  </property>
  <property fmtid="{D5CDD505-2E9C-101B-9397-08002B2CF9AE}" pid="25" name="NOSE32">
    <vt:lpwstr>מתווכים במקרקעין</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