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ACE5" w14:textId="77777777" w:rsidR="00D1003E" w:rsidRDefault="00D1003E">
      <w:pPr>
        <w:pStyle w:val="big-header"/>
        <w:ind w:left="0" w:right="1134"/>
        <w:rPr>
          <w:rFonts w:cs="FrankRuehl"/>
          <w:sz w:val="32"/>
        </w:rPr>
      </w:pPr>
      <w:r>
        <w:rPr>
          <w:rFonts w:cs="FrankRuehl"/>
          <w:sz w:val="32"/>
          <w:rtl/>
        </w:rPr>
        <w:t>תקנות הנוטריונים (ארכיון מרכזי), תשל"ז</w:t>
      </w:r>
      <w:r>
        <w:rPr>
          <w:rFonts w:cs="FrankRuehl" w:hint="cs"/>
          <w:sz w:val="32"/>
          <w:rtl/>
        </w:rPr>
        <w:t>-</w:t>
      </w:r>
      <w:r>
        <w:rPr>
          <w:rFonts w:cs="FrankRuehl"/>
          <w:sz w:val="32"/>
          <w:rtl/>
        </w:rPr>
        <w:t>1977</w:t>
      </w:r>
    </w:p>
    <w:p w14:paraId="7FD5768C" w14:textId="77777777" w:rsidR="00A55294" w:rsidRPr="00A55294" w:rsidRDefault="00A55294" w:rsidP="00A55294">
      <w:pPr>
        <w:spacing w:line="320" w:lineRule="auto"/>
        <w:jc w:val="left"/>
        <w:rPr>
          <w:rFonts w:cs="FrankRuehl"/>
          <w:szCs w:val="26"/>
          <w:rtl/>
        </w:rPr>
      </w:pPr>
    </w:p>
    <w:p w14:paraId="3B31E341" w14:textId="77777777" w:rsidR="00AC143E" w:rsidRDefault="00AC143E" w:rsidP="00AC143E">
      <w:pPr>
        <w:spacing w:line="320" w:lineRule="auto"/>
        <w:jc w:val="left"/>
        <w:rPr>
          <w:rtl/>
        </w:rPr>
      </w:pPr>
    </w:p>
    <w:p w14:paraId="03E7FAFA" w14:textId="77777777" w:rsidR="00AC143E" w:rsidRDefault="00AC143E" w:rsidP="00AC143E">
      <w:pPr>
        <w:spacing w:line="320" w:lineRule="auto"/>
        <w:jc w:val="left"/>
        <w:rPr>
          <w:rFonts w:cs="FrankRuehl"/>
          <w:szCs w:val="26"/>
          <w:rtl/>
        </w:rPr>
      </w:pPr>
      <w:r w:rsidRPr="00AC143E">
        <w:rPr>
          <w:rFonts w:cs="Miriam"/>
          <w:szCs w:val="22"/>
          <w:rtl/>
        </w:rPr>
        <w:t>משפט פרטי וכלכלה</w:t>
      </w:r>
      <w:r w:rsidRPr="00AC143E">
        <w:rPr>
          <w:rFonts w:cs="FrankRuehl"/>
          <w:szCs w:val="26"/>
          <w:rtl/>
        </w:rPr>
        <w:t xml:space="preserve"> – הסדרת עיסוק – נוטריונים</w:t>
      </w:r>
    </w:p>
    <w:p w14:paraId="7593EB6F" w14:textId="77777777" w:rsidR="00AC143E" w:rsidRDefault="00AC143E" w:rsidP="00AC143E">
      <w:pPr>
        <w:spacing w:line="320" w:lineRule="auto"/>
        <w:jc w:val="left"/>
        <w:rPr>
          <w:rFonts w:cs="FrankRuehl"/>
          <w:szCs w:val="26"/>
          <w:rtl/>
        </w:rPr>
      </w:pPr>
      <w:r w:rsidRPr="00AC143E">
        <w:rPr>
          <w:rFonts w:cs="Miriam"/>
          <w:szCs w:val="22"/>
          <w:rtl/>
        </w:rPr>
        <w:t>רשויות ומשפט מנהלי</w:t>
      </w:r>
      <w:r w:rsidRPr="00AC143E">
        <w:rPr>
          <w:rFonts w:cs="FrankRuehl"/>
          <w:szCs w:val="26"/>
          <w:rtl/>
        </w:rPr>
        <w:t xml:space="preserve"> – הסדרת עיסוק – נוטריונים</w:t>
      </w:r>
    </w:p>
    <w:p w14:paraId="46BBFE61" w14:textId="77777777" w:rsidR="00A55294" w:rsidRPr="00AC143E" w:rsidRDefault="00AC143E" w:rsidP="00AC143E">
      <w:pPr>
        <w:spacing w:line="320" w:lineRule="auto"/>
        <w:jc w:val="left"/>
        <w:rPr>
          <w:rFonts w:cs="Miriam"/>
          <w:szCs w:val="22"/>
          <w:rtl/>
        </w:rPr>
      </w:pPr>
      <w:r w:rsidRPr="00AC143E">
        <w:rPr>
          <w:rFonts w:cs="Miriam"/>
          <w:szCs w:val="22"/>
          <w:rtl/>
        </w:rPr>
        <w:t>רשויות ומשפט מנהלי</w:t>
      </w:r>
      <w:r w:rsidRPr="00AC143E">
        <w:rPr>
          <w:rFonts w:cs="FrankRuehl"/>
          <w:szCs w:val="26"/>
          <w:rtl/>
        </w:rPr>
        <w:t xml:space="preserve"> – ארכיונים – ארכיון מרכזי</w:t>
      </w:r>
    </w:p>
    <w:p w14:paraId="351AAF39" w14:textId="77777777" w:rsidR="00D1003E" w:rsidRDefault="00D1003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003E" w14:paraId="4B8E9AD9" w14:textId="77777777">
        <w:tblPrEx>
          <w:tblCellMar>
            <w:top w:w="0" w:type="dxa"/>
            <w:bottom w:w="0" w:type="dxa"/>
          </w:tblCellMar>
        </w:tblPrEx>
        <w:tc>
          <w:tcPr>
            <w:tcW w:w="850" w:type="dxa"/>
          </w:tcPr>
          <w:p w14:paraId="5BC0EB55"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10FC9D" w14:textId="77777777" w:rsidR="00D1003E" w:rsidRDefault="00D1003E">
            <w:pPr>
              <w:spacing w:line="240" w:lineRule="auto"/>
              <w:rPr>
                <w:sz w:val="24"/>
              </w:rPr>
            </w:pPr>
            <w:hyperlink w:anchor="Seif0" w:tooltip="הקמת הארכיון המרכזי" w:history="1">
              <w:r>
                <w:rPr>
                  <w:rStyle w:val="Hyperlink"/>
                </w:rPr>
                <w:t>Go</w:t>
              </w:r>
            </w:hyperlink>
          </w:p>
        </w:tc>
        <w:tc>
          <w:tcPr>
            <w:tcW w:w="5669" w:type="dxa"/>
          </w:tcPr>
          <w:p w14:paraId="0DB7D99F" w14:textId="77777777" w:rsidR="00D1003E" w:rsidRDefault="00D1003E">
            <w:pPr>
              <w:spacing w:line="240" w:lineRule="auto"/>
              <w:rPr>
                <w:sz w:val="24"/>
                <w:rtl/>
              </w:rPr>
            </w:pPr>
            <w:r>
              <w:rPr>
                <w:sz w:val="24"/>
                <w:rtl/>
              </w:rPr>
              <w:t>הקמת הארכיון המרכזי</w:t>
            </w:r>
          </w:p>
        </w:tc>
        <w:tc>
          <w:tcPr>
            <w:tcW w:w="1247" w:type="dxa"/>
          </w:tcPr>
          <w:p w14:paraId="61246048" w14:textId="77777777" w:rsidR="00D1003E" w:rsidRDefault="00D1003E">
            <w:pPr>
              <w:spacing w:line="240" w:lineRule="auto"/>
              <w:rPr>
                <w:sz w:val="24"/>
              </w:rPr>
            </w:pPr>
            <w:r>
              <w:rPr>
                <w:sz w:val="24"/>
                <w:rtl/>
              </w:rPr>
              <w:t xml:space="preserve">סעיף 1 </w:t>
            </w:r>
          </w:p>
        </w:tc>
      </w:tr>
      <w:tr w:rsidR="00D1003E" w14:paraId="3163228B" w14:textId="77777777">
        <w:tblPrEx>
          <w:tblCellMar>
            <w:top w:w="0" w:type="dxa"/>
            <w:bottom w:w="0" w:type="dxa"/>
          </w:tblCellMar>
        </w:tblPrEx>
        <w:tc>
          <w:tcPr>
            <w:tcW w:w="850" w:type="dxa"/>
          </w:tcPr>
          <w:p w14:paraId="38D757DD"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8529BBE" w14:textId="77777777" w:rsidR="00D1003E" w:rsidRDefault="00D1003E">
            <w:pPr>
              <w:spacing w:line="240" w:lineRule="auto"/>
              <w:rPr>
                <w:sz w:val="24"/>
              </w:rPr>
            </w:pPr>
            <w:hyperlink w:anchor="Seif1" w:tooltip="מקום הארכיון" w:history="1">
              <w:r>
                <w:rPr>
                  <w:rStyle w:val="Hyperlink"/>
                </w:rPr>
                <w:t>Go</w:t>
              </w:r>
            </w:hyperlink>
          </w:p>
        </w:tc>
        <w:tc>
          <w:tcPr>
            <w:tcW w:w="5669" w:type="dxa"/>
          </w:tcPr>
          <w:p w14:paraId="542D956C" w14:textId="77777777" w:rsidR="00D1003E" w:rsidRDefault="00D1003E">
            <w:pPr>
              <w:spacing w:line="240" w:lineRule="auto"/>
              <w:rPr>
                <w:sz w:val="24"/>
                <w:rtl/>
              </w:rPr>
            </w:pPr>
            <w:r>
              <w:rPr>
                <w:sz w:val="24"/>
                <w:rtl/>
              </w:rPr>
              <w:t>מקום הארכיון</w:t>
            </w:r>
          </w:p>
        </w:tc>
        <w:tc>
          <w:tcPr>
            <w:tcW w:w="1247" w:type="dxa"/>
          </w:tcPr>
          <w:p w14:paraId="73CA426C" w14:textId="77777777" w:rsidR="00D1003E" w:rsidRDefault="00D1003E">
            <w:pPr>
              <w:spacing w:line="240" w:lineRule="auto"/>
              <w:rPr>
                <w:sz w:val="24"/>
              </w:rPr>
            </w:pPr>
            <w:r>
              <w:rPr>
                <w:sz w:val="24"/>
                <w:rtl/>
              </w:rPr>
              <w:t xml:space="preserve">סעיף 2 </w:t>
            </w:r>
          </w:p>
        </w:tc>
      </w:tr>
      <w:tr w:rsidR="00D1003E" w14:paraId="04985DAC" w14:textId="77777777">
        <w:tblPrEx>
          <w:tblCellMar>
            <w:top w:w="0" w:type="dxa"/>
            <w:bottom w:w="0" w:type="dxa"/>
          </w:tblCellMar>
        </w:tblPrEx>
        <w:tc>
          <w:tcPr>
            <w:tcW w:w="850" w:type="dxa"/>
          </w:tcPr>
          <w:p w14:paraId="43310B55"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B8C97BE" w14:textId="77777777" w:rsidR="00D1003E" w:rsidRDefault="00D1003E">
            <w:pPr>
              <w:spacing w:line="240" w:lineRule="auto"/>
              <w:rPr>
                <w:sz w:val="24"/>
              </w:rPr>
            </w:pPr>
            <w:hyperlink w:anchor="Seif2" w:tooltip="מסמכים וספרים  שהיו בידי נוטריון" w:history="1">
              <w:r>
                <w:rPr>
                  <w:rStyle w:val="Hyperlink"/>
                </w:rPr>
                <w:t>Go</w:t>
              </w:r>
            </w:hyperlink>
          </w:p>
        </w:tc>
        <w:tc>
          <w:tcPr>
            <w:tcW w:w="5669" w:type="dxa"/>
          </w:tcPr>
          <w:p w14:paraId="6BA62205" w14:textId="77777777" w:rsidR="00D1003E" w:rsidRDefault="00D1003E">
            <w:pPr>
              <w:spacing w:line="240" w:lineRule="auto"/>
              <w:rPr>
                <w:sz w:val="24"/>
                <w:rtl/>
              </w:rPr>
            </w:pPr>
            <w:r>
              <w:rPr>
                <w:sz w:val="24"/>
                <w:rtl/>
              </w:rPr>
              <w:t>מסמכים וספרים  שהיו בידי נוטריון</w:t>
            </w:r>
          </w:p>
        </w:tc>
        <w:tc>
          <w:tcPr>
            <w:tcW w:w="1247" w:type="dxa"/>
          </w:tcPr>
          <w:p w14:paraId="5F741D64" w14:textId="77777777" w:rsidR="00D1003E" w:rsidRDefault="00D1003E">
            <w:pPr>
              <w:spacing w:line="240" w:lineRule="auto"/>
              <w:rPr>
                <w:sz w:val="24"/>
              </w:rPr>
            </w:pPr>
            <w:r>
              <w:rPr>
                <w:sz w:val="24"/>
                <w:rtl/>
              </w:rPr>
              <w:t xml:space="preserve">סעיף 3 </w:t>
            </w:r>
          </w:p>
        </w:tc>
      </w:tr>
      <w:tr w:rsidR="00D1003E" w14:paraId="768C69AE" w14:textId="77777777">
        <w:tblPrEx>
          <w:tblCellMar>
            <w:top w:w="0" w:type="dxa"/>
            <w:bottom w:w="0" w:type="dxa"/>
          </w:tblCellMar>
        </w:tblPrEx>
        <w:tc>
          <w:tcPr>
            <w:tcW w:w="850" w:type="dxa"/>
          </w:tcPr>
          <w:p w14:paraId="644E48E1"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4EBED3" w14:textId="77777777" w:rsidR="00D1003E" w:rsidRDefault="00D1003E">
            <w:pPr>
              <w:spacing w:line="240" w:lineRule="auto"/>
              <w:rPr>
                <w:sz w:val="24"/>
              </w:rPr>
            </w:pPr>
            <w:hyperlink w:anchor="Seif3" w:tooltip="מסמכים מסווגים" w:history="1">
              <w:r>
                <w:rPr>
                  <w:rStyle w:val="Hyperlink"/>
                </w:rPr>
                <w:t>Go</w:t>
              </w:r>
            </w:hyperlink>
          </w:p>
        </w:tc>
        <w:tc>
          <w:tcPr>
            <w:tcW w:w="5669" w:type="dxa"/>
          </w:tcPr>
          <w:p w14:paraId="29FB6B63" w14:textId="77777777" w:rsidR="00D1003E" w:rsidRDefault="00D1003E">
            <w:pPr>
              <w:spacing w:line="240" w:lineRule="auto"/>
              <w:rPr>
                <w:sz w:val="24"/>
                <w:rtl/>
              </w:rPr>
            </w:pPr>
            <w:r>
              <w:rPr>
                <w:sz w:val="24"/>
                <w:rtl/>
              </w:rPr>
              <w:t>מסמכים מסווגים</w:t>
            </w:r>
          </w:p>
        </w:tc>
        <w:tc>
          <w:tcPr>
            <w:tcW w:w="1247" w:type="dxa"/>
          </w:tcPr>
          <w:p w14:paraId="2D537A6D" w14:textId="77777777" w:rsidR="00D1003E" w:rsidRDefault="00D1003E">
            <w:pPr>
              <w:spacing w:line="240" w:lineRule="auto"/>
              <w:rPr>
                <w:sz w:val="24"/>
              </w:rPr>
            </w:pPr>
            <w:r>
              <w:rPr>
                <w:sz w:val="24"/>
                <w:rtl/>
              </w:rPr>
              <w:t xml:space="preserve">סעיף 4 </w:t>
            </w:r>
          </w:p>
        </w:tc>
      </w:tr>
      <w:tr w:rsidR="00D1003E" w14:paraId="1349808E" w14:textId="77777777">
        <w:tblPrEx>
          <w:tblCellMar>
            <w:top w:w="0" w:type="dxa"/>
            <w:bottom w:w="0" w:type="dxa"/>
          </w:tblCellMar>
        </w:tblPrEx>
        <w:tc>
          <w:tcPr>
            <w:tcW w:w="850" w:type="dxa"/>
          </w:tcPr>
          <w:p w14:paraId="03BF405C"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14BE8B" w14:textId="77777777" w:rsidR="00D1003E" w:rsidRDefault="00D1003E">
            <w:pPr>
              <w:spacing w:line="240" w:lineRule="auto"/>
              <w:rPr>
                <w:sz w:val="24"/>
              </w:rPr>
            </w:pPr>
            <w:hyperlink w:anchor="Seif4" w:tooltip="דיווח על עריכת מסמכים מסווגים" w:history="1">
              <w:r>
                <w:rPr>
                  <w:rStyle w:val="Hyperlink"/>
                </w:rPr>
                <w:t>Go</w:t>
              </w:r>
            </w:hyperlink>
          </w:p>
        </w:tc>
        <w:tc>
          <w:tcPr>
            <w:tcW w:w="5669" w:type="dxa"/>
          </w:tcPr>
          <w:p w14:paraId="45DED262" w14:textId="77777777" w:rsidR="00D1003E" w:rsidRDefault="00D1003E">
            <w:pPr>
              <w:spacing w:line="240" w:lineRule="auto"/>
              <w:rPr>
                <w:sz w:val="24"/>
                <w:rtl/>
              </w:rPr>
            </w:pPr>
            <w:r>
              <w:rPr>
                <w:sz w:val="24"/>
                <w:rtl/>
              </w:rPr>
              <w:t>דיווח על עריכת מסמכים מסווגים</w:t>
            </w:r>
          </w:p>
        </w:tc>
        <w:tc>
          <w:tcPr>
            <w:tcW w:w="1247" w:type="dxa"/>
          </w:tcPr>
          <w:p w14:paraId="1039C50F" w14:textId="77777777" w:rsidR="00D1003E" w:rsidRDefault="00D1003E">
            <w:pPr>
              <w:spacing w:line="240" w:lineRule="auto"/>
              <w:rPr>
                <w:sz w:val="24"/>
              </w:rPr>
            </w:pPr>
            <w:r>
              <w:rPr>
                <w:sz w:val="24"/>
                <w:rtl/>
              </w:rPr>
              <w:t xml:space="preserve">סעיף 5 </w:t>
            </w:r>
          </w:p>
        </w:tc>
      </w:tr>
      <w:tr w:rsidR="00D1003E" w14:paraId="536C407F" w14:textId="77777777">
        <w:tblPrEx>
          <w:tblCellMar>
            <w:top w:w="0" w:type="dxa"/>
            <w:bottom w:w="0" w:type="dxa"/>
          </w:tblCellMar>
        </w:tblPrEx>
        <w:tc>
          <w:tcPr>
            <w:tcW w:w="850" w:type="dxa"/>
          </w:tcPr>
          <w:p w14:paraId="05D59298"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D657DE0" w14:textId="77777777" w:rsidR="00D1003E" w:rsidRDefault="00D1003E">
            <w:pPr>
              <w:spacing w:line="240" w:lineRule="auto"/>
              <w:rPr>
                <w:sz w:val="24"/>
              </w:rPr>
            </w:pPr>
            <w:hyperlink w:anchor="Seif5" w:tooltip="מתן מידע  והעתקים" w:history="1">
              <w:r>
                <w:rPr>
                  <w:rStyle w:val="Hyperlink"/>
                </w:rPr>
                <w:t>Go</w:t>
              </w:r>
            </w:hyperlink>
          </w:p>
        </w:tc>
        <w:tc>
          <w:tcPr>
            <w:tcW w:w="5669" w:type="dxa"/>
          </w:tcPr>
          <w:p w14:paraId="699ADE1A" w14:textId="77777777" w:rsidR="00D1003E" w:rsidRDefault="00D1003E">
            <w:pPr>
              <w:spacing w:line="240" w:lineRule="auto"/>
              <w:rPr>
                <w:sz w:val="24"/>
                <w:rtl/>
              </w:rPr>
            </w:pPr>
            <w:r>
              <w:rPr>
                <w:sz w:val="24"/>
                <w:rtl/>
              </w:rPr>
              <w:t>מתן מידע  והעתקים</w:t>
            </w:r>
          </w:p>
        </w:tc>
        <w:tc>
          <w:tcPr>
            <w:tcW w:w="1247" w:type="dxa"/>
          </w:tcPr>
          <w:p w14:paraId="754782A7" w14:textId="77777777" w:rsidR="00D1003E" w:rsidRDefault="00D1003E">
            <w:pPr>
              <w:spacing w:line="240" w:lineRule="auto"/>
              <w:rPr>
                <w:sz w:val="24"/>
              </w:rPr>
            </w:pPr>
            <w:r>
              <w:rPr>
                <w:sz w:val="24"/>
                <w:rtl/>
              </w:rPr>
              <w:t xml:space="preserve">סעיף 6 </w:t>
            </w:r>
          </w:p>
        </w:tc>
      </w:tr>
      <w:tr w:rsidR="00D1003E" w14:paraId="4E98FB71" w14:textId="77777777">
        <w:tblPrEx>
          <w:tblCellMar>
            <w:top w:w="0" w:type="dxa"/>
            <w:bottom w:w="0" w:type="dxa"/>
          </w:tblCellMar>
        </w:tblPrEx>
        <w:tc>
          <w:tcPr>
            <w:tcW w:w="850" w:type="dxa"/>
          </w:tcPr>
          <w:p w14:paraId="7AF31D7A"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BECD40" w14:textId="77777777" w:rsidR="00D1003E" w:rsidRDefault="00D1003E">
            <w:pPr>
              <w:spacing w:line="240" w:lineRule="auto"/>
              <w:rPr>
                <w:sz w:val="24"/>
              </w:rPr>
            </w:pPr>
            <w:hyperlink w:anchor="Seif6" w:tooltip="תחילה" w:history="1">
              <w:r>
                <w:rPr>
                  <w:rStyle w:val="Hyperlink"/>
                </w:rPr>
                <w:t>Go</w:t>
              </w:r>
            </w:hyperlink>
          </w:p>
        </w:tc>
        <w:tc>
          <w:tcPr>
            <w:tcW w:w="5669" w:type="dxa"/>
          </w:tcPr>
          <w:p w14:paraId="41D4FAE0" w14:textId="77777777" w:rsidR="00D1003E" w:rsidRDefault="00D1003E">
            <w:pPr>
              <w:spacing w:line="240" w:lineRule="auto"/>
              <w:rPr>
                <w:sz w:val="24"/>
                <w:rtl/>
              </w:rPr>
            </w:pPr>
            <w:r>
              <w:rPr>
                <w:sz w:val="24"/>
                <w:rtl/>
              </w:rPr>
              <w:t>תחילה</w:t>
            </w:r>
          </w:p>
        </w:tc>
        <w:tc>
          <w:tcPr>
            <w:tcW w:w="1247" w:type="dxa"/>
          </w:tcPr>
          <w:p w14:paraId="22A9290F" w14:textId="77777777" w:rsidR="00D1003E" w:rsidRDefault="00D1003E">
            <w:pPr>
              <w:spacing w:line="240" w:lineRule="auto"/>
              <w:rPr>
                <w:sz w:val="24"/>
              </w:rPr>
            </w:pPr>
            <w:r>
              <w:rPr>
                <w:sz w:val="24"/>
                <w:rtl/>
              </w:rPr>
              <w:t xml:space="preserve">סעיף 7 </w:t>
            </w:r>
          </w:p>
        </w:tc>
      </w:tr>
      <w:tr w:rsidR="00D1003E" w14:paraId="5CDBC924" w14:textId="77777777">
        <w:tblPrEx>
          <w:tblCellMar>
            <w:top w:w="0" w:type="dxa"/>
            <w:bottom w:w="0" w:type="dxa"/>
          </w:tblCellMar>
        </w:tblPrEx>
        <w:tc>
          <w:tcPr>
            <w:tcW w:w="850" w:type="dxa"/>
          </w:tcPr>
          <w:p w14:paraId="5DF2F378"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731F21" w14:textId="77777777" w:rsidR="00D1003E" w:rsidRDefault="00D1003E">
            <w:pPr>
              <w:spacing w:line="240" w:lineRule="auto"/>
              <w:rPr>
                <w:sz w:val="24"/>
              </w:rPr>
            </w:pPr>
            <w:hyperlink w:anchor="Seif7" w:tooltip="השם" w:history="1">
              <w:r>
                <w:rPr>
                  <w:rStyle w:val="Hyperlink"/>
                </w:rPr>
                <w:t>Go</w:t>
              </w:r>
            </w:hyperlink>
          </w:p>
        </w:tc>
        <w:tc>
          <w:tcPr>
            <w:tcW w:w="5669" w:type="dxa"/>
          </w:tcPr>
          <w:p w14:paraId="777E1B56" w14:textId="77777777" w:rsidR="00D1003E" w:rsidRDefault="00D1003E">
            <w:pPr>
              <w:spacing w:line="240" w:lineRule="auto"/>
              <w:rPr>
                <w:sz w:val="24"/>
                <w:rtl/>
              </w:rPr>
            </w:pPr>
            <w:r>
              <w:rPr>
                <w:sz w:val="24"/>
                <w:rtl/>
              </w:rPr>
              <w:t>השם</w:t>
            </w:r>
          </w:p>
        </w:tc>
        <w:tc>
          <w:tcPr>
            <w:tcW w:w="1247" w:type="dxa"/>
          </w:tcPr>
          <w:p w14:paraId="3BEBB717" w14:textId="77777777" w:rsidR="00D1003E" w:rsidRDefault="00D1003E">
            <w:pPr>
              <w:spacing w:line="240" w:lineRule="auto"/>
              <w:rPr>
                <w:sz w:val="24"/>
              </w:rPr>
            </w:pPr>
            <w:r>
              <w:rPr>
                <w:sz w:val="24"/>
                <w:rtl/>
              </w:rPr>
              <w:t xml:space="preserve">סעיף 8 </w:t>
            </w:r>
          </w:p>
        </w:tc>
      </w:tr>
      <w:tr w:rsidR="00D1003E" w14:paraId="19C14BC1" w14:textId="77777777">
        <w:tblPrEx>
          <w:tblCellMar>
            <w:top w:w="0" w:type="dxa"/>
            <w:bottom w:w="0" w:type="dxa"/>
          </w:tblCellMar>
        </w:tblPrEx>
        <w:tc>
          <w:tcPr>
            <w:tcW w:w="850" w:type="dxa"/>
          </w:tcPr>
          <w:p w14:paraId="76C05778" w14:textId="77777777" w:rsidR="00D1003E" w:rsidRDefault="00D1003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BE89E4A" w14:textId="77777777" w:rsidR="00D1003E" w:rsidRDefault="00D1003E">
            <w:pPr>
              <w:spacing w:line="240" w:lineRule="auto"/>
              <w:rPr>
                <w:sz w:val="24"/>
              </w:rPr>
            </w:pPr>
            <w:hyperlink w:anchor="med0" w:tooltip="תוספת" w:history="1">
              <w:r>
                <w:rPr>
                  <w:rStyle w:val="Hyperlink"/>
                </w:rPr>
                <w:t>Go</w:t>
              </w:r>
            </w:hyperlink>
          </w:p>
        </w:tc>
        <w:tc>
          <w:tcPr>
            <w:tcW w:w="5669" w:type="dxa"/>
          </w:tcPr>
          <w:p w14:paraId="360D54ED" w14:textId="77777777" w:rsidR="00D1003E" w:rsidRDefault="00D1003E">
            <w:pPr>
              <w:spacing w:line="240" w:lineRule="auto"/>
              <w:rPr>
                <w:sz w:val="24"/>
              </w:rPr>
            </w:pPr>
            <w:r>
              <w:rPr>
                <w:sz w:val="24"/>
                <w:rtl/>
              </w:rPr>
              <w:t>תוספת</w:t>
            </w:r>
          </w:p>
        </w:tc>
        <w:tc>
          <w:tcPr>
            <w:tcW w:w="1247" w:type="dxa"/>
          </w:tcPr>
          <w:p w14:paraId="387FCBFC" w14:textId="77777777" w:rsidR="00D1003E" w:rsidRDefault="00D1003E">
            <w:pPr>
              <w:spacing w:line="240" w:lineRule="auto"/>
              <w:rPr>
                <w:sz w:val="24"/>
              </w:rPr>
            </w:pPr>
          </w:p>
        </w:tc>
      </w:tr>
    </w:tbl>
    <w:p w14:paraId="2783F059" w14:textId="77777777" w:rsidR="00D1003E" w:rsidRDefault="00D1003E">
      <w:pPr>
        <w:pStyle w:val="big-header"/>
        <w:ind w:left="0" w:right="1134"/>
        <w:rPr>
          <w:rFonts w:cs="FrankRuehl"/>
          <w:sz w:val="32"/>
          <w:rtl/>
        </w:rPr>
      </w:pPr>
    </w:p>
    <w:p w14:paraId="0BA859E1" w14:textId="77777777" w:rsidR="00D1003E" w:rsidRDefault="00D1003E" w:rsidP="00A55294">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הנוטריונים (ארכיון מרכזי), תשל"ז-</w:t>
      </w:r>
      <w:r>
        <w:rPr>
          <w:rFonts w:cs="FrankRuehl"/>
          <w:sz w:val="32"/>
          <w:rtl/>
        </w:rPr>
        <w:t>1977</w:t>
      </w:r>
      <w:r>
        <w:rPr>
          <w:rStyle w:val="default"/>
          <w:rtl/>
        </w:rPr>
        <w:footnoteReference w:customMarkFollows="1" w:id="1"/>
        <w:t>*</w:t>
      </w:r>
    </w:p>
    <w:p w14:paraId="548CD485" w14:textId="77777777" w:rsidR="00D1003E" w:rsidRDefault="00D100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תקנות 30, 32 ו-55 לחוק הנוטריונים, תשל"ו-</w:t>
      </w:r>
      <w:r>
        <w:rPr>
          <w:rStyle w:val="default"/>
          <w:rFonts w:cs="FrankRuehl"/>
          <w:rtl/>
        </w:rPr>
        <w:t>1976 (</w:t>
      </w:r>
      <w:r>
        <w:rPr>
          <w:rStyle w:val="default"/>
          <w:rFonts w:cs="FrankRuehl" w:hint="cs"/>
          <w:rtl/>
        </w:rPr>
        <w:t>להלן -</w:t>
      </w:r>
      <w:r>
        <w:rPr>
          <w:rStyle w:val="default"/>
          <w:rFonts w:cs="FrankRuehl"/>
          <w:rtl/>
        </w:rPr>
        <w:t xml:space="preserve"> </w:t>
      </w:r>
      <w:r>
        <w:rPr>
          <w:rStyle w:val="default"/>
          <w:rFonts w:cs="FrankRuehl" w:hint="cs"/>
          <w:rtl/>
        </w:rPr>
        <w:t>החוק), ושאר הסמכויות הנתונות לי על פי דין, אני מתקין תקנות אל</w:t>
      </w:r>
      <w:r>
        <w:rPr>
          <w:rStyle w:val="default"/>
          <w:rFonts w:cs="FrankRuehl"/>
          <w:rtl/>
        </w:rPr>
        <w:t>ה</w:t>
      </w:r>
      <w:r>
        <w:rPr>
          <w:rStyle w:val="default"/>
          <w:rFonts w:cs="FrankRuehl" w:hint="cs"/>
          <w:rtl/>
        </w:rPr>
        <w:t>:</w:t>
      </w:r>
    </w:p>
    <w:p w14:paraId="39C1CC9B" w14:textId="77777777" w:rsidR="00D1003E" w:rsidRDefault="00D1003E">
      <w:pPr>
        <w:pStyle w:val="P00"/>
        <w:spacing w:before="72"/>
        <w:ind w:left="0" w:right="1134"/>
        <w:rPr>
          <w:rStyle w:val="default"/>
          <w:rFonts w:cs="FrankRuehl"/>
          <w:rtl/>
        </w:rPr>
      </w:pPr>
      <w:bookmarkStart w:id="0" w:name="Seif0"/>
      <w:bookmarkEnd w:id="0"/>
      <w:r>
        <w:rPr>
          <w:lang w:val="he-IL"/>
        </w:rPr>
        <w:pict w14:anchorId="124DF3C3">
          <v:rect id="_x0000_s1026" style="position:absolute;left:0;text-align:left;margin-left:464.5pt;margin-top:8.05pt;width:75.05pt;height:22pt;z-index:251653632" o:allowincell="f" filled="f" stroked="f" strokecolor="lime" strokeweight=".25pt">
            <v:textbox style="mso-next-textbox:#_x0000_s1026" inset="0,0,0,0">
              <w:txbxContent>
                <w:p w14:paraId="681AFF4F" w14:textId="77777777" w:rsidR="00D1003E" w:rsidRDefault="00D1003E">
                  <w:pPr>
                    <w:spacing w:line="160" w:lineRule="exact"/>
                    <w:jc w:val="left"/>
                    <w:rPr>
                      <w:rFonts w:cs="Miriam"/>
                      <w:noProof/>
                      <w:sz w:val="18"/>
                      <w:szCs w:val="18"/>
                      <w:rtl/>
                    </w:rPr>
                  </w:pPr>
                  <w:r>
                    <w:rPr>
                      <w:rFonts w:cs="Miriam"/>
                      <w:sz w:val="18"/>
                      <w:szCs w:val="18"/>
                      <w:rtl/>
                    </w:rPr>
                    <w:t>הק</w:t>
                  </w:r>
                  <w:r>
                    <w:rPr>
                      <w:rFonts w:cs="Miriam" w:hint="cs"/>
                      <w:sz w:val="18"/>
                      <w:szCs w:val="18"/>
                      <w:rtl/>
                    </w:rPr>
                    <w:t>מת הארכיון המרכזי</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קם בזה ארכיון מרכזי למסמכים נוטריוניים (להלן -</w:t>
      </w:r>
      <w:r>
        <w:rPr>
          <w:rStyle w:val="default"/>
          <w:rFonts w:cs="FrankRuehl"/>
          <w:rtl/>
        </w:rPr>
        <w:t xml:space="preserve"> הא</w:t>
      </w:r>
      <w:r>
        <w:rPr>
          <w:rStyle w:val="default"/>
          <w:rFonts w:cs="FrankRuehl" w:hint="cs"/>
          <w:rtl/>
        </w:rPr>
        <w:t>רכיון).</w:t>
      </w:r>
    </w:p>
    <w:p w14:paraId="5AD32B6D" w14:textId="77777777" w:rsidR="00D1003E" w:rsidRDefault="00D1003E">
      <w:pPr>
        <w:pStyle w:val="P00"/>
        <w:spacing w:before="72"/>
        <w:ind w:left="0" w:right="1134"/>
        <w:rPr>
          <w:rStyle w:val="default"/>
          <w:rFonts w:cs="FrankRuehl"/>
          <w:rtl/>
        </w:rPr>
      </w:pPr>
      <w:bookmarkStart w:id="1" w:name="Seif1"/>
      <w:bookmarkEnd w:id="1"/>
      <w:r>
        <w:rPr>
          <w:lang w:val="he-IL"/>
        </w:rPr>
        <w:pict w14:anchorId="538D29A6">
          <v:rect id="_x0000_s1027" style="position:absolute;left:0;text-align:left;margin-left:464.5pt;margin-top:8.05pt;width:75.05pt;height:18.85pt;z-index:251654656" o:allowincell="f" filled="f" stroked="f" strokecolor="lime" strokeweight=".25pt">
            <v:textbox style="mso-next-textbox:#_x0000_s1027" inset="0,0,0,0">
              <w:txbxContent>
                <w:p w14:paraId="0C802659" w14:textId="77777777" w:rsidR="00D1003E" w:rsidRDefault="00D1003E">
                  <w:pPr>
                    <w:spacing w:line="160" w:lineRule="exact"/>
                    <w:jc w:val="left"/>
                    <w:rPr>
                      <w:rFonts w:cs="Miriam"/>
                      <w:noProof/>
                      <w:sz w:val="18"/>
                      <w:szCs w:val="18"/>
                      <w:rtl/>
                    </w:rPr>
                  </w:pPr>
                  <w:r>
                    <w:rPr>
                      <w:rFonts w:cs="Miriam"/>
                      <w:sz w:val="18"/>
                      <w:szCs w:val="18"/>
                      <w:rtl/>
                    </w:rPr>
                    <w:t>מק</w:t>
                  </w:r>
                  <w:r>
                    <w:rPr>
                      <w:rFonts w:cs="Miriam" w:hint="cs"/>
                      <w:sz w:val="18"/>
                      <w:szCs w:val="18"/>
                      <w:rtl/>
                    </w:rPr>
                    <w:t>ום הארכיון</w:t>
                  </w:r>
                </w:p>
              </w:txbxContent>
            </v:textbox>
            <w10:anchorlock/>
          </v:rect>
        </w:pict>
      </w:r>
      <w:r>
        <w:rPr>
          <w:rStyle w:val="big-number"/>
          <w:rFonts w:cs="Miriam"/>
          <w:rtl/>
        </w:rPr>
        <w:t>2.</w:t>
      </w:r>
      <w:r>
        <w:rPr>
          <w:rStyle w:val="big-number"/>
          <w:rFonts w:cs="Miriam"/>
          <w:rtl/>
        </w:rPr>
        <w:tab/>
      </w:r>
      <w:r>
        <w:rPr>
          <w:rStyle w:val="default"/>
          <w:rFonts w:cs="FrankRuehl"/>
          <w:rtl/>
        </w:rPr>
        <w:t>הא</w:t>
      </w:r>
      <w:r>
        <w:rPr>
          <w:rStyle w:val="default"/>
          <w:rFonts w:cs="FrankRuehl" w:hint="cs"/>
          <w:rtl/>
        </w:rPr>
        <w:t>רכיון ינוהל בגנזך כמשמעותו בחוק הארכיונים, תשט"ו-</w:t>
      </w:r>
      <w:r>
        <w:rPr>
          <w:rStyle w:val="default"/>
          <w:rFonts w:cs="FrankRuehl"/>
          <w:rtl/>
        </w:rPr>
        <w:t xml:space="preserve">1955, </w:t>
      </w:r>
      <w:r>
        <w:rPr>
          <w:rStyle w:val="default"/>
          <w:rFonts w:cs="FrankRuehl" w:hint="cs"/>
          <w:rtl/>
        </w:rPr>
        <w:t>על ידי הגנז שלו; אולם לגבי מסמכים וספרים שביום כ"ד בסיון תשל"ז (10 ביוני 1977) היו במשמרתו ש</w:t>
      </w:r>
      <w:r>
        <w:rPr>
          <w:rStyle w:val="default"/>
          <w:rFonts w:cs="FrankRuehl"/>
          <w:rtl/>
        </w:rPr>
        <w:t>ל</w:t>
      </w:r>
      <w:r>
        <w:rPr>
          <w:rStyle w:val="default"/>
          <w:rFonts w:cs="FrankRuehl" w:hint="cs"/>
          <w:rtl/>
        </w:rPr>
        <w:t xml:space="preserve"> נוטריון ציבורי לפי החוק העותמאני בדבר הנוטריון מיום 27 בזילקעדה שנת 1331 (1913) ינוהל הארכי</w:t>
      </w:r>
      <w:r>
        <w:rPr>
          <w:rStyle w:val="default"/>
          <w:rFonts w:cs="FrankRuehl"/>
          <w:rtl/>
        </w:rPr>
        <w:t>ון</w:t>
      </w:r>
      <w:r>
        <w:rPr>
          <w:rStyle w:val="default"/>
          <w:rFonts w:cs="FrankRuehl" w:hint="cs"/>
          <w:rtl/>
        </w:rPr>
        <w:t xml:space="preserve"> במשרד הרישום של בית המשפט שלידו כיהן אותו נוטריון.</w:t>
      </w:r>
    </w:p>
    <w:p w14:paraId="7235DB9F" w14:textId="77777777" w:rsidR="00D1003E" w:rsidRDefault="00D1003E">
      <w:pPr>
        <w:pStyle w:val="P00"/>
        <w:spacing w:before="72"/>
        <w:ind w:left="0" w:right="1134"/>
        <w:rPr>
          <w:rStyle w:val="default"/>
          <w:rFonts w:cs="FrankRuehl"/>
          <w:rtl/>
        </w:rPr>
      </w:pPr>
      <w:bookmarkStart w:id="2" w:name="Seif2"/>
      <w:bookmarkEnd w:id="2"/>
      <w:r>
        <w:rPr>
          <w:lang w:val="he-IL"/>
        </w:rPr>
        <w:pict w14:anchorId="6983ACC7">
          <v:rect id="_x0000_s1028" style="position:absolute;left:0;text-align:left;margin-left:464.5pt;margin-top:8.05pt;width:75.05pt;height:21.55pt;z-index:251655680" o:allowincell="f" filled="f" stroked="f" strokecolor="lime" strokeweight=".25pt">
            <v:textbox style="mso-next-textbox:#_x0000_s1028" inset="0,0,0,0">
              <w:txbxContent>
                <w:p w14:paraId="17CB3010" w14:textId="77777777" w:rsidR="00D1003E" w:rsidRDefault="00D1003E">
                  <w:pPr>
                    <w:spacing w:line="160" w:lineRule="exact"/>
                    <w:jc w:val="left"/>
                    <w:rPr>
                      <w:rFonts w:cs="Miriam"/>
                      <w:noProof/>
                      <w:sz w:val="18"/>
                      <w:szCs w:val="18"/>
                      <w:rtl/>
                    </w:rPr>
                  </w:pPr>
                  <w:r>
                    <w:rPr>
                      <w:rFonts w:cs="Miriam"/>
                      <w:sz w:val="18"/>
                      <w:szCs w:val="18"/>
                      <w:rtl/>
                    </w:rPr>
                    <w:t>מס</w:t>
                  </w:r>
                  <w:r>
                    <w:rPr>
                      <w:rFonts w:cs="Miriam" w:hint="cs"/>
                      <w:sz w:val="18"/>
                      <w:szCs w:val="18"/>
                      <w:rtl/>
                    </w:rPr>
                    <w:t>מכים וספרים ש</w:t>
                  </w:r>
                  <w:r>
                    <w:rPr>
                      <w:rFonts w:cs="Miriam"/>
                      <w:sz w:val="18"/>
                      <w:szCs w:val="18"/>
                      <w:rtl/>
                    </w:rPr>
                    <w:t>ה</w:t>
                  </w:r>
                  <w:r>
                    <w:rPr>
                      <w:rFonts w:cs="Miriam" w:hint="cs"/>
                      <w:sz w:val="18"/>
                      <w:szCs w:val="18"/>
                      <w:rtl/>
                    </w:rPr>
                    <w:t>יו בידי נוטריון</w:t>
                  </w:r>
                </w:p>
              </w:txbxContent>
            </v:textbox>
            <w10:anchorlock/>
          </v:rect>
        </w:pict>
      </w:r>
      <w:r>
        <w:rPr>
          <w:rStyle w:val="big-number"/>
          <w:rFonts w:cs="Miriam"/>
          <w:rtl/>
        </w:rPr>
        <w:t>3.</w:t>
      </w:r>
      <w:r>
        <w:rPr>
          <w:rStyle w:val="big-number"/>
          <w:rFonts w:cs="Miriam"/>
          <w:rtl/>
        </w:rPr>
        <w:tab/>
      </w:r>
      <w:r>
        <w:rPr>
          <w:rStyle w:val="default"/>
          <w:rFonts w:cs="FrankRuehl"/>
          <w:rtl/>
        </w:rPr>
        <w:t>נפ</w:t>
      </w:r>
      <w:r>
        <w:rPr>
          <w:rStyle w:val="default"/>
          <w:rFonts w:cs="FrankRuehl" w:hint="cs"/>
          <w:rtl/>
        </w:rPr>
        <w:t>טר נוטריון או פקע תקפו של רשיונו, יימסרו המסמכים והספרים שעל הנוטריון לשמרם או לנהלם על פי החוק או התקנות שלפיו, לידי הארכיון.</w:t>
      </w:r>
    </w:p>
    <w:p w14:paraId="1737599A" w14:textId="77777777" w:rsidR="00D1003E" w:rsidRDefault="00D1003E">
      <w:pPr>
        <w:pStyle w:val="P00"/>
        <w:spacing w:before="72"/>
        <w:ind w:left="0" w:right="1134"/>
        <w:rPr>
          <w:rStyle w:val="default"/>
          <w:rFonts w:cs="FrankRuehl"/>
          <w:rtl/>
        </w:rPr>
      </w:pPr>
      <w:bookmarkStart w:id="3" w:name="Seif3"/>
      <w:bookmarkEnd w:id="3"/>
      <w:r>
        <w:rPr>
          <w:lang w:val="he-IL"/>
        </w:rPr>
        <w:pict w14:anchorId="7B884893">
          <v:rect id="_x0000_s1029" style="position:absolute;left:0;text-align:left;margin-left:464.5pt;margin-top:8.05pt;width:75.05pt;height:11pt;z-index:251656704" o:allowincell="f" filled="f" stroked="f" strokecolor="lime" strokeweight=".25pt">
            <v:textbox style="mso-next-textbox:#_x0000_s1029" inset="0,0,0,0">
              <w:txbxContent>
                <w:p w14:paraId="310B8D7C" w14:textId="77777777" w:rsidR="00D1003E" w:rsidRDefault="00D1003E">
                  <w:pPr>
                    <w:spacing w:line="160" w:lineRule="exact"/>
                    <w:jc w:val="left"/>
                    <w:rPr>
                      <w:rFonts w:cs="Miriam"/>
                      <w:noProof/>
                      <w:sz w:val="18"/>
                      <w:szCs w:val="18"/>
                      <w:rtl/>
                    </w:rPr>
                  </w:pPr>
                  <w:r>
                    <w:rPr>
                      <w:rFonts w:cs="Miriam"/>
                      <w:sz w:val="18"/>
                      <w:szCs w:val="18"/>
                      <w:rtl/>
                    </w:rPr>
                    <w:t>מס</w:t>
                  </w:r>
                  <w:r>
                    <w:rPr>
                      <w:rFonts w:cs="Miriam" w:hint="cs"/>
                      <w:sz w:val="18"/>
                      <w:szCs w:val="18"/>
                      <w:rtl/>
                    </w:rPr>
                    <w:t>מכים מסווגים</w:t>
                  </w:r>
                </w:p>
              </w:txbxContent>
            </v:textbox>
            <w10:anchorlock/>
          </v:rect>
        </w:pict>
      </w:r>
      <w:r>
        <w:rPr>
          <w:rStyle w:val="big-number"/>
          <w:rFonts w:cs="Miriam"/>
          <w:rtl/>
        </w:rPr>
        <w:t>4.</w:t>
      </w:r>
      <w:r>
        <w:rPr>
          <w:rStyle w:val="big-number"/>
          <w:rFonts w:cs="Miriam"/>
          <w:rtl/>
        </w:rPr>
        <w:tab/>
      </w:r>
      <w:r>
        <w:rPr>
          <w:rStyle w:val="default"/>
          <w:rFonts w:cs="FrankRuehl"/>
          <w:rtl/>
        </w:rPr>
        <w:t>עו</w:t>
      </w:r>
      <w:r>
        <w:rPr>
          <w:rStyle w:val="default"/>
          <w:rFonts w:cs="FrankRuehl" w:hint="cs"/>
          <w:rtl/>
        </w:rPr>
        <w:t xml:space="preserve">תקים של אישורים ומסמכים אחרים שעל הנוטריון לשמרם והם נמנים עם אלה שעל הנוטריון </w:t>
      </w:r>
      <w:r>
        <w:rPr>
          <w:rStyle w:val="default"/>
          <w:rFonts w:cs="FrankRuehl"/>
          <w:rtl/>
        </w:rPr>
        <w:t>ל</w:t>
      </w:r>
      <w:r>
        <w:rPr>
          <w:rStyle w:val="default"/>
          <w:rFonts w:cs="FrankRuehl" w:hint="cs"/>
          <w:rtl/>
        </w:rPr>
        <w:t>שלוח לארכיון, הכל כאמור בתקנות לפי החוק, ישמור אותם הנוטריון בנפרד וישלחם לארכיון בתום שבע שנים מעריכת המסמך עצמו או מעריכת האישור הנוטריוני לגב</w:t>
      </w:r>
      <w:r>
        <w:rPr>
          <w:rStyle w:val="default"/>
          <w:rFonts w:cs="FrankRuehl"/>
          <w:rtl/>
        </w:rPr>
        <w:t xml:space="preserve">י </w:t>
      </w:r>
      <w:r>
        <w:rPr>
          <w:rStyle w:val="default"/>
          <w:rFonts w:cs="FrankRuehl" w:hint="cs"/>
          <w:rtl/>
        </w:rPr>
        <w:t>המסמך, הכל לפי הענין; הוראה זו אינה גורעת מזכותו של הנוטריון לערוך עתקים נוספים מאישורים ומסמכים כאמור ולהחזי</w:t>
      </w:r>
      <w:r>
        <w:rPr>
          <w:rStyle w:val="default"/>
          <w:rFonts w:cs="FrankRuehl"/>
          <w:rtl/>
        </w:rPr>
        <w:t>ק</w:t>
      </w:r>
      <w:r>
        <w:rPr>
          <w:rStyle w:val="default"/>
          <w:rFonts w:cs="FrankRuehl" w:hint="cs"/>
          <w:rtl/>
        </w:rPr>
        <w:t>ם במשמרתו מעבר לתקופה של שבע שנים כאמור.</w:t>
      </w:r>
    </w:p>
    <w:p w14:paraId="41751FB8" w14:textId="77777777" w:rsidR="00D1003E" w:rsidRDefault="00D1003E">
      <w:pPr>
        <w:pStyle w:val="P00"/>
        <w:spacing w:before="72"/>
        <w:ind w:left="0" w:right="1134"/>
        <w:rPr>
          <w:rStyle w:val="default"/>
          <w:rFonts w:cs="FrankRuehl"/>
          <w:rtl/>
        </w:rPr>
      </w:pPr>
      <w:bookmarkStart w:id="4" w:name="Seif4"/>
      <w:bookmarkEnd w:id="4"/>
      <w:r>
        <w:rPr>
          <w:lang w:val="he-IL"/>
        </w:rPr>
        <w:pict w14:anchorId="36551A07">
          <v:rect id="_x0000_s1030" style="position:absolute;left:0;text-align:left;margin-left:464.5pt;margin-top:8.05pt;width:75.05pt;height:17.5pt;z-index:251657728" o:allowincell="f" filled="f" stroked="f" strokecolor="lime" strokeweight=".25pt">
            <v:textbox style="mso-next-textbox:#_x0000_s1030" inset="0,0,0,0">
              <w:txbxContent>
                <w:p w14:paraId="58586C55" w14:textId="77777777" w:rsidR="00D1003E" w:rsidRDefault="00D1003E">
                  <w:pPr>
                    <w:spacing w:line="160" w:lineRule="exact"/>
                    <w:jc w:val="left"/>
                    <w:rPr>
                      <w:rFonts w:cs="Miriam"/>
                      <w:noProof/>
                      <w:sz w:val="18"/>
                      <w:szCs w:val="18"/>
                      <w:rtl/>
                    </w:rPr>
                  </w:pPr>
                  <w:r>
                    <w:rPr>
                      <w:rFonts w:cs="Miriam"/>
                      <w:sz w:val="18"/>
                      <w:szCs w:val="18"/>
                      <w:rtl/>
                    </w:rPr>
                    <w:t>די</w:t>
                  </w:r>
                  <w:r>
                    <w:rPr>
                      <w:rFonts w:cs="Miriam" w:hint="cs"/>
                      <w:sz w:val="18"/>
                      <w:szCs w:val="18"/>
                      <w:rtl/>
                    </w:rPr>
                    <w:t>ווח על עריכת מסמכים מסווגים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וטריון שערך אישור לגבי מסמך שעותק ממנו חייב להשלח לארכיון כאמור בתקנה 4, יודיע לארכיון על עריכ</w:t>
      </w:r>
      <w:r>
        <w:rPr>
          <w:rStyle w:val="default"/>
          <w:rFonts w:cs="FrankRuehl"/>
          <w:rtl/>
        </w:rPr>
        <w:t xml:space="preserve">ת </w:t>
      </w:r>
      <w:r>
        <w:rPr>
          <w:rStyle w:val="default"/>
          <w:rFonts w:cs="FrankRuehl" w:hint="cs"/>
          <w:rtl/>
        </w:rPr>
        <w:t>האישור בטופס כמפורט בתוספת לתקנות אלה עד סוף החודש שבו ערך את האישור.</w:t>
      </w:r>
    </w:p>
    <w:p w14:paraId="454EA737" w14:textId="77777777" w:rsidR="00D1003E" w:rsidRDefault="00D100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שביקש לערוך את האישור כאמור בתקנה זו, יגבה ממנו הנוטריון אגרה כפי שנקבעה ויעביר אותה לארכיון ביחד עם הטופס שישלח לו לפי תקנת משנה (א), ולא יקובל טופס כאמור זולת אם הועברה האגרה</w:t>
      </w:r>
      <w:r>
        <w:rPr>
          <w:rStyle w:val="default"/>
          <w:rFonts w:cs="FrankRuehl"/>
          <w:rtl/>
        </w:rPr>
        <w:t xml:space="preserve"> ב</w:t>
      </w:r>
      <w:r>
        <w:rPr>
          <w:rStyle w:val="default"/>
          <w:rFonts w:cs="FrankRuehl" w:hint="cs"/>
          <w:rtl/>
        </w:rPr>
        <w:t>ד בבד עם משלוח הטופס.</w:t>
      </w:r>
    </w:p>
    <w:p w14:paraId="7571CCDB" w14:textId="77777777" w:rsidR="00D1003E" w:rsidRDefault="00D100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ותק של הטופס שיישלח לארכיון כאמור בתקנת משנה (א) </w:t>
      </w:r>
      <w:r>
        <w:rPr>
          <w:rStyle w:val="default"/>
          <w:rFonts w:cs="FrankRuehl"/>
          <w:rtl/>
        </w:rPr>
        <w:t>י</w:t>
      </w:r>
      <w:r>
        <w:rPr>
          <w:rStyle w:val="default"/>
          <w:rFonts w:cs="FrankRuehl" w:hint="cs"/>
          <w:rtl/>
        </w:rPr>
        <w:t>צורף לעותק האישור שעל הנוטריון לשמור לפי תקנות אלה ושאליו מתייחס הטופס; הנוטריון ישמור על עותק הטופס ביחד עם עותק האישור.</w:t>
      </w:r>
    </w:p>
    <w:p w14:paraId="29CCF2A2" w14:textId="77777777" w:rsidR="00D1003E" w:rsidRDefault="00D100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ותק שני של טופס כאמור בתקנת משנה (ג) יישמר בידי </w:t>
      </w:r>
      <w:r>
        <w:rPr>
          <w:rStyle w:val="default"/>
          <w:rFonts w:cs="FrankRuehl"/>
          <w:rtl/>
        </w:rPr>
        <w:t>הנ</w:t>
      </w:r>
      <w:r>
        <w:rPr>
          <w:rStyle w:val="default"/>
          <w:rFonts w:cs="FrankRuehl" w:hint="cs"/>
          <w:rtl/>
        </w:rPr>
        <w:t>וטריון בנפרד לפי סדר עריכתם של הטפסים.</w:t>
      </w:r>
    </w:p>
    <w:p w14:paraId="3684FB1B" w14:textId="77777777" w:rsidR="00D1003E" w:rsidRDefault="00D100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ישתמש נוטריון לקיום המוטל עליו</w:t>
      </w:r>
      <w:r>
        <w:rPr>
          <w:rStyle w:val="default"/>
          <w:rFonts w:cs="FrankRuehl"/>
          <w:rtl/>
        </w:rPr>
        <w:t xml:space="preserve"> </w:t>
      </w:r>
      <w:r>
        <w:rPr>
          <w:rStyle w:val="default"/>
          <w:rFonts w:cs="FrankRuehl" w:hint="cs"/>
          <w:rtl/>
        </w:rPr>
        <w:t>בתקנה זו אלא בטפסים שסופקו לו למטרה זו על ידי המדפיס הממשלתי או מי שהמדפיס הממשלתי הסמיך לכך.</w:t>
      </w:r>
    </w:p>
    <w:p w14:paraId="26A214E0" w14:textId="77777777" w:rsidR="00D1003E" w:rsidRDefault="00D1003E">
      <w:pPr>
        <w:pStyle w:val="P00"/>
        <w:spacing w:before="72"/>
        <w:ind w:left="0" w:right="1134"/>
        <w:rPr>
          <w:rStyle w:val="default"/>
          <w:rFonts w:cs="FrankRuehl"/>
          <w:rtl/>
        </w:rPr>
      </w:pPr>
      <w:bookmarkStart w:id="5" w:name="Seif5"/>
      <w:bookmarkEnd w:id="5"/>
      <w:r>
        <w:rPr>
          <w:lang w:val="he-IL"/>
        </w:rPr>
        <w:pict w14:anchorId="79D4444C">
          <v:rect id="_x0000_s1031" style="position:absolute;left:0;text-align:left;margin-left:464.5pt;margin-top:8.05pt;width:75.05pt;height:11.95pt;z-index:251658752" o:allowincell="f" filled="f" stroked="f" strokecolor="lime" strokeweight=".25pt">
            <v:textbox style="mso-next-textbox:#_x0000_s1031" inset="0,0,0,0">
              <w:txbxContent>
                <w:p w14:paraId="781D374F" w14:textId="77777777" w:rsidR="00D1003E" w:rsidRDefault="00D1003E">
                  <w:pPr>
                    <w:spacing w:line="160" w:lineRule="exact"/>
                    <w:jc w:val="left"/>
                    <w:rPr>
                      <w:rFonts w:cs="Miriam"/>
                      <w:noProof/>
                      <w:sz w:val="18"/>
                      <w:szCs w:val="18"/>
                      <w:rtl/>
                    </w:rPr>
                  </w:pPr>
                  <w:r>
                    <w:rPr>
                      <w:rFonts w:cs="Miriam"/>
                      <w:sz w:val="18"/>
                      <w:szCs w:val="18"/>
                      <w:rtl/>
                    </w:rPr>
                    <w:t>מת</w:t>
                  </w:r>
                  <w:r>
                    <w:rPr>
                      <w:rFonts w:cs="Miriam" w:hint="cs"/>
                      <w:sz w:val="18"/>
                      <w:szCs w:val="18"/>
                      <w:rtl/>
                    </w:rPr>
                    <w:t>ן מידע</w:t>
                  </w:r>
                  <w:r>
                    <w:rPr>
                      <w:rFonts w:cs="Miriam"/>
                      <w:sz w:val="18"/>
                      <w:szCs w:val="18"/>
                      <w:rtl/>
                    </w:rPr>
                    <w:t xml:space="preserve"> </w:t>
                  </w:r>
                  <w:r>
                    <w:rPr>
                      <w:rFonts w:cs="Miriam" w:hint="cs"/>
                      <w:sz w:val="18"/>
                      <w:szCs w:val="18"/>
                      <w:rtl/>
                    </w:rPr>
                    <w:t>ו</w:t>
                  </w:r>
                  <w:r>
                    <w:rPr>
                      <w:rFonts w:cs="Miriam"/>
                      <w:sz w:val="18"/>
                      <w:szCs w:val="18"/>
                      <w:rtl/>
                    </w:rPr>
                    <w:t>ה</w:t>
                  </w:r>
                  <w:r>
                    <w:rPr>
                      <w:rFonts w:cs="Miriam" w:hint="cs"/>
                      <w:sz w:val="18"/>
                      <w:szCs w:val="18"/>
                      <w:rtl/>
                    </w:rPr>
                    <w:t>עתקים</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 שזכאי לקבל מנוטריון העתק מאושר של עותק שעל הנוטריון לשמור, כאמור בתקנות לפי</w:t>
      </w:r>
      <w:r>
        <w:rPr>
          <w:rStyle w:val="default"/>
          <w:rFonts w:cs="FrankRuehl"/>
          <w:rtl/>
        </w:rPr>
        <w:t xml:space="preserve"> ה</w:t>
      </w:r>
      <w:r>
        <w:rPr>
          <w:rStyle w:val="default"/>
          <w:rFonts w:cs="FrankRuehl" w:hint="cs"/>
          <w:rtl/>
        </w:rPr>
        <w:t>חוק, זכאי לקבל ללא תשלום מהארכיון מידע על כל פריט שבטופס שנשלח לארכיון והנוגע למסמך שהעותק ממנו שמור בידי הנוטריון; נמסר העותק לארכיון כאמור בתקנות אלה, זכאי אותו אדם לקבל העתק ממנו מהארכיון או לעיין בו בארכיון, תמורת תשלום האגרה שנקבעה.</w:t>
      </w:r>
    </w:p>
    <w:p w14:paraId="33079597" w14:textId="77777777" w:rsidR="00D1003E" w:rsidRDefault="00D1003E">
      <w:pPr>
        <w:pStyle w:val="P00"/>
        <w:spacing w:before="72"/>
        <w:ind w:left="0" w:right="1134"/>
        <w:rPr>
          <w:rStyle w:val="default"/>
          <w:rFonts w:cs="FrankRuehl"/>
          <w:rtl/>
        </w:rPr>
      </w:pPr>
      <w:bookmarkStart w:id="6" w:name="Seif6"/>
      <w:bookmarkEnd w:id="6"/>
      <w:r>
        <w:rPr>
          <w:lang w:val="he-IL"/>
        </w:rPr>
        <w:pict w14:anchorId="5F4D1BEE">
          <v:rect id="_x0000_s1032" style="position:absolute;left:0;text-align:left;margin-left:464.5pt;margin-top:8.05pt;width:75.05pt;height:8pt;z-index:251659776" o:allowincell="f" filled="f" stroked="f" strokecolor="lime" strokeweight=".25pt">
            <v:textbox style="mso-next-textbox:#_x0000_s1032" inset="0,0,0,0">
              <w:txbxContent>
                <w:p w14:paraId="0873CB7C" w14:textId="77777777" w:rsidR="00D1003E" w:rsidRDefault="00D1003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w:t>
      </w:r>
      <w:r>
        <w:rPr>
          <w:rStyle w:val="default"/>
          <w:rFonts w:cs="FrankRuehl"/>
          <w:rtl/>
        </w:rPr>
        <w:t>נו</w:t>
      </w:r>
      <w:r>
        <w:rPr>
          <w:rStyle w:val="default"/>
          <w:rFonts w:cs="FrankRuehl" w:hint="cs"/>
          <w:rtl/>
        </w:rPr>
        <w:t>ת אלה תהא במועד ששר המשפטים יודיע עליו בהודעה ברש</w:t>
      </w:r>
      <w:r>
        <w:rPr>
          <w:rStyle w:val="default"/>
          <w:rFonts w:cs="FrankRuehl"/>
          <w:rtl/>
        </w:rPr>
        <w:t>ו</w:t>
      </w:r>
      <w:r>
        <w:rPr>
          <w:rStyle w:val="default"/>
          <w:rFonts w:cs="FrankRuehl" w:hint="cs"/>
          <w:rtl/>
        </w:rPr>
        <w:t>מות.</w:t>
      </w:r>
    </w:p>
    <w:p w14:paraId="45028EE2" w14:textId="77777777" w:rsidR="00D1003E" w:rsidRDefault="00D1003E">
      <w:pPr>
        <w:pStyle w:val="P00"/>
        <w:spacing w:before="72"/>
        <w:ind w:left="0" w:right="1134"/>
        <w:rPr>
          <w:rStyle w:val="default"/>
          <w:rFonts w:cs="FrankRuehl"/>
          <w:rtl/>
        </w:rPr>
      </w:pPr>
      <w:bookmarkStart w:id="7" w:name="Seif7"/>
      <w:bookmarkEnd w:id="7"/>
      <w:r>
        <w:rPr>
          <w:lang w:val="he-IL"/>
        </w:rPr>
        <w:pict w14:anchorId="2C357146">
          <v:rect id="_x0000_s1033" style="position:absolute;left:0;text-align:left;margin-left:464.5pt;margin-top:8.05pt;width:75.05pt;height:8pt;z-index:251660800" o:allowincell="f" filled="f" stroked="f" strokecolor="lime" strokeweight=".25pt">
            <v:textbox style="mso-next-textbox:#_x0000_s1033" inset="0,0,0,0">
              <w:txbxContent>
                <w:p w14:paraId="2F4ACD9A" w14:textId="77777777" w:rsidR="00D1003E" w:rsidRDefault="00D1003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הנוטריונים (ארכיון מרכזי), תשל"ז-</w:t>
      </w:r>
      <w:r>
        <w:rPr>
          <w:rStyle w:val="default"/>
          <w:rFonts w:cs="FrankRuehl"/>
          <w:rtl/>
        </w:rPr>
        <w:t>1977".</w:t>
      </w:r>
    </w:p>
    <w:p w14:paraId="0E304374" w14:textId="77777777" w:rsidR="00D1003E" w:rsidRDefault="00D1003E">
      <w:pPr>
        <w:pStyle w:val="P00"/>
        <w:spacing w:before="72"/>
        <w:ind w:left="0" w:right="1134"/>
        <w:rPr>
          <w:rStyle w:val="default"/>
          <w:rFonts w:cs="FrankRuehl" w:hint="cs"/>
          <w:rtl/>
        </w:rPr>
      </w:pPr>
    </w:p>
    <w:p w14:paraId="6C987A53" w14:textId="77777777" w:rsidR="00D1003E" w:rsidRDefault="00D1003E">
      <w:pPr>
        <w:pStyle w:val="medium2-header"/>
        <w:keepLines w:val="0"/>
        <w:spacing w:before="72"/>
        <w:ind w:left="0" w:right="1134"/>
        <w:rPr>
          <w:rFonts w:cs="FrankRuehl"/>
          <w:noProof/>
          <w:sz w:val="26"/>
          <w:szCs w:val="26"/>
          <w:rtl/>
        </w:rPr>
      </w:pPr>
      <w:bookmarkStart w:id="8" w:name="med0"/>
      <w:bookmarkEnd w:id="8"/>
      <w:r>
        <w:rPr>
          <w:rFonts w:cs="FrankRuehl"/>
          <w:noProof/>
          <w:sz w:val="26"/>
          <w:szCs w:val="26"/>
          <w:rtl/>
        </w:rPr>
        <w:t>תו</w:t>
      </w:r>
      <w:r>
        <w:rPr>
          <w:rFonts w:cs="FrankRuehl" w:hint="cs"/>
          <w:noProof/>
          <w:sz w:val="26"/>
          <w:szCs w:val="26"/>
          <w:rtl/>
        </w:rPr>
        <w:t>ספת</w:t>
      </w:r>
    </w:p>
    <w:p w14:paraId="3099C368" w14:textId="77777777" w:rsidR="00D1003E" w:rsidRDefault="00D1003E">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5)</w:t>
      </w:r>
    </w:p>
    <w:p w14:paraId="15EA2CFF" w14:textId="77777777" w:rsidR="00D1003E" w:rsidRDefault="00D1003E">
      <w:pPr>
        <w:pStyle w:val="medium-header"/>
        <w:keepNext w:val="0"/>
        <w:keepLines w:val="0"/>
        <w:ind w:left="0" w:right="1134"/>
        <w:rPr>
          <w:rFonts w:cs="FrankRuehl"/>
          <w:b/>
          <w:bCs/>
          <w:sz w:val="22"/>
          <w:szCs w:val="22"/>
          <w:rtl/>
        </w:rPr>
      </w:pPr>
      <w:r>
        <w:rPr>
          <w:rFonts w:cs="FrankRuehl" w:hint="cs"/>
          <w:b/>
          <w:bCs/>
          <w:sz w:val="22"/>
          <w:szCs w:val="22"/>
          <w:rtl/>
        </w:rPr>
        <w:t>ה</w:t>
      </w:r>
      <w:r>
        <w:rPr>
          <w:rFonts w:cs="FrankRuehl"/>
          <w:b/>
          <w:bCs/>
          <w:sz w:val="22"/>
          <w:szCs w:val="22"/>
          <w:rtl/>
        </w:rPr>
        <w:t>ו</w:t>
      </w:r>
      <w:r>
        <w:rPr>
          <w:rFonts w:cs="FrankRuehl" w:hint="cs"/>
          <w:b/>
          <w:bCs/>
          <w:sz w:val="22"/>
          <w:szCs w:val="22"/>
          <w:rtl/>
        </w:rPr>
        <w:t>דעה על מתן אישור נוטריוני</w:t>
      </w:r>
    </w:p>
    <w:p w14:paraId="53CCFFAA" w14:textId="77777777" w:rsidR="00D1003E" w:rsidRDefault="00D1003E">
      <w:pPr>
        <w:pStyle w:val="sig-0"/>
        <w:ind w:left="0" w:right="1134"/>
        <w:rPr>
          <w:rFonts w:cs="FrankRuehl"/>
          <w:sz w:val="26"/>
          <w:rtl/>
        </w:rPr>
      </w:pPr>
      <w:r>
        <w:rPr>
          <w:lang w:val="he-IL"/>
        </w:rPr>
        <w:lastRenderedPageBreak/>
        <w:pict w14:anchorId="19474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4.6pt;margin-top:23.5pt;width:386.65pt;height:468.35pt;z-index:251661824" o:allowincell="f">
            <v:imagedata r:id="rId6" o:title="11929"/>
            <w10:wrap type="topAndBottom"/>
            <w10:anchorlock/>
          </v:shape>
        </w:pict>
      </w:r>
    </w:p>
    <w:p w14:paraId="7A78EC1B" w14:textId="77777777" w:rsidR="00D1003E" w:rsidRDefault="00D1003E">
      <w:pPr>
        <w:pStyle w:val="P00"/>
        <w:spacing w:before="72"/>
        <w:ind w:left="0" w:right="1134"/>
        <w:rPr>
          <w:rStyle w:val="default"/>
          <w:rFonts w:cs="FrankRuehl" w:hint="cs"/>
          <w:rtl/>
        </w:rPr>
      </w:pPr>
    </w:p>
    <w:p w14:paraId="0C06AF5D" w14:textId="77777777" w:rsidR="00D1003E" w:rsidRDefault="00D1003E">
      <w:pPr>
        <w:pStyle w:val="sig-0"/>
        <w:ind w:left="0" w:right="1134"/>
        <w:rPr>
          <w:rFonts w:cs="FrankRuehl"/>
          <w:sz w:val="26"/>
          <w:rtl/>
        </w:rPr>
      </w:pPr>
      <w:r>
        <w:rPr>
          <w:rFonts w:cs="FrankRuehl" w:hint="cs"/>
          <w:sz w:val="26"/>
          <w:rtl/>
        </w:rPr>
        <w:t>ג</w:t>
      </w:r>
      <w:r>
        <w:rPr>
          <w:rFonts w:cs="FrankRuehl"/>
          <w:sz w:val="26"/>
          <w:rtl/>
        </w:rPr>
        <w:t xml:space="preserve">' </w:t>
      </w:r>
      <w:r>
        <w:rPr>
          <w:rFonts w:cs="FrankRuehl" w:hint="cs"/>
          <w:sz w:val="26"/>
          <w:rtl/>
        </w:rPr>
        <w:t>בתמוז תשל"ז (19 ביוני 1977</w:t>
      </w:r>
      <w:r>
        <w:rPr>
          <w:rFonts w:cs="FrankRuehl"/>
          <w:sz w:val="26"/>
          <w:rtl/>
        </w:rPr>
        <w:tab/>
        <w:t>ח</w:t>
      </w:r>
      <w:r>
        <w:rPr>
          <w:rFonts w:cs="FrankRuehl" w:hint="cs"/>
          <w:sz w:val="26"/>
          <w:rtl/>
        </w:rPr>
        <w:t>יים י' צדוק</w:t>
      </w:r>
    </w:p>
    <w:p w14:paraId="77823775" w14:textId="77777777" w:rsidR="00D1003E" w:rsidRDefault="00D1003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599677F1" w14:textId="77777777" w:rsidR="00D1003E" w:rsidRDefault="00D1003E">
      <w:pPr>
        <w:pStyle w:val="P00"/>
        <w:spacing w:before="72"/>
        <w:ind w:left="0" w:right="1134"/>
        <w:rPr>
          <w:rStyle w:val="default"/>
          <w:rFonts w:cs="FrankRuehl" w:hint="cs"/>
          <w:rtl/>
        </w:rPr>
      </w:pPr>
    </w:p>
    <w:p w14:paraId="7C843CE0" w14:textId="77777777" w:rsidR="00D1003E" w:rsidRDefault="00D1003E">
      <w:pPr>
        <w:pStyle w:val="P00"/>
        <w:spacing w:before="72"/>
        <w:ind w:left="0" w:right="1134"/>
        <w:rPr>
          <w:rStyle w:val="default"/>
          <w:rFonts w:cs="FrankRuehl"/>
          <w:rtl/>
        </w:rPr>
      </w:pPr>
    </w:p>
    <w:p w14:paraId="782065E4" w14:textId="77777777" w:rsidR="00D1003E" w:rsidRDefault="00D1003E">
      <w:pPr>
        <w:pStyle w:val="P00"/>
        <w:spacing w:before="72"/>
        <w:ind w:left="0" w:right="1134"/>
        <w:rPr>
          <w:rStyle w:val="default"/>
          <w:rFonts w:cs="FrankRuehl"/>
          <w:rtl/>
        </w:rPr>
      </w:pPr>
      <w:bookmarkStart w:id="9" w:name="LawPartEnd"/>
    </w:p>
    <w:bookmarkEnd w:id="9"/>
    <w:p w14:paraId="0DF1DA3C" w14:textId="77777777" w:rsidR="00D1003E" w:rsidRDefault="00D1003E">
      <w:pPr>
        <w:pStyle w:val="P00"/>
        <w:spacing w:before="72"/>
        <w:ind w:left="0" w:right="1134"/>
        <w:rPr>
          <w:rStyle w:val="default"/>
          <w:rFonts w:cs="FrankRuehl"/>
          <w:rtl/>
        </w:rPr>
      </w:pPr>
    </w:p>
    <w:sectPr w:rsidR="00D1003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F88C" w14:textId="77777777" w:rsidR="00D45EE3" w:rsidRDefault="00D45EE3">
      <w:r>
        <w:separator/>
      </w:r>
    </w:p>
  </w:endnote>
  <w:endnote w:type="continuationSeparator" w:id="0">
    <w:p w14:paraId="13C92EFC" w14:textId="77777777" w:rsidR="00D45EE3" w:rsidRDefault="00D4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CA2DD" w14:textId="77777777" w:rsidR="00D1003E" w:rsidRDefault="00D100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70CA2F" w14:textId="77777777" w:rsidR="00D1003E" w:rsidRDefault="00D100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093502" w14:textId="77777777" w:rsidR="00D1003E" w:rsidRDefault="00D100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C:\Yael\hakika\Revadim\304_008.doc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20BC" w14:textId="77777777" w:rsidR="00D1003E" w:rsidRDefault="00D100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143E">
      <w:rPr>
        <w:rFonts w:hAnsi="FrankRuehl" w:cs="FrankRuehl"/>
        <w:noProof/>
        <w:sz w:val="24"/>
        <w:szCs w:val="24"/>
        <w:rtl/>
      </w:rPr>
      <w:t>2</w:t>
    </w:r>
    <w:r>
      <w:rPr>
        <w:rFonts w:hAnsi="FrankRuehl" w:cs="FrankRuehl"/>
        <w:sz w:val="24"/>
        <w:szCs w:val="24"/>
        <w:rtl/>
      </w:rPr>
      <w:fldChar w:fldCharType="end"/>
    </w:r>
  </w:p>
  <w:p w14:paraId="04618DB7" w14:textId="77777777" w:rsidR="00D1003E" w:rsidRDefault="00D100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86488C" w14:textId="77777777" w:rsidR="00D1003E" w:rsidRDefault="00D100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C:\Yael\hakika\Revadim\304_008.doc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4198" w14:textId="77777777" w:rsidR="00D45EE3" w:rsidRDefault="00D45EE3">
      <w:pPr>
        <w:spacing w:before="60" w:line="240" w:lineRule="auto"/>
        <w:ind w:right="1134"/>
      </w:pPr>
      <w:r>
        <w:separator/>
      </w:r>
    </w:p>
  </w:footnote>
  <w:footnote w:type="continuationSeparator" w:id="0">
    <w:p w14:paraId="4FD1CF29" w14:textId="77777777" w:rsidR="00D45EE3" w:rsidRDefault="00D45EE3">
      <w:r>
        <w:continuationSeparator/>
      </w:r>
    </w:p>
  </w:footnote>
  <w:footnote w:id="1">
    <w:p w14:paraId="2AF2C3FB" w14:textId="77777777" w:rsidR="00D1003E" w:rsidRDefault="00D100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תשל"ז מס' 3742</w:t>
        </w:r>
      </w:hyperlink>
      <w:r>
        <w:rPr>
          <w:rFonts w:cs="FrankRuehl" w:hint="cs"/>
          <w:rtl/>
        </w:rPr>
        <w:t xml:space="preserve"> מיום 26.7.1977 עמ' 2264.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9EE0" w14:textId="77777777" w:rsidR="00D1003E" w:rsidRDefault="00D100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הנוטריונים (ארכיון מרכזי), תשל"ז–1977</w:t>
    </w:r>
  </w:p>
  <w:p w14:paraId="36E6D363" w14:textId="77777777" w:rsidR="00D1003E" w:rsidRDefault="00D100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4858E7" w14:textId="77777777" w:rsidR="00D1003E" w:rsidRDefault="00D100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5F8F" w14:textId="77777777" w:rsidR="00D1003E" w:rsidRDefault="00D100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הנוטריונים (ארכיון מרכזי), תשל"ז</w:t>
    </w:r>
    <w:r>
      <w:rPr>
        <w:rFonts w:hAnsi="FrankRuehl" w:cs="FrankRuehl" w:hint="cs"/>
        <w:color w:val="000000"/>
        <w:sz w:val="28"/>
        <w:szCs w:val="28"/>
        <w:rtl/>
      </w:rPr>
      <w:t>-</w:t>
    </w:r>
    <w:r>
      <w:rPr>
        <w:rFonts w:hAnsi="FrankRuehl" w:cs="FrankRuehl"/>
        <w:color w:val="000000"/>
        <w:sz w:val="28"/>
        <w:szCs w:val="28"/>
        <w:rtl/>
      </w:rPr>
      <w:t>1977</w:t>
    </w:r>
  </w:p>
  <w:p w14:paraId="7B8AA34D" w14:textId="77777777" w:rsidR="00D1003E" w:rsidRDefault="00D100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A7B437" w14:textId="77777777" w:rsidR="00D1003E" w:rsidRDefault="00D100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03E"/>
    <w:rsid w:val="000B5CB6"/>
    <w:rsid w:val="0037599E"/>
    <w:rsid w:val="00A55294"/>
    <w:rsid w:val="00AC143E"/>
    <w:rsid w:val="00D1003E"/>
    <w:rsid w:val="00D45EE3"/>
    <w:rsid w:val="00ED2195"/>
    <w:rsid w:val="00F00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7CE858"/>
  <w15:chartTrackingRefBased/>
  <w15:docId w15:val="{EBAB4315-22B2-49E4-9CB9-A2B348BA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7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304</vt:lpstr>
    </vt:vector>
  </TitlesOfParts>
  <Company/>
  <LinksUpToDate>false</LinksUpToDate>
  <CharactersWithSpaces>3464</CharactersWithSpaces>
  <SharedDoc>false</SharedDoc>
  <HLinks>
    <vt:vector size="60" baseType="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8257549</vt:i4>
      </vt:variant>
      <vt:variant>
        <vt:i4>0</vt:i4>
      </vt:variant>
      <vt:variant>
        <vt:i4>0</vt:i4>
      </vt:variant>
      <vt:variant>
        <vt:i4>5</vt:i4>
      </vt:variant>
      <vt:variant>
        <vt:lpwstr>http://www.nevo.co.il/Law_word/law06/TAK-3742.pdf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304</dc:title>
  <dc:subject/>
  <dc:creator> </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0304</vt:lpwstr>
  </property>
  <property fmtid="{D5CDD505-2E9C-101B-9397-08002B2CF9AE}" pid="3" name="CHNAME">
    <vt:lpwstr>נוטריונים</vt:lpwstr>
  </property>
  <property fmtid="{D5CDD505-2E9C-101B-9397-08002B2CF9AE}" pid="4" name="LAWNAME">
    <vt:lpwstr>תקנות הנוטריונים (ארכיון מרכזי), תשל"ז-1977</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חוק הנוטריונים</vt:lpwstr>
  </property>
  <property fmtid="{D5CDD505-2E9C-101B-9397-08002B2CF9AE}" pid="8" name="MEKOR_SAIF1">
    <vt:lpwstr>30X;32X;55X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נוטריונים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נוטריונים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ארכיונים</vt:lpwstr>
  </property>
  <property fmtid="{D5CDD505-2E9C-101B-9397-08002B2CF9AE}" pid="19" name="NOSE33">
    <vt:lpwstr>ארכיון מרכזי</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