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323A" w:rsidRDefault="00B6323A" w:rsidP="003D29C2">
      <w:pPr>
        <w:pStyle w:val="big-header"/>
        <w:ind w:left="0" w:right="1134"/>
      </w:pPr>
      <w:r>
        <w:rPr>
          <w:rtl/>
        </w:rPr>
        <w:t xml:space="preserve">תקנות הניקוז וההגנה מפני שטפונות (סדרי הדין </w:t>
      </w:r>
      <w:r w:rsidR="00576B88">
        <w:rPr>
          <w:rFonts w:hint="cs"/>
          <w:rtl/>
        </w:rPr>
        <w:t>בבית</w:t>
      </w:r>
      <w:r w:rsidR="009E5690">
        <w:rPr>
          <w:rFonts w:hint="cs"/>
          <w:rtl/>
        </w:rPr>
        <w:t xml:space="preserve"> </w:t>
      </w:r>
      <w:r w:rsidR="00576B88">
        <w:rPr>
          <w:rFonts w:hint="cs"/>
          <w:rtl/>
        </w:rPr>
        <w:t>ה</w:t>
      </w:r>
      <w:r w:rsidR="009E5690">
        <w:rPr>
          <w:rFonts w:hint="cs"/>
          <w:rtl/>
        </w:rPr>
        <w:t>דין לעניני מים</w:t>
      </w:r>
      <w:r>
        <w:rPr>
          <w:rtl/>
        </w:rPr>
        <w:t xml:space="preserve"> ובערעורים על החלטותיה</w:t>
      </w:r>
      <w:r w:rsidR="009E5690">
        <w:rPr>
          <w:rFonts w:hint="cs"/>
          <w:rtl/>
        </w:rPr>
        <w:t>ם</w:t>
      </w:r>
      <w:r>
        <w:rPr>
          <w:rtl/>
        </w:rPr>
        <w:t>), תשי"ח</w:t>
      </w:r>
      <w:r w:rsidR="003D29C2">
        <w:rPr>
          <w:rFonts w:hint="cs"/>
          <w:rtl/>
        </w:rPr>
        <w:t>-</w:t>
      </w:r>
      <w:r>
        <w:rPr>
          <w:rtl/>
        </w:rPr>
        <w:t>1958</w:t>
      </w:r>
    </w:p>
    <w:p w:rsidR="00F46A32" w:rsidRPr="00F46A32" w:rsidRDefault="00F46A32" w:rsidP="00F46A32">
      <w:pPr>
        <w:spacing w:line="320" w:lineRule="auto"/>
        <w:rPr>
          <w:rFonts w:cs="FrankRuehl"/>
          <w:szCs w:val="26"/>
          <w:rtl/>
        </w:rPr>
      </w:pPr>
    </w:p>
    <w:p w:rsidR="00F46A32" w:rsidRDefault="00F46A32" w:rsidP="00F46A32">
      <w:pPr>
        <w:spacing w:line="320" w:lineRule="auto"/>
        <w:rPr>
          <w:rtl/>
        </w:rPr>
      </w:pPr>
    </w:p>
    <w:p w:rsidR="00F46A32" w:rsidRPr="00F46A32" w:rsidRDefault="00F46A32" w:rsidP="00F46A32">
      <w:pPr>
        <w:spacing w:line="320" w:lineRule="auto"/>
        <w:rPr>
          <w:rFonts w:cs="Miriam"/>
          <w:szCs w:val="22"/>
          <w:rtl/>
        </w:rPr>
      </w:pPr>
      <w:r w:rsidRPr="00F46A32">
        <w:rPr>
          <w:rFonts w:cs="Miriam"/>
          <w:szCs w:val="22"/>
          <w:rtl/>
        </w:rPr>
        <w:t>רשויות ומשפט מנהלי</w:t>
      </w:r>
      <w:r w:rsidRPr="00F46A32">
        <w:rPr>
          <w:rFonts w:cs="FrankRuehl"/>
          <w:szCs w:val="26"/>
          <w:rtl/>
        </w:rPr>
        <w:t xml:space="preserve"> – רשויות מקומיות – ניקוז והגנה מפני שיטפונות – </w:t>
      </w:r>
      <w:r w:rsidR="009E5690">
        <w:rPr>
          <w:rFonts w:cs="FrankRuehl" w:hint="cs"/>
          <w:szCs w:val="26"/>
          <w:rtl/>
        </w:rPr>
        <w:t>בית דין לעניני מים</w:t>
      </w:r>
      <w:r w:rsidRPr="00F46A32">
        <w:rPr>
          <w:rFonts w:cs="FrankRuehl"/>
          <w:szCs w:val="26"/>
          <w:rtl/>
        </w:rPr>
        <w:t xml:space="preserve"> וערעורים</w:t>
      </w:r>
    </w:p>
    <w:p w:rsidR="00B6323A" w:rsidRDefault="00B6323A" w:rsidP="003D29C2">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6323A">
        <w:tblPrEx>
          <w:tblCellMar>
            <w:top w:w="0" w:type="dxa"/>
            <w:bottom w:w="0" w:type="dxa"/>
          </w:tblCellMar>
        </w:tblPrEx>
        <w:tc>
          <w:tcPr>
            <w:tcW w:w="850" w:type="dxa"/>
          </w:tcPr>
          <w:p w:rsidR="00B6323A" w:rsidRDefault="00B6323A">
            <w:r>
              <w:rPr>
                <w:rtl/>
              </w:rPr>
              <w:fldChar w:fldCharType="begin"/>
            </w:r>
            <w:r>
              <w:rPr>
                <w:rtl/>
              </w:rPr>
              <w:instrText xml:space="preserve"> </w:instrText>
            </w:r>
            <w:r>
              <w:instrText>PAGEREF Seif0</w:instrText>
            </w:r>
            <w:r>
              <w:rPr>
                <w:rtl/>
              </w:rPr>
              <w:instrText xml:space="preserve"> </w:instrText>
            </w:r>
            <w:r>
              <w:rPr>
                <w:rtl/>
              </w:rPr>
              <w:fldChar w:fldCharType="separate"/>
            </w:r>
            <w:r w:rsidR="003D29C2">
              <w:rPr>
                <w:noProof/>
                <w:rtl/>
              </w:rPr>
              <w:t>2</w:t>
            </w:r>
            <w:r>
              <w:rPr>
                <w:rtl/>
              </w:rPr>
              <w:fldChar w:fldCharType="end"/>
            </w:r>
          </w:p>
        </w:tc>
        <w:tc>
          <w:tcPr>
            <w:tcW w:w="567" w:type="dxa"/>
          </w:tcPr>
          <w:p w:rsidR="00B6323A" w:rsidRDefault="00B6323A">
            <w:hyperlink w:anchor="Seif0" w:tooltip="הגדרות" w:history="1">
              <w:r>
                <w:rPr>
                  <w:rStyle w:val="Hyperlink"/>
                </w:rPr>
                <w:t>Go</w:t>
              </w:r>
            </w:hyperlink>
          </w:p>
        </w:tc>
        <w:tc>
          <w:tcPr>
            <w:tcW w:w="5669" w:type="dxa"/>
          </w:tcPr>
          <w:p w:rsidR="00B6323A" w:rsidRDefault="00B6323A">
            <w:pPr>
              <w:rPr>
                <w:rtl/>
              </w:rPr>
            </w:pPr>
            <w:r>
              <w:rPr>
                <w:rtl/>
              </w:rPr>
              <w:t>הגדרות</w:t>
            </w:r>
          </w:p>
        </w:tc>
        <w:tc>
          <w:tcPr>
            <w:tcW w:w="1247" w:type="dxa"/>
          </w:tcPr>
          <w:p w:rsidR="00B6323A" w:rsidRDefault="00B6323A">
            <w:r>
              <w:rPr>
                <w:rtl/>
              </w:rPr>
              <w:t xml:space="preserve">סעיף 1 </w:t>
            </w:r>
          </w:p>
        </w:tc>
      </w:tr>
      <w:tr w:rsidR="00B6323A">
        <w:tblPrEx>
          <w:tblCellMar>
            <w:top w:w="0" w:type="dxa"/>
            <w:bottom w:w="0" w:type="dxa"/>
          </w:tblCellMar>
        </w:tblPrEx>
        <w:tc>
          <w:tcPr>
            <w:tcW w:w="850" w:type="dxa"/>
          </w:tcPr>
          <w:p w:rsidR="00B6323A" w:rsidRDefault="00B6323A">
            <w:r>
              <w:rPr>
                <w:rtl/>
              </w:rPr>
              <w:fldChar w:fldCharType="begin"/>
            </w:r>
            <w:r>
              <w:rPr>
                <w:rtl/>
              </w:rPr>
              <w:instrText xml:space="preserve"> </w:instrText>
            </w:r>
            <w:r>
              <w:instrText>PAGEREF Seif1</w:instrText>
            </w:r>
            <w:r>
              <w:rPr>
                <w:rtl/>
              </w:rPr>
              <w:instrText xml:space="preserve"> </w:instrText>
            </w:r>
            <w:r>
              <w:rPr>
                <w:rtl/>
              </w:rPr>
              <w:fldChar w:fldCharType="separate"/>
            </w:r>
            <w:r w:rsidR="003D29C2">
              <w:rPr>
                <w:noProof/>
                <w:rtl/>
              </w:rPr>
              <w:t>2</w:t>
            </w:r>
            <w:r>
              <w:rPr>
                <w:rtl/>
              </w:rPr>
              <w:fldChar w:fldCharType="end"/>
            </w:r>
          </w:p>
        </w:tc>
        <w:tc>
          <w:tcPr>
            <w:tcW w:w="567" w:type="dxa"/>
          </w:tcPr>
          <w:p w:rsidR="00B6323A" w:rsidRDefault="00B6323A">
            <w:hyperlink w:anchor="Seif1" w:tooltip="הגשת ערר או בקשה" w:history="1">
              <w:r>
                <w:rPr>
                  <w:rStyle w:val="Hyperlink"/>
                </w:rPr>
                <w:t>Go</w:t>
              </w:r>
            </w:hyperlink>
          </w:p>
        </w:tc>
        <w:tc>
          <w:tcPr>
            <w:tcW w:w="5669" w:type="dxa"/>
          </w:tcPr>
          <w:p w:rsidR="00B6323A" w:rsidRDefault="00B6323A">
            <w:pPr>
              <w:rPr>
                <w:rtl/>
              </w:rPr>
            </w:pPr>
            <w:r>
              <w:rPr>
                <w:rtl/>
              </w:rPr>
              <w:t>הגשת ערר או בקשה</w:t>
            </w:r>
          </w:p>
        </w:tc>
        <w:tc>
          <w:tcPr>
            <w:tcW w:w="1247" w:type="dxa"/>
          </w:tcPr>
          <w:p w:rsidR="00B6323A" w:rsidRDefault="00B6323A">
            <w:r>
              <w:rPr>
                <w:rtl/>
              </w:rPr>
              <w:t xml:space="preserve">סעיף 2 </w:t>
            </w:r>
          </w:p>
        </w:tc>
      </w:tr>
      <w:tr w:rsidR="00B6323A">
        <w:tblPrEx>
          <w:tblCellMar>
            <w:top w:w="0" w:type="dxa"/>
            <w:bottom w:w="0" w:type="dxa"/>
          </w:tblCellMar>
        </w:tblPrEx>
        <w:tc>
          <w:tcPr>
            <w:tcW w:w="850" w:type="dxa"/>
          </w:tcPr>
          <w:p w:rsidR="00B6323A" w:rsidRDefault="00B6323A">
            <w:r>
              <w:rPr>
                <w:rtl/>
              </w:rPr>
              <w:fldChar w:fldCharType="begin"/>
            </w:r>
            <w:r>
              <w:rPr>
                <w:rtl/>
              </w:rPr>
              <w:instrText xml:space="preserve"> </w:instrText>
            </w:r>
            <w:r>
              <w:instrText>PAGEREF Seif2</w:instrText>
            </w:r>
            <w:r>
              <w:rPr>
                <w:rtl/>
              </w:rPr>
              <w:instrText xml:space="preserve"> </w:instrText>
            </w:r>
            <w:r>
              <w:rPr>
                <w:rtl/>
              </w:rPr>
              <w:fldChar w:fldCharType="separate"/>
            </w:r>
            <w:r w:rsidR="003D29C2">
              <w:rPr>
                <w:noProof/>
                <w:rtl/>
              </w:rPr>
              <w:t>2</w:t>
            </w:r>
            <w:r>
              <w:rPr>
                <w:rtl/>
              </w:rPr>
              <w:fldChar w:fldCharType="end"/>
            </w:r>
          </w:p>
        </w:tc>
        <w:tc>
          <w:tcPr>
            <w:tcW w:w="567" w:type="dxa"/>
          </w:tcPr>
          <w:p w:rsidR="00B6323A" w:rsidRDefault="00B6323A">
            <w:hyperlink w:anchor="Seif2" w:tooltip="מועד להגשת ערר או בקשה" w:history="1">
              <w:r>
                <w:rPr>
                  <w:rStyle w:val="Hyperlink"/>
                </w:rPr>
                <w:t>Go</w:t>
              </w:r>
            </w:hyperlink>
          </w:p>
        </w:tc>
        <w:tc>
          <w:tcPr>
            <w:tcW w:w="5669" w:type="dxa"/>
          </w:tcPr>
          <w:p w:rsidR="00B6323A" w:rsidRDefault="00B6323A">
            <w:pPr>
              <w:rPr>
                <w:rtl/>
              </w:rPr>
            </w:pPr>
            <w:r>
              <w:rPr>
                <w:rtl/>
              </w:rPr>
              <w:t>מועד להגשת ערר או בקשה</w:t>
            </w:r>
          </w:p>
        </w:tc>
        <w:tc>
          <w:tcPr>
            <w:tcW w:w="1247" w:type="dxa"/>
          </w:tcPr>
          <w:p w:rsidR="00B6323A" w:rsidRDefault="00B6323A">
            <w:r>
              <w:rPr>
                <w:rtl/>
              </w:rPr>
              <w:t xml:space="preserve">סעיף 3 </w:t>
            </w:r>
          </w:p>
        </w:tc>
      </w:tr>
      <w:tr w:rsidR="00B6323A">
        <w:tblPrEx>
          <w:tblCellMar>
            <w:top w:w="0" w:type="dxa"/>
            <w:bottom w:w="0" w:type="dxa"/>
          </w:tblCellMar>
        </w:tblPrEx>
        <w:tc>
          <w:tcPr>
            <w:tcW w:w="850" w:type="dxa"/>
          </w:tcPr>
          <w:p w:rsidR="00B6323A" w:rsidRDefault="00B6323A">
            <w:r>
              <w:rPr>
                <w:rtl/>
              </w:rPr>
              <w:fldChar w:fldCharType="begin"/>
            </w:r>
            <w:r>
              <w:rPr>
                <w:rtl/>
              </w:rPr>
              <w:instrText xml:space="preserve"> </w:instrText>
            </w:r>
            <w:r>
              <w:instrText>PAGEREF Seif3</w:instrText>
            </w:r>
            <w:r>
              <w:rPr>
                <w:rtl/>
              </w:rPr>
              <w:instrText xml:space="preserve"> </w:instrText>
            </w:r>
            <w:r>
              <w:rPr>
                <w:rtl/>
              </w:rPr>
              <w:fldChar w:fldCharType="separate"/>
            </w:r>
            <w:r w:rsidR="003D29C2">
              <w:rPr>
                <w:noProof/>
                <w:rtl/>
              </w:rPr>
              <w:t>2</w:t>
            </w:r>
            <w:r>
              <w:rPr>
                <w:rtl/>
              </w:rPr>
              <w:fldChar w:fldCharType="end"/>
            </w:r>
          </w:p>
        </w:tc>
        <w:tc>
          <w:tcPr>
            <w:tcW w:w="567" w:type="dxa"/>
          </w:tcPr>
          <w:p w:rsidR="00B6323A" w:rsidRDefault="00B6323A">
            <w:hyperlink w:anchor="Seif3" w:tooltip="פרטי הערר או הבקשה" w:history="1">
              <w:r>
                <w:rPr>
                  <w:rStyle w:val="Hyperlink"/>
                </w:rPr>
                <w:t>Go</w:t>
              </w:r>
            </w:hyperlink>
          </w:p>
        </w:tc>
        <w:tc>
          <w:tcPr>
            <w:tcW w:w="5669" w:type="dxa"/>
          </w:tcPr>
          <w:p w:rsidR="00B6323A" w:rsidRDefault="00B6323A">
            <w:pPr>
              <w:rPr>
                <w:rtl/>
              </w:rPr>
            </w:pPr>
            <w:r>
              <w:rPr>
                <w:rtl/>
              </w:rPr>
              <w:t>פרטי הערר או הבקשה</w:t>
            </w:r>
          </w:p>
        </w:tc>
        <w:tc>
          <w:tcPr>
            <w:tcW w:w="1247" w:type="dxa"/>
          </w:tcPr>
          <w:p w:rsidR="00B6323A" w:rsidRDefault="00B6323A">
            <w:r>
              <w:rPr>
                <w:rtl/>
              </w:rPr>
              <w:t xml:space="preserve">סעיף 4 </w:t>
            </w:r>
          </w:p>
        </w:tc>
      </w:tr>
      <w:tr w:rsidR="00B6323A">
        <w:tblPrEx>
          <w:tblCellMar>
            <w:top w:w="0" w:type="dxa"/>
            <w:bottom w:w="0" w:type="dxa"/>
          </w:tblCellMar>
        </w:tblPrEx>
        <w:tc>
          <w:tcPr>
            <w:tcW w:w="850" w:type="dxa"/>
          </w:tcPr>
          <w:p w:rsidR="00B6323A" w:rsidRDefault="00B6323A">
            <w:r>
              <w:rPr>
                <w:rtl/>
              </w:rPr>
              <w:fldChar w:fldCharType="begin"/>
            </w:r>
            <w:r>
              <w:rPr>
                <w:rtl/>
              </w:rPr>
              <w:instrText xml:space="preserve"> </w:instrText>
            </w:r>
            <w:r>
              <w:instrText>PAGEREF Seif4</w:instrText>
            </w:r>
            <w:r>
              <w:rPr>
                <w:rtl/>
              </w:rPr>
              <w:instrText xml:space="preserve"> </w:instrText>
            </w:r>
            <w:r>
              <w:rPr>
                <w:rtl/>
              </w:rPr>
              <w:fldChar w:fldCharType="separate"/>
            </w:r>
            <w:r w:rsidR="003D29C2">
              <w:rPr>
                <w:noProof/>
                <w:rtl/>
              </w:rPr>
              <w:t>2</w:t>
            </w:r>
            <w:r>
              <w:rPr>
                <w:rtl/>
              </w:rPr>
              <w:fldChar w:fldCharType="end"/>
            </w:r>
          </w:p>
        </w:tc>
        <w:tc>
          <w:tcPr>
            <w:tcW w:w="567" w:type="dxa"/>
          </w:tcPr>
          <w:p w:rsidR="00B6323A" w:rsidRDefault="00B6323A">
            <w:hyperlink w:anchor="Seif4" w:tooltip="צירוף מסמכים" w:history="1">
              <w:r>
                <w:rPr>
                  <w:rStyle w:val="Hyperlink"/>
                </w:rPr>
                <w:t>Go</w:t>
              </w:r>
            </w:hyperlink>
          </w:p>
        </w:tc>
        <w:tc>
          <w:tcPr>
            <w:tcW w:w="5669" w:type="dxa"/>
          </w:tcPr>
          <w:p w:rsidR="00B6323A" w:rsidRDefault="00B6323A">
            <w:pPr>
              <w:rPr>
                <w:rtl/>
              </w:rPr>
            </w:pPr>
            <w:r>
              <w:rPr>
                <w:rtl/>
              </w:rPr>
              <w:t>צירוף מסמכים</w:t>
            </w:r>
          </w:p>
        </w:tc>
        <w:tc>
          <w:tcPr>
            <w:tcW w:w="1247" w:type="dxa"/>
          </w:tcPr>
          <w:p w:rsidR="00B6323A" w:rsidRDefault="00B6323A">
            <w:r>
              <w:rPr>
                <w:rtl/>
              </w:rPr>
              <w:t xml:space="preserve">סעיף 5 </w:t>
            </w:r>
          </w:p>
        </w:tc>
      </w:tr>
      <w:tr w:rsidR="00B6323A">
        <w:tblPrEx>
          <w:tblCellMar>
            <w:top w:w="0" w:type="dxa"/>
            <w:bottom w:w="0" w:type="dxa"/>
          </w:tblCellMar>
        </w:tblPrEx>
        <w:tc>
          <w:tcPr>
            <w:tcW w:w="850" w:type="dxa"/>
          </w:tcPr>
          <w:p w:rsidR="00B6323A" w:rsidRDefault="00B6323A">
            <w:r>
              <w:rPr>
                <w:rtl/>
              </w:rPr>
              <w:fldChar w:fldCharType="begin"/>
            </w:r>
            <w:r>
              <w:rPr>
                <w:rtl/>
              </w:rPr>
              <w:instrText xml:space="preserve"> </w:instrText>
            </w:r>
            <w:r>
              <w:instrText>PAGEREF Seif5</w:instrText>
            </w:r>
            <w:r>
              <w:rPr>
                <w:rtl/>
              </w:rPr>
              <w:instrText xml:space="preserve"> </w:instrText>
            </w:r>
            <w:r>
              <w:rPr>
                <w:rtl/>
              </w:rPr>
              <w:fldChar w:fldCharType="separate"/>
            </w:r>
            <w:r w:rsidR="003D29C2">
              <w:rPr>
                <w:noProof/>
                <w:rtl/>
              </w:rPr>
              <w:t>3</w:t>
            </w:r>
            <w:r>
              <w:rPr>
                <w:rtl/>
              </w:rPr>
              <w:fldChar w:fldCharType="end"/>
            </w:r>
          </w:p>
        </w:tc>
        <w:tc>
          <w:tcPr>
            <w:tcW w:w="567" w:type="dxa"/>
          </w:tcPr>
          <w:p w:rsidR="00B6323A" w:rsidRDefault="00B6323A">
            <w:hyperlink w:anchor="Seif5" w:tooltip="חתימת העורר או המבקש" w:history="1">
              <w:r>
                <w:rPr>
                  <w:rStyle w:val="Hyperlink"/>
                </w:rPr>
                <w:t>Go</w:t>
              </w:r>
            </w:hyperlink>
          </w:p>
        </w:tc>
        <w:tc>
          <w:tcPr>
            <w:tcW w:w="5669" w:type="dxa"/>
          </w:tcPr>
          <w:p w:rsidR="00B6323A" w:rsidRDefault="00B6323A">
            <w:pPr>
              <w:rPr>
                <w:rtl/>
              </w:rPr>
            </w:pPr>
            <w:r>
              <w:rPr>
                <w:rtl/>
              </w:rPr>
              <w:t>חתימת העורר או המבקש</w:t>
            </w:r>
          </w:p>
        </w:tc>
        <w:tc>
          <w:tcPr>
            <w:tcW w:w="1247" w:type="dxa"/>
          </w:tcPr>
          <w:p w:rsidR="00B6323A" w:rsidRDefault="00B6323A">
            <w:r>
              <w:rPr>
                <w:rtl/>
              </w:rPr>
              <w:t xml:space="preserve">סעיף 6 </w:t>
            </w:r>
          </w:p>
        </w:tc>
      </w:tr>
      <w:tr w:rsidR="00B6323A">
        <w:tblPrEx>
          <w:tblCellMar>
            <w:top w:w="0" w:type="dxa"/>
            <w:bottom w:w="0" w:type="dxa"/>
          </w:tblCellMar>
        </w:tblPrEx>
        <w:tc>
          <w:tcPr>
            <w:tcW w:w="850" w:type="dxa"/>
          </w:tcPr>
          <w:p w:rsidR="00B6323A" w:rsidRDefault="00B6323A">
            <w:r>
              <w:rPr>
                <w:rtl/>
              </w:rPr>
              <w:fldChar w:fldCharType="begin"/>
            </w:r>
            <w:r>
              <w:rPr>
                <w:rtl/>
              </w:rPr>
              <w:instrText xml:space="preserve"> </w:instrText>
            </w:r>
            <w:r>
              <w:instrText>PAGEREF Seif6</w:instrText>
            </w:r>
            <w:r>
              <w:rPr>
                <w:rtl/>
              </w:rPr>
              <w:instrText xml:space="preserve"> </w:instrText>
            </w:r>
            <w:r>
              <w:rPr>
                <w:rtl/>
              </w:rPr>
              <w:fldChar w:fldCharType="separate"/>
            </w:r>
            <w:r w:rsidR="003D29C2">
              <w:rPr>
                <w:noProof/>
                <w:rtl/>
              </w:rPr>
              <w:t>3</w:t>
            </w:r>
            <w:r>
              <w:rPr>
                <w:rtl/>
              </w:rPr>
              <w:fldChar w:fldCharType="end"/>
            </w:r>
          </w:p>
        </w:tc>
        <w:tc>
          <w:tcPr>
            <w:tcW w:w="567" w:type="dxa"/>
          </w:tcPr>
          <w:p w:rsidR="00B6323A" w:rsidRDefault="00B6323A">
            <w:hyperlink w:anchor="Seif6" w:tooltip="ציון המשיב" w:history="1">
              <w:r>
                <w:rPr>
                  <w:rStyle w:val="Hyperlink"/>
                </w:rPr>
                <w:t>Go</w:t>
              </w:r>
            </w:hyperlink>
          </w:p>
        </w:tc>
        <w:tc>
          <w:tcPr>
            <w:tcW w:w="5669" w:type="dxa"/>
          </w:tcPr>
          <w:p w:rsidR="00B6323A" w:rsidRDefault="00B6323A">
            <w:pPr>
              <w:rPr>
                <w:rtl/>
              </w:rPr>
            </w:pPr>
            <w:r>
              <w:rPr>
                <w:rtl/>
              </w:rPr>
              <w:t>ציון המשיב</w:t>
            </w:r>
          </w:p>
        </w:tc>
        <w:tc>
          <w:tcPr>
            <w:tcW w:w="1247" w:type="dxa"/>
          </w:tcPr>
          <w:p w:rsidR="00B6323A" w:rsidRDefault="00B6323A">
            <w:r>
              <w:rPr>
                <w:rtl/>
              </w:rPr>
              <w:t xml:space="preserve">סעיף 7 </w:t>
            </w:r>
          </w:p>
        </w:tc>
      </w:tr>
      <w:tr w:rsidR="00B6323A">
        <w:tblPrEx>
          <w:tblCellMar>
            <w:top w:w="0" w:type="dxa"/>
            <w:bottom w:w="0" w:type="dxa"/>
          </w:tblCellMar>
        </w:tblPrEx>
        <w:tc>
          <w:tcPr>
            <w:tcW w:w="850" w:type="dxa"/>
          </w:tcPr>
          <w:p w:rsidR="00B6323A" w:rsidRDefault="00B6323A">
            <w:r>
              <w:rPr>
                <w:rtl/>
              </w:rPr>
              <w:fldChar w:fldCharType="begin"/>
            </w:r>
            <w:r>
              <w:rPr>
                <w:rtl/>
              </w:rPr>
              <w:instrText xml:space="preserve"> </w:instrText>
            </w:r>
            <w:r>
              <w:instrText>PAGEREF Seif7</w:instrText>
            </w:r>
            <w:r>
              <w:rPr>
                <w:rtl/>
              </w:rPr>
              <w:instrText xml:space="preserve"> </w:instrText>
            </w:r>
            <w:r>
              <w:rPr>
                <w:rtl/>
              </w:rPr>
              <w:fldChar w:fldCharType="separate"/>
            </w:r>
            <w:r w:rsidR="003D29C2">
              <w:rPr>
                <w:noProof/>
                <w:rtl/>
              </w:rPr>
              <w:t>3</w:t>
            </w:r>
            <w:r>
              <w:rPr>
                <w:rtl/>
              </w:rPr>
              <w:fldChar w:fldCharType="end"/>
            </w:r>
          </w:p>
        </w:tc>
        <w:tc>
          <w:tcPr>
            <w:tcW w:w="567" w:type="dxa"/>
          </w:tcPr>
          <w:p w:rsidR="00B6323A" w:rsidRDefault="00B6323A">
            <w:hyperlink w:anchor="Seif7" w:tooltip="העברת מסמכים למשיב" w:history="1">
              <w:r>
                <w:rPr>
                  <w:rStyle w:val="Hyperlink"/>
                </w:rPr>
                <w:t>Go</w:t>
              </w:r>
            </w:hyperlink>
          </w:p>
        </w:tc>
        <w:tc>
          <w:tcPr>
            <w:tcW w:w="5669" w:type="dxa"/>
          </w:tcPr>
          <w:p w:rsidR="00B6323A" w:rsidRDefault="00B6323A">
            <w:pPr>
              <w:rPr>
                <w:rtl/>
              </w:rPr>
            </w:pPr>
            <w:r>
              <w:rPr>
                <w:rtl/>
              </w:rPr>
              <w:t>העברת מסמכים למשיב</w:t>
            </w:r>
          </w:p>
        </w:tc>
        <w:tc>
          <w:tcPr>
            <w:tcW w:w="1247" w:type="dxa"/>
          </w:tcPr>
          <w:p w:rsidR="00B6323A" w:rsidRDefault="00B6323A">
            <w:r>
              <w:rPr>
                <w:rtl/>
              </w:rPr>
              <w:t xml:space="preserve">סעיף 8 </w:t>
            </w:r>
          </w:p>
        </w:tc>
      </w:tr>
      <w:tr w:rsidR="00B6323A">
        <w:tblPrEx>
          <w:tblCellMar>
            <w:top w:w="0" w:type="dxa"/>
            <w:bottom w:w="0" w:type="dxa"/>
          </w:tblCellMar>
        </w:tblPrEx>
        <w:tc>
          <w:tcPr>
            <w:tcW w:w="850" w:type="dxa"/>
          </w:tcPr>
          <w:p w:rsidR="00B6323A" w:rsidRDefault="00B6323A">
            <w:r>
              <w:rPr>
                <w:rtl/>
              </w:rPr>
              <w:fldChar w:fldCharType="begin"/>
            </w:r>
            <w:r>
              <w:rPr>
                <w:rtl/>
              </w:rPr>
              <w:instrText xml:space="preserve"> </w:instrText>
            </w:r>
            <w:r>
              <w:instrText>PAGEREF Seif8</w:instrText>
            </w:r>
            <w:r>
              <w:rPr>
                <w:rtl/>
              </w:rPr>
              <w:instrText xml:space="preserve"> </w:instrText>
            </w:r>
            <w:r>
              <w:rPr>
                <w:rtl/>
              </w:rPr>
              <w:fldChar w:fldCharType="separate"/>
            </w:r>
            <w:r w:rsidR="003D29C2">
              <w:rPr>
                <w:noProof/>
                <w:rtl/>
              </w:rPr>
              <w:t>3</w:t>
            </w:r>
            <w:r>
              <w:rPr>
                <w:rtl/>
              </w:rPr>
              <w:fldChar w:fldCharType="end"/>
            </w:r>
          </w:p>
        </w:tc>
        <w:tc>
          <w:tcPr>
            <w:tcW w:w="567" w:type="dxa"/>
          </w:tcPr>
          <w:p w:rsidR="00B6323A" w:rsidRDefault="00B6323A">
            <w:hyperlink w:anchor="Seif8" w:tooltip="תשובת המשיב" w:history="1">
              <w:r>
                <w:rPr>
                  <w:rStyle w:val="Hyperlink"/>
                </w:rPr>
                <w:t>Go</w:t>
              </w:r>
            </w:hyperlink>
          </w:p>
        </w:tc>
        <w:tc>
          <w:tcPr>
            <w:tcW w:w="5669" w:type="dxa"/>
          </w:tcPr>
          <w:p w:rsidR="00B6323A" w:rsidRDefault="00B6323A">
            <w:pPr>
              <w:rPr>
                <w:rtl/>
              </w:rPr>
            </w:pPr>
            <w:r>
              <w:rPr>
                <w:rtl/>
              </w:rPr>
              <w:t>תשובת המשיב</w:t>
            </w:r>
          </w:p>
        </w:tc>
        <w:tc>
          <w:tcPr>
            <w:tcW w:w="1247" w:type="dxa"/>
          </w:tcPr>
          <w:p w:rsidR="00B6323A" w:rsidRDefault="00B6323A">
            <w:r>
              <w:rPr>
                <w:rtl/>
              </w:rPr>
              <w:t xml:space="preserve">סעיף 9 </w:t>
            </w:r>
          </w:p>
        </w:tc>
      </w:tr>
      <w:tr w:rsidR="00B6323A">
        <w:tblPrEx>
          <w:tblCellMar>
            <w:top w:w="0" w:type="dxa"/>
            <w:bottom w:w="0" w:type="dxa"/>
          </w:tblCellMar>
        </w:tblPrEx>
        <w:tc>
          <w:tcPr>
            <w:tcW w:w="850" w:type="dxa"/>
          </w:tcPr>
          <w:p w:rsidR="00B6323A" w:rsidRDefault="00B6323A">
            <w:r>
              <w:rPr>
                <w:rtl/>
              </w:rPr>
              <w:fldChar w:fldCharType="begin"/>
            </w:r>
            <w:r>
              <w:rPr>
                <w:rtl/>
              </w:rPr>
              <w:instrText xml:space="preserve"> </w:instrText>
            </w:r>
            <w:r>
              <w:instrText>PAGEREF Seif9</w:instrText>
            </w:r>
            <w:r>
              <w:rPr>
                <w:rtl/>
              </w:rPr>
              <w:instrText xml:space="preserve"> </w:instrText>
            </w:r>
            <w:r>
              <w:rPr>
                <w:rtl/>
              </w:rPr>
              <w:fldChar w:fldCharType="separate"/>
            </w:r>
            <w:r w:rsidR="003D29C2">
              <w:rPr>
                <w:noProof/>
                <w:rtl/>
              </w:rPr>
              <w:t>3</w:t>
            </w:r>
            <w:r>
              <w:rPr>
                <w:rtl/>
              </w:rPr>
              <w:fldChar w:fldCharType="end"/>
            </w:r>
          </w:p>
        </w:tc>
        <w:tc>
          <w:tcPr>
            <w:tcW w:w="567" w:type="dxa"/>
          </w:tcPr>
          <w:p w:rsidR="00B6323A" w:rsidRDefault="00B6323A">
            <w:hyperlink w:anchor="Seif9" w:tooltip="החלטה על יסוד חומר בכתב" w:history="1">
              <w:r>
                <w:rPr>
                  <w:rStyle w:val="Hyperlink"/>
                </w:rPr>
                <w:t>Go</w:t>
              </w:r>
            </w:hyperlink>
          </w:p>
        </w:tc>
        <w:tc>
          <w:tcPr>
            <w:tcW w:w="5669" w:type="dxa"/>
          </w:tcPr>
          <w:p w:rsidR="00B6323A" w:rsidRDefault="00B6323A">
            <w:pPr>
              <w:rPr>
                <w:rtl/>
              </w:rPr>
            </w:pPr>
            <w:r>
              <w:rPr>
                <w:rtl/>
              </w:rPr>
              <w:t>החלטה על יסוד חומר בכתב</w:t>
            </w:r>
          </w:p>
        </w:tc>
        <w:tc>
          <w:tcPr>
            <w:tcW w:w="1247" w:type="dxa"/>
          </w:tcPr>
          <w:p w:rsidR="00B6323A" w:rsidRDefault="00B6323A">
            <w:r>
              <w:rPr>
                <w:rtl/>
              </w:rPr>
              <w:t xml:space="preserve">סעיף 10 </w:t>
            </w:r>
          </w:p>
        </w:tc>
      </w:tr>
      <w:tr w:rsidR="00B6323A">
        <w:tblPrEx>
          <w:tblCellMar>
            <w:top w:w="0" w:type="dxa"/>
            <w:bottom w:w="0" w:type="dxa"/>
          </w:tblCellMar>
        </w:tblPrEx>
        <w:tc>
          <w:tcPr>
            <w:tcW w:w="850" w:type="dxa"/>
          </w:tcPr>
          <w:p w:rsidR="00B6323A" w:rsidRDefault="00B6323A">
            <w:r>
              <w:rPr>
                <w:rtl/>
              </w:rPr>
              <w:fldChar w:fldCharType="begin"/>
            </w:r>
            <w:r>
              <w:rPr>
                <w:rtl/>
              </w:rPr>
              <w:instrText xml:space="preserve"> </w:instrText>
            </w:r>
            <w:r>
              <w:instrText>PAGEREF Seif10</w:instrText>
            </w:r>
            <w:r>
              <w:rPr>
                <w:rtl/>
              </w:rPr>
              <w:instrText xml:space="preserve"> </w:instrText>
            </w:r>
            <w:r>
              <w:rPr>
                <w:rtl/>
              </w:rPr>
              <w:fldChar w:fldCharType="separate"/>
            </w:r>
            <w:r w:rsidR="003D29C2">
              <w:rPr>
                <w:noProof/>
                <w:rtl/>
              </w:rPr>
              <w:t>3</w:t>
            </w:r>
            <w:r>
              <w:rPr>
                <w:rtl/>
              </w:rPr>
              <w:fldChar w:fldCharType="end"/>
            </w:r>
          </w:p>
        </w:tc>
        <w:tc>
          <w:tcPr>
            <w:tcW w:w="567" w:type="dxa"/>
          </w:tcPr>
          <w:p w:rsidR="00B6323A" w:rsidRDefault="00B6323A">
            <w:hyperlink w:anchor="Seif10" w:tooltip="קביעת מועד לשמיעת הערר או הבקשה" w:history="1">
              <w:r>
                <w:rPr>
                  <w:rStyle w:val="Hyperlink"/>
                </w:rPr>
                <w:t>Go</w:t>
              </w:r>
            </w:hyperlink>
          </w:p>
        </w:tc>
        <w:tc>
          <w:tcPr>
            <w:tcW w:w="5669" w:type="dxa"/>
          </w:tcPr>
          <w:p w:rsidR="00B6323A" w:rsidRDefault="00B6323A">
            <w:pPr>
              <w:rPr>
                <w:rtl/>
              </w:rPr>
            </w:pPr>
            <w:r>
              <w:rPr>
                <w:rtl/>
              </w:rPr>
              <w:t>קביעת מועד לשמיעת הערר או הבקשה</w:t>
            </w:r>
          </w:p>
        </w:tc>
        <w:tc>
          <w:tcPr>
            <w:tcW w:w="1247" w:type="dxa"/>
          </w:tcPr>
          <w:p w:rsidR="00B6323A" w:rsidRDefault="00B6323A">
            <w:r>
              <w:rPr>
                <w:rtl/>
              </w:rPr>
              <w:t xml:space="preserve">סעיף 11 </w:t>
            </w:r>
          </w:p>
        </w:tc>
      </w:tr>
      <w:tr w:rsidR="00B6323A">
        <w:tblPrEx>
          <w:tblCellMar>
            <w:top w:w="0" w:type="dxa"/>
            <w:bottom w:w="0" w:type="dxa"/>
          </w:tblCellMar>
        </w:tblPrEx>
        <w:tc>
          <w:tcPr>
            <w:tcW w:w="850" w:type="dxa"/>
          </w:tcPr>
          <w:p w:rsidR="00B6323A" w:rsidRDefault="00B6323A">
            <w:r>
              <w:rPr>
                <w:rtl/>
              </w:rPr>
              <w:fldChar w:fldCharType="begin"/>
            </w:r>
            <w:r>
              <w:rPr>
                <w:rtl/>
              </w:rPr>
              <w:instrText xml:space="preserve"> </w:instrText>
            </w:r>
            <w:r>
              <w:instrText>PAGEREF Seif11</w:instrText>
            </w:r>
            <w:r>
              <w:rPr>
                <w:rtl/>
              </w:rPr>
              <w:instrText xml:space="preserve"> </w:instrText>
            </w:r>
            <w:r>
              <w:rPr>
                <w:rtl/>
              </w:rPr>
              <w:fldChar w:fldCharType="separate"/>
            </w:r>
            <w:r w:rsidR="003D29C2">
              <w:rPr>
                <w:noProof/>
                <w:rtl/>
              </w:rPr>
              <w:t>3</w:t>
            </w:r>
            <w:r>
              <w:rPr>
                <w:rtl/>
              </w:rPr>
              <w:fldChar w:fldCharType="end"/>
            </w:r>
          </w:p>
        </w:tc>
        <w:tc>
          <w:tcPr>
            <w:tcW w:w="567" w:type="dxa"/>
          </w:tcPr>
          <w:p w:rsidR="00B6323A" w:rsidRDefault="00B6323A">
            <w:hyperlink w:anchor="Seif11" w:tooltip="התייצבות לחקירה שכנגד" w:history="1">
              <w:r>
                <w:rPr>
                  <w:rStyle w:val="Hyperlink"/>
                </w:rPr>
                <w:t>Go</w:t>
              </w:r>
            </w:hyperlink>
          </w:p>
        </w:tc>
        <w:tc>
          <w:tcPr>
            <w:tcW w:w="5669" w:type="dxa"/>
          </w:tcPr>
          <w:p w:rsidR="00B6323A" w:rsidRDefault="00B6323A">
            <w:pPr>
              <w:rPr>
                <w:rtl/>
              </w:rPr>
            </w:pPr>
            <w:r>
              <w:rPr>
                <w:rtl/>
              </w:rPr>
              <w:t>התייצבות לחקירה שכנגד</w:t>
            </w:r>
          </w:p>
        </w:tc>
        <w:tc>
          <w:tcPr>
            <w:tcW w:w="1247" w:type="dxa"/>
          </w:tcPr>
          <w:p w:rsidR="00B6323A" w:rsidRDefault="00B6323A">
            <w:r>
              <w:rPr>
                <w:rtl/>
              </w:rPr>
              <w:t xml:space="preserve">סעיף 12 </w:t>
            </w:r>
          </w:p>
        </w:tc>
      </w:tr>
      <w:tr w:rsidR="00B6323A">
        <w:tblPrEx>
          <w:tblCellMar>
            <w:top w:w="0" w:type="dxa"/>
            <w:bottom w:w="0" w:type="dxa"/>
          </w:tblCellMar>
        </w:tblPrEx>
        <w:tc>
          <w:tcPr>
            <w:tcW w:w="850" w:type="dxa"/>
          </w:tcPr>
          <w:p w:rsidR="00B6323A" w:rsidRDefault="00B6323A">
            <w:r>
              <w:rPr>
                <w:rtl/>
              </w:rPr>
              <w:fldChar w:fldCharType="begin"/>
            </w:r>
            <w:r>
              <w:rPr>
                <w:rtl/>
              </w:rPr>
              <w:instrText xml:space="preserve"> </w:instrText>
            </w:r>
            <w:r>
              <w:instrText>PAGEREF Seif12</w:instrText>
            </w:r>
            <w:r>
              <w:rPr>
                <w:rtl/>
              </w:rPr>
              <w:instrText xml:space="preserve"> </w:instrText>
            </w:r>
            <w:r>
              <w:rPr>
                <w:rtl/>
              </w:rPr>
              <w:fldChar w:fldCharType="separate"/>
            </w:r>
            <w:r w:rsidR="003D29C2">
              <w:rPr>
                <w:noProof/>
                <w:rtl/>
              </w:rPr>
              <w:t>3</w:t>
            </w:r>
            <w:r>
              <w:rPr>
                <w:rtl/>
              </w:rPr>
              <w:fldChar w:fldCharType="end"/>
            </w:r>
          </w:p>
        </w:tc>
        <w:tc>
          <w:tcPr>
            <w:tcW w:w="567" w:type="dxa"/>
          </w:tcPr>
          <w:p w:rsidR="00B6323A" w:rsidRDefault="00B6323A">
            <w:hyperlink w:anchor="Seif12" w:tooltip="שמיעת הטענות" w:history="1">
              <w:r>
                <w:rPr>
                  <w:rStyle w:val="Hyperlink"/>
                </w:rPr>
                <w:t>Go</w:t>
              </w:r>
            </w:hyperlink>
          </w:p>
        </w:tc>
        <w:tc>
          <w:tcPr>
            <w:tcW w:w="5669" w:type="dxa"/>
          </w:tcPr>
          <w:p w:rsidR="00B6323A" w:rsidRDefault="00B6323A">
            <w:pPr>
              <w:rPr>
                <w:rtl/>
              </w:rPr>
            </w:pPr>
            <w:r>
              <w:rPr>
                <w:rtl/>
              </w:rPr>
              <w:t>שמיעת הטענות</w:t>
            </w:r>
          </w:p>
        </w:tc>
        <w:tc>
          <w:tcPr>
            <w:tcW w:w="1247" w:type="dxa"/>
          </w:tcPr>
          <w:p w:rsidR="00B6323A" w:rsidRDefault="00B6323A">
            <w:r>
              <w:rPr>
                <w:rtl/>
              </w:rPr>
              <w:t xml:space="preserve">סעיף 13 </w:t>
            </w:r>
          </w:p>
        </w:tc>
      </w:tr>
      <w:tr w:rsidR="00B6323A">
        <w:tblPrEx>
          <w:tblCellMar>
            <w:top w:w="0" w:type="dxa"/>
            <w:bottom w:w="0" w:type="dxa"/>
          </w:tblCellMar>
        </w:tblPrEx>
        <w:tc>
          <w:tcPr>
            <w:tcW w:w="850" w:type="dxa"/>
          </w:tcPr>
          <w:p w:rsidR="00B6323A" w:rsidRDefault="00B6323A">
            <w:r>
              <w:rPr>
                <w:rtl/>
              </w:rPr>
              <w:fldChar w:fldCharType="begin"/>
            </w:r>
            <w:r>
              <w:rPr>
                <w:rtl/>
              </w:rPr>
              <w:instrText xml:space="preserve"> </w:instrText>
            </w:r>
            <w:r>
              <w:instrText>PAGEREF Seif13</w:instrText>
            </w:r>
            <w:r>
              <w:rPr>
                <w:rtl/>
              </w:rPr>
              <w:instrText xml:space="preserve"> </w:instrText>
            </w:r>
            <w:r>
              <w:rPr>
                <w:rtl/>
              </w:rPr>
              <w:fldChar w:fldCharType="separate"/>
            </w:r>
            <w:r w:rsidR="003D29C2">
              <w:rPr>
                <w:noProof/>
                <w:rtl/>
              </w:rPr>
              <w:t>4</w:t>
            </w:r>
            <w:r>
              <w:rPr>
                <w:rtl/>
              </w:rPr>
              <w:fldChar w:fldCharType="end"/>
            </w:r>
          </w:p>
        </w:tc>
        <w:tc>
          <w:tcPr>
            <w:tcW w:w="567" w:type="dxa"/>
          </w:tcPr>
          <w:p w:rsidR="00B6323A" w:rsidRDefault="00B6323A">
            <w:hyperlink w:anchor="Seif13" w:tooltip="דיון שלא בפני בעלי הדין" w:history="1">
              <w:r>
                <w:rPr>
                  <w:rStyle w:val="Hyperlink"/>
                </w:rPr>
                <w:t>Go</w:t>
              </w:r>
            </w:hyperlink>
          </w:p>
        </w:tc>
        <w:tc>
          <w:tcPr>
            <w:tcW w:w="5669" w:type="dxa"/>
          </w:tcPr>
          <w:p w:rsidR="00B6323A" w:rsidRDefault="00B6323A">
            <w:pPr>
              <w:rPr>
                <w:rtl/>
              </w:rPr>
            </w:pPr>
            <w:r>
              <w:rPr>
                <w:rtl/>
              </w:rPr>
              <w:t>דיון שלא בפני בעלי הדין</w:t>
            </w:r>
          </w:p>
        </w:tc>
        <w:tc>
          <w:tcPr>
            <w:tcW w:w="1247" w:type="dxa"/>
          </w:tcPr>
          <w:p w:rsidR="00B6323A" w:rsidRDefault="00B6323A">
            <w:r>
              <w:rPr>
                <w:rtl/>
              </w:rPr>
              <w:t xml:space="preserve">סעיף 14 </w:t>
            </w:r>
          </w:p>
        </w:tc>
      </w:tr>
      <w:tr w:rsidR="00B6323A">
        <w:tblPrEx>
          <w:tblCellMar>
            <w:top w:w="0" w:type="dxa"/>
            <w:bottom w:w="0" w:type="dxa"/>
          </w:tblCellMar>
        </w:tblPrEx>
        <w:tc>
          <w:tcPr>
            <w:tcW w:w="850" w:type="dxa"/>
          </w:tcPr>
          <w:p w:rsidR="00B6323A" w:rsidRDefault="00B6323A">
            <w:r>
              <w:rPr>
                <w:rtl/>
              </w:rPr>
              <w:fldChar w:fldCharType="begin"/>
            </w:r>
            <w:r>
              <w:rPr>
                <w:rtl/>
              </w:rPr>
              <w:instrText xml:space="preserve"> </w:instrText>
            </w:r>
            <w:r>
              <w:instrText>PAGEREF Seif14</w:instrText>
            </w:r>
            <w:r>
              <w:rPr>
                <w:rtl/>
              </w:rPr>
              <w:instrText xml:space="preserve"> </w:instrText>
            </w:r>
            <w:r>
              <w:rPr>
                <w:rtl/>
              </w:rPr>
              <w:fldChar w:fldCharType="separate"/>
            </w:r>
            <w:r w:rsidR="003D29C2">
              <w:rPr>
                <w:noProof/>
                <w:rtl/>
              </w:rPr>
              <w:t>4</w:t>
            </w:r>
            <w:r>
              <w:rPr>
                <w:rtl/>
              </w:rPr>
              <w:fldChar w:fldCharType="end"/>
            </w:r>
          </w:p>
        </w:tc>
        <w:tc>
          <w:tcPr>
            <w:tcW w:w="567" w:type="dxa"/>
          </w:tcPr>
          <w:p w:rsidR="00B6323A" w:rsidRDefault="00B6323A">
            <w:hyperlink w:anchor="Seif14" w:tooltip="טענות פגם" w:history="1">
              <w:r>
                <w:rPr>
                  <w:rStyle w:val="Hyperlink"/>
                </w:rPr>
                <w:t>Go</w:t>
              </w:r>
            </w:hyperlink>
          </w:p>
        </w:tc>
        <w:tc>
          <w:tcPr>
            <w:tcW w:w="5669" w:type="dxa"/>
          </w:tcPr>
          <w:p w:rsidR="00B6323A" w:rsidRDefault="00B6323A">
            <w:pPr>
              <w:rPr>
                <w:rtl/>
              </w:rPr>
            </w:pPr>
            <w:r>
              <w:rPr>
                <w:rtl/>
              </w:rPr>
              <w:t>טענות פגם</w:t>
            </w:r>
          </w:p>
        </w:tc>
        <w:tc>
          <w:tcPr>
            <w:tcW w:w="1247" w:type="dxa"/>
          </w:tcPr>
          <w:p w:rsidR="00B6323A" w:rsidRDefault="00B6323A">
            <w:r>
              <w:rPr>
                <w:rtl/>
              </w:rPr>
              <w:t xml:space="preserve">סעיף 15 </w:t>
            </w:r>
          </w:p>
        </w:tc>
      </w:tr>
      <w:tr w:rsidR="00B6323A">
        <w:tblPrEx>
          <w:tblCellMar>
            <w:top w:w="0" w:type="dxa"/>
            <w:bottom w:w="0" w:type="dxa"/>
          </w:tblCellMar>
        </w:tblPrEx>
        <w:tc>
          <w:tcPr>
            <w:tcW w:w="850" w:type="dxa"/>
          </w:tcPr>
          <w:p w:rsidR="00B6323A" w:rsidRDefault="00B6323A">
            <w:r>
              <w:rPr>
                <w:rtl/>
              </w:rPr>
              <w:fldChar w:fldCharType="begin"/>
            </w:r>
            <w:r>
              <w:rPr>
                <w:rtl/>
              </w:rPr>
              <w:instrText xml:space="preserve"> </w:instrText>
            </w:r>
            <w:r>
              <w:instrText>PAGEREF Seif15</w:instrText>
            </w:r>
            <w:r>
              <w:rPr>
                <w:rtl/>
              </w:rPr>
              <w:instrText xml:space="preserve"> </w:instrText>
            </w:r>
            <w:r>
              <w:rPr>
                <w:rtl/>
              </w:rPr>
              <w:fldChar w:fldCharType="separate"/>
            </w:r>
            <w:r w:rsidR="003D29C2">
              <w:rPr>
                <w:noProof/>
                <w:rtl/>
              </w:rPr>
              <w:t>4</w:t>
            </w:r>
            <w:r>
              <w:rPr>
                <w:rtl/>
              </w:rPr>
              <w:fldChar w:fldCharType="end"/>
            </w:r>
          </w:p>
        </w:tc>
        <w:tc>
          <w:tcPr>
            <w:tcW w:w="567" w:type="dxa"/>
          </w:tcPr>
          <w:p w:rsidR="00B6323A" w:rsidRDefault="00B6323A">
            <w:hyperlink w:anchor="Seif15" w:tooltip="דחיית השמיעה" w:history="1">
              <w:r>
                <w:rPr>
                  <w:rStyle w:val="Hyperlink"/>
                </w:rPr>
                <w:t>Go</w:t>
              </w:r>
            </w:hyperlink>
          </w:p>
        </w:tc>
        <w:tc>
          <w:tcPr>
            <w:tcW w:w="5669" w:type="dxa"/>
          </w:tcPr>
          <w:p w:rsidR="00B6323A" w:rsidRDefault="00B6323A">
            <w:pPr>
              <w:rPr>
                <w:rtl/>
              </w:rPr>
            </w:pPr>
            <w:r>
              <w:rPr>
                <w:rtl/>
              </w:rPr>
              <w:t>דחיית השמיעה</w:t>
            </w:r>
          </w:p>
        </w:tc>
        <w:tc>
          <w:tcPr>
            <w:tcW w:w="1247" w:type="dxa"/>
          </w:tcPr>
          <w:p w:rsidR="00B6323A" w:rsidRDefault="00B6323A">
            <w:r>
              <w:rPr>
                <w:rtl/>
              </w:rPr>
              <w:t xml:space="preserve">סעיף 16 </w:t>
            </w:r>
          </w:p>
        </w:tc>
      </w:tr>
      <w:tr w:rsidR="00B6323A">
        <w:tblPrEx>
          <w:tblCellMar>
            <w:top w:w="0" w:type="dxa"/>
            <w:bottom w:w="0" w:type="dxa"/>
          </w:tblCellMar>
        </w:tblPrEx>
        <w:tc>
          <w:tcPr>
            <w:tcW w:w="850" w:type="dxa"/>
          </w:tcPr>
          <w:p w:rsidR="00B6323A" w:rsidRDefault="00B6323A">
            <w:r>
              <w:rPr>
                <w:rtl/>
              </w:rPr>
              <w:fldChar w:fldCharType="begin"/>
            </w:r>
            <w:r>
              <w:rPr>
                <w:rtl/>
              </w:rPr>
              <w:instrText xml:space="preserve"> </w:instrText>
            </w:r>
            <w:r>
              <w:instrText>PAGEREF Seif16</w:instrText>
            </w:r>
            <w:r>
              <w:rPr>
                <w:rtl/>
              </w:rPr>
              <w:instrText xml:space="preserve"> </w:instrText>
            </w:r>
            <w:r>
              <w:rPr>
                <w:rtl/>
              </w:rPr>
              <w:fldChar w:fldCharType="separate"/>
            </w:r>
            <w:r w:rsidR="003D29C2">
              <w:rPr>
                <w:noProof/>
                <w:rtl/>
              </w:rPr>
              <w:t>4</w:t>
            </w:r>
            <w:r>
              <w:rPr>
                <w:rtl/>
              </w:rPr>
              <w:fldChar w:fldCharType="end"/>
            </w:r>
          </w:p>
        </w:tc>
        <w:tc>
          <w:tcPr>
            <w:tcW w:w="567" w:type="dxa"/>
          </w:tcPr>
          <w:p w:rsidR="00B6323A" w:rsidRDefault="00B6323A">
            <w:hyperlink w:anchor="Seif16" w:tooltip="הדיון מוגבל לנימוקים שבכתב" w:history="1">
              <w:r>
                <w:rPr>
                  <w:rStyle w:val="Hyperlink"/>
                </w:rPr>
                <w:t>Go</w:t>
              </w:r>
            </w:hyperlink>
          </w:p>
        </w:tc>
        <w:tc>
          <w:tcPr>
            <w:tcW w:w="5669" w:type="dxa"/>
          </w:tcPr>
          <w:p w:rsidR="00B6323A" w:rsidRDefault="00B6323A">
            <w:pPr>
              <w:rPr>
                <w:rtl/>
              </w:rPr>
            </w:pPr>
            <w:r>
              <w:rPr>
                <w:rtl/>
              </w:rPr>
              <w:t>הדיון מוגבל לנימוקים שבכתב</w:t>
            </w:r>
          </w:p>
        </w:tc>
        <w:tc>
          <w:tcPr>
            <w:tcW w:w="1247" w:type="dxa"/>
          </w:tcPr>
          <w:p w:rsidR="00B6323A" w:rsidRDefault="00B6323A">
            <w:r>
              <w:rPr>
                <w:rtl/>
              </w:rPr>
              <w:t xml:space="preserve">סעיף 17 </w:t>
            </w:r>
          </w:p>
        </w:tc>
      </w:tr>
      <w:tr w:rsidR="00B6323A">
        <w:tblPrEx>
          <w:tblCellMar>
            <w:top w:w="0" w:type="dxa"/>
            <w:bottom w:w="0" w:type="dxa"/>
          </w:tblCellMar>
        </w:tblPrEx>
        <w:tc>
          <w:tcPr>
            <w:tcW w:w="850" w:type="dxa"/>
          </w:tcPr>
          <w:p w:rsidR="00B6323A" w:rsidRDefault="00B6323A">
            <w:r>
              <w:rPr>
                <w:rtl/>
              </w:rPr>
              <w:fldChar w:fldCharType="begin"/>
            </w:r>
            <w:r>
              <w:rPr>
                <w:rtl/>
              </w:rPr>
              <w:instrText xml:space="preserve"> </w:instrText>
            </w:r>
            <w:r>
              <w:instrText>PAGEREF Seif17</w:instrText>
            </w:r>
            <w:r>
              <w:rPr>
                <w:rtl/>
              </w:rPr>
              <w:instrText xml:space="preserve"> </w:instrText>
            </w:r>
            <w:r>
              <w:rPr>
                <w:rtl/>
              </w:rPr>
              <w:fldChar w:fldCharType="separate"/>
            </w:r>
            <w:r w:rsidR="003D29C2">
              <w:rPr>
                <w:noProof/>
                <w:rtl/>
              </w:rPr>
              <w:t>4</w:t>
            </w:r>
            <w:r>
              <w:rPr>
                <w:rtl/>
              </w:rPr>
              <w:fldChar w:fldCharType="end"/>
            </w:r>
          </w:p>
        </w:tc>
        <w:tc>
          <w:tcPr>
            <w:tcW w:w="567" w:type="dxa"/>
          </w:tcPr>
          <w:p w:rsidR="00B6323A" w:rsidRDefault="00B6323A">
            <w:hyperlink w:anchor="Seif17" w:tooltip="החלטת הועדה" w:history="1">
              <w:r>
                <w:rPr>
                  <w:rStyle w:val="Hyperlink"/>
                </w:rPr>
                <w:t>Go</w:t>
              </w:r>
            </w:hyperlink>
          </w:p>
        </w:tc>
        <w:tc>
          <w:tcPr>
            <w:tcW w:w="5669" w:type="dxa"/>
          </w:tcPr>
          <w:p w:rsidR="00B6323A" w:rsidRDefault="00B6323A">
            <w:pPr>
              <w:rPr>
                <w:rtl/>
              </w:rPr>
            </w:pPr>
            <w:r>
              <w:rPr>
                <w:rtl/>
              </w:rPr>
              <w:t xml:space="preserve">החלטת </w:t>
            </w:r>
            <w:r w:rsidR="00576B88">
              <w:rPr>
                <w:rFonts w:hint="cs"/>
                <w:rtl/>
              </w:rPr>
              <w:t>בית הדין</w:t>
            </w:r>
          </w:p>
        </w:tc>
        <w:tc>
          <w:tcPr>
            <w:tcW w:w="1247" w:type="dxa"/>
          </w:tcPr>
          <w:p w:rsidR="00B6323A" w:rsidRDefault="00B6323A">
            <w:r>
              <w:rPr>
                <w:rtl/>
              </w:rPr>
              <w:t xml:space="preserve">סעיף 18 </w:t>
            </w:r>
          </w:p>
        </w:tc>
      </w:tr>
      <w:tr w:rsidR="00B6323A">
        <w:tblPrEx>
          <w:tblCellMar>
            <w:top w:w="0" w:type="dxa"/>
            <w:bottom w:w="0" w:type="dxa"/>
          </w:tblCellMar>
        </w:tblPrEx>
        <w:tc>
          <w:tcPr>
            <w:tcW w:w="850" w:type="dxa"/>
          </w:tcPr>
          <w:p w:rsidR="00B6323A" w:rsidRDefault="00B6323A">
            <w:r>
              <w:rPr>
                <w:rtl/>
              </w:rPr>
              <w:fldChar w:fldCharType="begin"/>
            </w:r>
            <w:r>
              <w:rPr>
                <w:rtl/>
              </w:rPr>
              <w:instrText xml:space="preserve"> </w:instrText>
            </w:r>
            <w:r>
              <w:instrText>PAGEREF Seif18</w:instrText>
            </w:r>
            <w:r>
              <w:rPr>
                <w:rtl/>
              </w:rPr>
              <w:instrText xml:space="preserve"> </w:instrText>
            </w:r>
            <w:r>
              <w:rPr>
                <w:rtl/>
              </w:rPr>
              <w:fldChar w:fldCharType="separate"/>
            </w:r>
            <w:r w:rsidR="003D29C2">
              <w:rPr>
                <w:noProof/>
                <w:rtl/>
              </w:rPr>
              <w:t>4</w:t>
            </w:r>
            <w:r>
              <w:rPr>
                <w:rtl/>
              </w:rPr>
              <w:fldChar w:fldCharType="end"/>
            </w:r>
          </w:p>
        </w:tc>
        <w:tc>
          <w:tcPr>
            <w:tcW w:w="567" w:type="dxa"/>
          </w:tcPr>
          <w:p w:rsidR="00B6323A" w:rsidRDefault="00B6323A">
            <w:hyperlink w:anchor="Seif18" w:tooltip="איחוד עררים או בקשות" w:history="1">
              <w:r>
                <w:rPr>
                  <w:rStyle w:val="Hyperlink"/>
                </w:rPr>
                <w:t>Go</w:t>
              </w:r>
            </w:hyperlink>
          </w:p>
        </w:tc>
        <w:tc>
          <w:tcPr>
            <w:tcW w:w="5669" w:type="dxa"/>
          </w:tcPr>
          <w:p w:rsidR="00B6323A" w:rsidRDefault="00B6323A">
            <w:pPr>
              <w:rPr>
                <w:rtl/>
              </w:rPr>
            </w:pPr>
            <w:r>
              <w:rPr>
                <w:rtl/>
              </w:rPr>
              <w:t>איחוד עררים או בקשות</w:t>
            </w:r>
          </w:p>
        </w:tc>
        <w:tc>
          <w:tcPr>
            <w:tcW w:w="1247" w:type="dxa"/>
          </w:tcPr>
          <w:p w:rsidR="00B6323A" w:rsidRDefault="00B6323A">
            <w:r>
              <w:rPr>
                <w:rtl/>
              </w:rPr>
              <w:t xml:space="preserve">סעיף 19 </w:t>
            </w:r>
          </w:p>
        </w:tc>
      </w:tr>
      <w:tr w:rsidR="00B6323A">
        <w:tblPrEx>
          <w:tblCellMar>
            <w:top w:w="0" w:type="dxa"/>
            <w:bottom w:w="0" w:type="dxa"/>
          </w:tblCellMar>
        </w:tblPrEx>
        <w:tc>
          <w:tcPr>
            <w:tcW w:w="850" w:type="dxa"/>
          </w:tcPr>
          <w:p w:rsidR="00B6323A" w:rsidRDefault="00B6323A">
            <w:r>
              <w:rPr>
                <w:rtl/>
              </w:rPr>
              <w:fldChar w:fldCharType="begin"/>
            </w:r>
            <w:r>
              <w:rPr>
                <w:rtl/>
              </w:rPr>
              <w:instrText xml:space="preserve"> </w:instrText>
            </w:r>
            <w:r>
              <w:instrText>PAGEREF Seif19</w:instrText>
            </w:r>
            <w:r>
              <w:rPr>
                <w:rtl/>
              </w:rPr>
              <w:instrText xml:space="preserve"> </w:instrText>
            </w:r>
            <w:r>
              <w:rPr>
                <w:rtl/>
              </w:rPr>
              <w:fldChar w:fldCharType="separate"/>
            </w:r>
            <w:r w:rsidR="003D29C2">
              <w:rPr>
                <w:noProof/>
                <w:rtl/>
              </w:rPr>
              <w:t>4</w:t>
            </w:r>
            <w:r>
              <w:rPr>
                <w:rtl/>
              </w:rPr>
              <w:fldChar w:fldCharType="end"/>
            </w:r>
          </w:p>
        </w:tc>
        <w:tc>
          <w:tcPr>
            <w:tcW w:w="567" w:type="dxa"/>
          </w:tcPr>
          <w:p w:rsidR="00B6323A" w:rsidRDefault="00B6323A">
            <w:hyperlink w:anchor="Seif19" w:tooltip="צירוף בעלי דין" w:history="1">
              <w:r>
                <w:rPr>
                  <w:rStyle w:val="Hyperlink"/>
                </w:rPr>
                <w:t>Go</w:t>
              </w:r>
            </w:hyperlink>
          </w:p>
        </w:tc>
        <w:tc>
          <w:tcPr>
            <w:tcW w:w="5669" w:type="dxa"/>
          </w:tcPr>
          <w:p w:rsidR="00B6323A" w:rsidRDefault="00B6323A">
            <w:pPr>
              <w:rPr>
                <w:rtl/>
              </w:rPr>
            </w:pPr>
            <w:r>
              <w:rPr>
                <w:rtl/>
              </w:rPr>
              <w:t>צירוף בעלי דין</w:t>
            </w:r>
          </w:p>
        </w:tc>
        <w:tc>
          <w:tcPr>
            <w:tcW w:w="1247" w:type="dxa"/>
          </w:tcPr>
          <w:p w:rsidR="00B6323A" w:rsidRDefault="00B6323A">
            <w:r>
              <w:rPr>
                <w:rtl/>
              </w:rPr>
              <w:t xml:space="preserve">סעיף 20 </w:t>
            </w:r>
          </w:p>
        </w:tc>
      </w:tr>
      <w:tr w:rsidR="00B6323A">
        <w:tblPrEx>
          <w:tblCellMar>
            <w:top w:w="0" w:type="dxa"/>
            <w:bottom w:w="0" w:type="dxa"/>
          </w:tblCellMar>
        </w:tblPrEx>
        <w:tc>
          <w:tcPr>
            <w:tcW w:w="850" w:type="dxa"/>
          </w:tcPr>
          <w:p w:rsidR="00B6323A" w:rsidRDefault="00B6323A">
            <w:r>
              <w:rPr>
                <w:rtl/>
              </w:rPr>
              <w:fldChar w:fldCharType="begin"/>
            </w:r>
            <w:r>
              <w:rPr>
                <w:rtl/>
              </w:rPr>
              <w:instrText xml:space="preserve"> </w:instrText>
            </w:r>
            <w:r>
              <w:instrText>PAGEREF Seif20</w:instrText>
            </w:r>
            <w:r>
              <w:rPr>
                <w:rtl/>
              </w:rPr>
              <w:instrText xml:space="preserve"> </w:instrText>
            </w:r>
            <w:r>
              <w:rPr>
                <w:rtl/>
              </w:rPr>
              <w:fldChar w:fldCharType="separate"/>
            </w:r>
            <w:r w:rsidR="003D29C2">
              <w:rPr>
                <w:noProof/>
                <w:rtl/>
              </w:rPr>
              <w:t>4</w:t>
            </w:r>
            <w:r>
              <w:rPr>
                <w:rtl/>
              </w:rPr>
              <w:fldChar w:fldCharType="end"/>
            </w:r>
          </w:p>
        </w:tc>
        <w:tc>
          <w:tcPr>
            <w:tcW w:w="567" w:type="dxa"/>
          </w:tcPr>
          <w:p w:rsidR="00B6323A" w:rsidRDefault="00B6323A">
            <w:hyperlink w:anchor="Seif20" w:tooltip="ערעורים על החלטות הועדה" w:history="1">
              <w:r>
                <w:rPr>
                  <w:rStyle w:val="Hyperlink"/>
                </w:rPr>
                <w:t>Go</w:t>
              </w:r>
            </w:hyperlink>
          </w:p>
        </w:tc>
        <w:tc>
          <w:tcPr>
            <w:tcW w:w="5669" w:type="dxa"/>
          </w:tcPr>
          <w:p w:rsidR="00B6323A" w:rsidRDefault="00B6323A">
            <w:pPr>
              <w:rPr>
                <w:rtl/>
              </w:rPr>
            </w:pPr>
            <w:r>
              <w:rPr>
                <w:rtl/>
              </w:rPr>
              <w:t xml:space="preserve">ערעורים על החלטות </w:t>
            </w:r>
            <w:r w:rsidR="00576B88">
              <w:rPr>
                <w:rFonts w:hint="cs"/>
                <w:rtl/>
              </w:rPr>
              <w:t>בית הדין</w:t>
            </w:r>
          </w:p>
        </w:tc>
        <w:tc>
          <w:tcPr>
            <w:tcW w:w="1247" w:type="dxa"/>
          </w:tcPr>
          <w:p w:rsidR="00B6323A" w:rsidRDefault="00B6323A">
            <w:r>
              <w:rPr>
                <w:rtl/>
              </w:rPr>
              <w:t xml:space="preserve">סעיף 21 </w:t>
            </w:r>
          </w:p>
        </w:tc>
      </w:tr>
      <w:tr w:rsidR="00B6323A">
        <w:tblPrEx>
          <w:tblCellMar>
            <w:top w:w="0" w:type="dxa"/>
            <w:bottom w:w="0" w:type="dxa"/>
          </w:tblCellMar>
        </w:tblPrEx>
        <w:tc>
          <w:tcPr>
            <w:tcW w:w="850" w:type="dxa"/>
          </w:tcPr>
          <w:p w:rsidR="00B6323A" w:rsidRDefault="00B6323A">
            <w:r>
              <w:rPr>
                <w:rtl/>
              </w:rPr>
              <w:fldChar w:fldCharType="begin"/>
            </w:r>
            <w:r>
              <w:rPr>
                <w:rtl/>
              </w:rPr>
              <w:instrText xml:space="preserve"> </w:instrText>
            </w:r>
            <w:r>
              <w:instrText>PAGEREF Seif21</w:instrText>
            </w:r>
            <w:r>
              <w:rPr>
                <w:rtl/>
              </w:rPr>
              <w:instrText xml:space="preserve"> </w:instrText>
            </w:r>
            <w:r>
              <w:rPr>
                <w:rtl/>
              </w:rPr>
              <w:fldChar w:fldCharType="separate"/>
            </w:r>
            <w:r w:rsidR="003D29C2">
              <w:rPr>
                <w:noProof/>
                <w:rtl/>
              </w:rPr>
              <w:t>4</w:t>
            </w:r>
            <w:r>
              <w:rPr>
                <w:rtl/>
              </w:rPr>
              <w:fldChar w:fldCharType="end"/>
            </w:r>
          </w:p>
        </w:tc>
        <w:tc>
          <w:tcPr>
            <w:tcW w:w="567" w:type="dxa"/>
          </w:tcPr>
          <w:p w:rsidR="00B6323A" w:rsidRDefault="00B6323A">
            <w:hyperlink w:anchor="Seif21" w:tooltip="השם" w:history="1">
              <w:r>
                <w:rPr>
                  <w:rStyle w:val="Hyperlink"/>
                </w:rPr>
                <w:t>Go</w:t>
              </w:r>
            </w:hyperlink>
          </w:p>
        </w:tc>
        <w:tc>
          <w:tcPr>
            <w:tcW w:w="5669" w:type="dxa"/>
          </w:tcPr>
          <w:p w:rsidR="00B6323A" w:rsidRDefault="00B6323A">
            <w:pPr>
              <w:rPr>
                <w:rtl/>
              </w:rPr>
            </w:pPr>
            <w:r>
              <w:rPr>
                <w:rtl/>
              </w:rPr>
              <w:t>השם</w:t>
            </w:r>
          </w:p>
        </w:tc>
        <w:tc>
          <w:tcPr>
            <w:tcW w:w="1247" w:type="dxa"/>
          </w:tcPr>
          <w:p w:rsidR="00B6323A" w:rsidRDefault="00B6323A">
            <w:r>
              <w:rPr>
                <w:rtl/>
              </w:rPr>
              <w:t xml:space="preserve">סעיף 22 </w:t>
            </w:r>
          </w:p>
        </w:tc>
      </w:tr>
    </w:tbl>
    <w:p w:rsidR="00B6323A" w:rsidRDefault="00B6323A">
      <w:pPr>
        <w:pStyle w:val="big-header"/>
        <w:ind w:left="0" w:right="2835"/>
        <w:rPr>
          <w:rtl/>
        </w:rPr>
      </w:pPr>
    </w:p>
    <w:p w:rsidR="00B6323A" w:rsidRDefault="00B6323A" w:rsidP="00F46A32">
      <w:pPr>
        <w:pStyle w:val="big-header"/>
        <w:ind w:left="0" w:right="1134"/>
        <w:rPr>
          <w:rStyle w:val="default"/>
          <w:rFonts w:hint="cs"/>
          <w:rtl/>
        </w:rPr>
      </w:pPr>
      <w:r>
        <w:rPr>
          <w:rtl/>
        </w:rPr>
        <w:br w:type="page"/>
      </w:r>
      <w:r>
        <w:rPr>
          <w:rtl/>
        </w:rPr>
        <w:lastRenderedPageBreak/>
        <w:t>ת</w:t>
      </w:r>
      <w:r>
        <w:rPr>
          <w:rFonts w:hint="cs"/>
          <w:rtl/>
        </w:rPr>
        <w:t>קנות הניקוז וההגנה מפני שטפונות</w:t>
      </w:r>
      <w:r>
        <w:rPr>
          <w:rtl/>
        </w:rPr>
        <w:t xml:space="preserve"> (</w:t>
      </w:r>
      <w:r>
        <w:rPr>
          <w:rFonts w:hint="cs"/>
          <w:rtl/>
        </w:rPr>
        <w:t xml:space="preserve">סדרי הדין </w:t>
      </w:r>
      <w:r w:rsidR="009E5690">
        <w:rPr>
          <w:rFonts w:hint="cs"/>
          <w:rtl/>
        </w:rPr>
        <w:t>בב</w:t>
      </w:r>
      <w:r w:rsidR="00576B88">
        <w:rPr>
          <w:rFonts w:hint="cs"/>
          <w:rtl/>
        </w:rPr>
        <w:t>י</w:t>
      </w:r>
      <w:r w:rsidR="009E5690">
        <w:rPr>
          <w:rFonts w:hint="cs"/>
          <w:rtl/>
        </w:rPr>
        <w:t xml:space="preserve">ת </w:t>
      </w:r>
      <w:r w:rsidR="00576B88">
        <w:rPr>
          <w:rFonts w:hint="cs"/>
          <w:rtl/>
        </w:rPr>
        <w:t>ה</w:t>
      </w:r>
      <w:r w:rsidR="009E5690">
        <w:rPr>
          <w:rFonts w:hint="cs"/>
          <w:rtl/>
        </w:rPr>
        <w:t>דין לעניני מים</w:t>
      </w:r>
      <w:r>
        <w:rPr>
          <w:rFonts w:hint="cs"/>
          <w:rtl/>
        </w:rPr>
        <w:t xml:space="preserve"> ובערעורים על החלטותיה</w:t>
      </w:r>
      <w:r w:rsidR="009E5690">
        <w:rPr>
          <w:rFonts w:hint="cs"/>
          <w:rtl/>
        </w:rPr>
        <w:t>ם</w:t>
      </w:r>
      <w:r>
        <w:rPr>
          <w:rFonts w:hint="cs"/>
          <w:rtl/>
        </w:rPr>
        <w:t>), תשי"ח</w:t>
      </w:r>
      <w:r w:rsidR="003D29C2">
        <w:rPr>
          <w:rFonts w:hint="cs"/>
          <w:rtl/>
        </w:rPr>
        <w:t>-</w:t>
      </w:r>
      <w:r>
        <w:rPr>
          <w:rFonts w:hint="cs"/>
          <w:rtl/>
        </w:rPr>
        <w:t>1958</w:t>
      </w:r>
      <w:r w:rsidR="003D29C2">
        <w:rPr>
          <w:rStyle w:val="a6"/>
          <w:rtl/>
        </w:rPr>
        <w:footnoteReference w:customMarkFollows="1" w:id="1"/>
        <w:t>*</w:t>
      </w:r>
    </w:p>
    <w:p w:rsidR="00B6323A" w:rsidRPr="003D29C2" w:rsidRDefault="00B6323A" w:rsidP="003D29C2">
      <w:pPr>
        <w:pStyle w:val="P00"/>
        <w:spacing w:before="72"/>
        <w:ind w:left="0" w:right="1134"/>
        <w:rPr>
          <w:rStyle w:val="default"/>
          <w:rFonts w:cs="FrankRuehl"/>
          <w:rtl/>
        </w:rPr>
      </w:pPr>
      <w:r w:rsidRPr="003D29C2">
        <w:rPr>
          <w:rtl/>
        </w:rPr>
        <w:tab/>
      </w:r>
      <w:r w:rsidRPr="003D29C2">
        <w:rPr>
          <w:rStyle w:val="default"/>
          <w:rFonts w:cs="FrankRuehl"/>
          <w:rtl/>
        </w:rPr>
        <w:t>ב</w:t>
      </w:r>
      <w:r w:rsidRPr="003D29C2">
        <w:rPr>
          <w:rStyle w:val="default"/>
          <w:rFonts w:cs="FrankRuehl" w:hint="cs"/>
          <w:rtl/>
        </w:rPr>
        <w:t>תוקף סמכותי לפי סעיף 57 לחוק הניקוז וההגנה מפני שטפונות, תשי"ח</w:t>
      </w:r>
      <w:r w:rsidR="003D29C2">
        <w:rPr>
          <w:rStyle w:val="default"/>
          <w:rFonts w:cs="FrankRuehl" w:hint="cs"/>
          <w:rtl/>
        </w:rPr>
        <w:t>-</w:t>
      </w:r>
      <w:r w:rsidRPr="003D29C2">
        <w:rPr>
          <w:rStyle w:val="default"/>
          <w:rFonts w:cs="FrankRuehl" w:hint="cs"/>
          <w:rtl/>
        </w:rPr>
        <w:t>1957, ובתוקף שאר הסמכויות הנתונות לי לפי כל דין, אני מתקין תקנות אלה:</w:t>
      </w:r>
    </w:p>
    <w:p w:rsidR="00B6323A" w:rsidRDefault="00B6323A" w:rsidP="003D29C2">
      <w:pPr>
        <w:pStyle w:val="P00"/>
        <w:spacing w:before="72"/>
        <w:ind w:left="0" w:right="1134"/>
        <w:rPr>
          <w:rStyle w:val="default"/>
          <w:rFonts w:hint="cs"/>
          <w:sz w:val="26"/>
          <w:rtl/>
        </w:rPr>
      </w:pPr>
      <w:bookmarkStart w:id="0" w:name="Seif0"/>
      <w:bookmarkEnd w:id="0"/>
      <w:r w:rsidRPr="003D29C2">
        <w:rPr>
          <w:rFonts w:cs="Miriam"/>
          <w:sz w:val="32"/>
          <w:szCs w:val="32"/>
          <w:lang w:val="he-IL"/>
        </w:rPr>
        <w:pict>
          <v:rect id="_x0000_s1026" style="position:absolute;left:0;text-align:left;margin-left:464.5pt;margin-top:8.05pt;width:75.05pt;height:10.3pt;z-index:251646976" o:allowincell="f" filled="f" stroked="f" strokecolor="lime" strokeweight=".25pt">
            <v:textbox style="mso-next-textbox:#_x0000_s1026" inset="0,0,0,0">
              <w:txbxContent>
                <w:p w:rsidR="00B6323A" w:rsidRDefault="00B6323A">
                  <w:pPr>
                    <w:spacing w:line="160" w:lineRule="exact"/>
                    <w:rPr>
                      <w:rFonts w:cs="Miriam"/>
                      <w:noProof/>
                      <w:szCs w:val="18"/>
                      <w:rtl/>
                    </w:rPr>
                  </w:pPr>
                  <w:r>
                    <w:rPr>
                      <w:rFonts w:cs="Miriam"/>
                      <w:szCs w:val="18"/>
                      <w:rtl/>
                    </w:rPr>
                    <w:t>ה</w:t>
                  </w:r>
                  <w:r>
                    <w:rPr>
                      <w:rFonts w:cs="Miriam" w:hint="cs"/>
                      <w:szCs w:val="18"/>
                      <w:rtl/>
                    </w:rPr>
                    <w:t>גדרות</w:t>
                  </w:r>
                </w:p>
              </w:txbxContent>
            </v:textbox>
            <w10:anchorlock/>
          </v:rect>
        </w:pict>
      </w:r>
      <w:r w:rsidRPr="003D29C2">
        <w:rPr>
          <w:rStyle w:val="big-number"/>
          <w:rFonts w:cs="Miriam"/>
          <w:sz w:val="32"/>
          <w:rtl/>
        </w:rPr>
        <w:t>1</w:t>
      </w:r>
      <w:r w:rsidRPr="003D29C2">
        <w:rPr>
          <w:rStyle w:val="big-number"/>
          <w:rFonts w:cs="FrankRuehl"/>
          <w:sz w:val="26"/>
          <w:szCs w:val="26"/>
          <w:rtl/>
        </w:rPr>
        <w:t>.</w:t>
      </w:r>
      <w:r w:rsidRPr="003D29C2">
        <w:rPr>
          <w:rStyle w:val="big-number"/>
          <w:rFonts w:cs="FrankRuehl"/>
          <w:sz w:val="26"/>
          <w:szCs w:val="26"/>
          <w:rtl/>
        </w:rPr>
        <w:tab/>
      </w:r>
      <w:r w:rsidRPr="003D29C2">
        <w:rPr>
          <w:rStyle w:val="default"/>
          <w:rFonts w:cs="FrankRuehl"/>
          <w:sz w:val="26"/>
          <w:rtl/>
        </w:rPr>
        <w:t>ב</w:t>
      </w:r>
      <w:r w:rsidRPr="003D29C2">
        <w:rPr>
          <w:rStyle w:val="default"/>
          <w:rFonts w:cs="FrankRuehl" w:hint="cs"/>
          <w:sz w:val="26"/>
          <w:rtl/>
        </w:rPr>
        <w:t xml:space="preserve">תקנות אלה </w:t>
      </w:r>
      <w:r w:rsidR="003D29C2">
        <w:rPr>
          <w:rStyle w:val="default"/>
          <w:sz w:val="26"/>
          <w:rtl/>
        </w:rPr>
        <w:t>–</w:t>
      </w:r>
    </w:p>
    <w:p w:rsidR="00B6323A" w:rsidRPr="003D29C2" w:rsidRDefault="00B6323A" w:rsidP="003D29C2">
      <w:pPr>
        <w:pStyle w:val="P00"/>
        <w:spacing w:before="72"/>
        <w:ind w:left="0" w:right="1134"/>
        <w:rPr>
          <w:rStyle w:val="default"/>
          <w:rFonts w:cs="FrankRuehl"/>
          <w:sz w:val="26"/>
          <w:rtl/>
        </w:rPr>
      </w:pPr>
      <w:r w:rsidRPr="003D29C2">
        <w:rPr>
          <w:sz w:val="26"/>
          <w:rtl/>
        </w:rPr>
        <w:tab/>
      </w:r>
      <w:r w:rsidRPr="003D29C2">
        <w:rPr>
          <w:rStyle w:val="default"/>
          <w:rFonts w:cs="FrankRuehl"/>
          <w:sz w:val="26"/>
          <w:rtl/>
        </w:rPr>
        <w:t>"</w:t>
      </w:r>
      <w:r w:rsidR="00576B88">
        <w:rPr>
          <w:rStyle w:val="default"/>
          <w:rFonts w:cs="FrankRuehl" w:hint="cs"/>
          <w:sz w:val="26"/>
          <w:rtl/>
        </w:rPr>
        <w:t>בית הדין</w:t>
      </w:r>
      <w:r w:rsidRPr="003D29C2">
        <w:rPr>
          <w:rStyle w:val="default"/>
          <w:rFonts w:cs="FrankRuehl" w:hint="cs"/>
          <w:sz w:val="26"/>
          <w:rtl/>
        </w:rPr>
        <w:t xml:space="preserve">" </w:t>
      </w:r>
      <w:r w:rsidR="003D29C2">
        <w:rPr>
          <w:rStyle w:val="default"/>
          <w:rFonts w:hint="cs"/>
          <w:sz w:val="26"/>
          <w:rtl/>
        </w:rPr>
        <w:t>-</w:t>
      </w:r>
      <w:r w:rsidRPr="003D29C2">
        <w:rPr>
          <w:rStyle w:val="default"/>
          <w:rFonts w:cs="FrankRuehl" w:hint="cs"/>
          <w:sz w:val="26"/>
          <w:rtl/>
        </w:rPr>
        <w:t xml:space="preserve"> שהוקם לפי סעיף 54 לחוק;</w:t>
      </w:r>
    </w:p>
    <w:p w:rsidR="00B6323A" w:rsidRPr="003D29C2" w:rsidRDefault="00B6323A" w:rsidP="003D29C2">
      <w:pPr>
        <w:pStyle w:val="P00"/>
        <w:spacing w:before="72"/>
        <w:ind w:left="0" w:right="1134"/>
        <w:rPr>
          <w:rStyle w:val="default"/>
          <w:rFonts w:cs="FrankRuehl"/>
          <w:sz w:val="26"/>
          <w:rtl/>
        </w:rPr>
      </w:pPr>
      <w:r w:rsidRPr="003D29C2">
        <w:rPr>
          <w:sz w:val="26"/>
          <w:rtl/>
        </w:rPr>
        <w:tab/>
      </w:r>
      <w:r w:rsidRPr="003D29C2">
        <w:rPr>
          <w:rStyle w:val="default"/>
          <w:rFonts w:cs="FrankRuehl"/>
          <w:sz w:val="26"/>
          <w:rtl/>
        </w:rPr>
        <w:t>"</w:t>
      </w:r>
      <w:r w:rsidRPr="003D29C2">
        <w:rPr>
          <w:rStyle w:val="default"/>
          <w:rFonts w:cs="FrankRuehl" w:hint="cs"/>
          <w:sz w:val="26"/>
          <w:rtl/>
        </w:rPr>
        <w:t>ערר"</w:t>
      </w:r>
      <w:r w:rsidRPr="003D29C2">
        <w:rPr>
          <w:rStyle w:val="default"/>
          <w:rFonts w:cs="FrankRuehl"/>
          <w:sz w:val="26"/>
          <w:rtl/>
        </w:rPr>
        <w:t xml:space="preserve"> </w:t>
      </w:r>
      <w:r w:rsidR="003D29C2">
        <w:rPr>
          <w:rStyle w:val="default"/>
          <w:rFonts w:hint="cs"/>
          <w:sz w:val="26"/>
          <w:rtl/>
        </w:rPr>
        <w:t>-</w:t>
      </w:r>
      <w:r w:rsidRPr="003D29C2">
        <w:rPr>
          <w:rStyle w:val="default"/>
          <w:rFonts w:cs="FrankRuehl" w:hint="cs"/>
          <w:sz w:val="26"/>
          <w:rtl/>
        </w:rPr>
        <w:t xml:space="preserve"> ערר לפי סעיף 8 לחוק;</w:t>
      </w:r>
    </w:p>
    <w:p w:rsidR="00B6323A" w:rsidRPr="003D29C2" w:rsidRDefault="00B6323A" w:rsidP="003D29C2">
      <w:pPr>
        <w:pStyle w:val="P00"/>
        <w:spacing w:before="72"/>
        <w:ind w:left="0" w:right="1134"/>
        <w:rPr>
          <w:rStyle w:val="default"/>
          <w:rFonts w:cs="FrankRuehl"/>
          <w:sz w:val="26"/>
          <w:rtl/>
        </w:rPr>
      </w:pPr>
      <w:r w:rsidRPr="003D29C2">
        <w:rPr>
          <w:sz w:val="26"/>
          <w:rtl/>
        </w:rPr>
        <w:tab/>
      </w:r>
      <w:r w:rsidRPr="003D29C2">
        <w:rPr>
          <w:rStyle w:val="default"/>
          <w:rFonts w:cs="FrankRuehl"/>
          <w:sz w:val="26"/>
          <w:rtl/>
        </w:rPr>
        <w:t>"</w:t>
      </w:r>
      <w:r w:rsidRPr="003D29C2">
        <w:rPr>
          <w:rStyle w:val="default"/>
          <w:rFonts w:cs="FrankRuehl" w:hint="cs"/>
          <w:sz w:val="26"/>
          <w:rtl/>
        </w:rPr>
        <w:t xml:space="preserve">ערר על שומה" </w:t>
      </w:r>
      <w:r w:rsidR="003D29C2">
        <w:rPr>
          <w:rStyle w:val="default"/>
          <w:rFonts w:hint="cs"/>
          <w:sz w:val="26"/>
          <w:rtl/>
        </w:rPr>
        <w:t>-</w:t>
      </w:r>
      <w:r w:rsidRPr="003D29C2">
        <w:rPr>
          <w:rStyle w:val="default"/>
          <w:rFonts w:cs="FrankRuehl" w:hint="cs"/>
          <w:sz w:val="26"/>
          <w:rtl/>
        </w:rPr>
        <w:t xml:space="preserve"> ערר של שומת ארנונות ניקוז לפי סעיף 42 לחוק;</w:t>
      </w:r>
    </w:p>
    <w:p w:rsidR="00B6323A" w:rsidRPr="003D29C2" w:rsidRDefault="00B6323A" w:rsidP="003D29C2">
      <w:pPr>
        <w:pStyle w:val="P00"/>
        <w:spacing w:before="72"/>
        <w:ind w:left="0" w:right="1134"/>
        <w:rPr>
          <w:rStyle w:val="default"/>
          <w:rFonts w:cs="FrankRuehl"/>
          <w:sz w:val="26"/>
          <w:rtl/>
        </w:rPr>
      </w:pPr>
      <w:r w:rsidRPr="003D29C2">
        <w:rPr>
          <w:sz w:val="26"/>
          <w:rtl/>
        </w:rPr>
        <w:tab/>
      </w:r>
      <w:r w:rsidRPr="003D29C2">
        <w:rPr>
          <w:rStyle w:val="default"/>
          <w:rFonts w:cs="FrankRuehl"/>
          <w:sz w:val="26"/>
          <w:rtl/>
        </w:rPr>
        <w:t>"</w:t>
      </w:r>
      <w:r w:rsidRPr="003D29C2">
        <w:rPr>
          <w:rStyle w:val="default"/>
          <w:rFonts w:cs="FrankRuehl" w:hint="cs"/>
          <w:sz w:val="26"/>
          <w:rtl/>
        </w:rPr>
        <w:t xml:space="preserve">בקשה" </w:t>
      </w:r>
      <w:r w:rsidR="003D29C2">
        <w:rPr>
          <w:rStyle w:val="default"/>
          <w:rFonts w:hint="cs"/>
          <w:sz w:val="26"/>
          <w:rtl/>
        </w:rPr>
        <w:t>-</w:t>
      </w:r>
      <w:r w:rsidRPr="003D29C2">
        <w:rPr>
          <w:rStyle w:val="default"/>
          <w:rFonts w:cs="FrankRuehl" w:hint="cs"/>
          <w:sz w:val="26"/>
          <w:rtl/>
        </w:rPr>
        <w:t xml:space="preserve"> בקשה להכרעת </w:t>
      </w:r>
      <w:r w:rsidR="00576B88">
        <w:rPr>
          <w:rStyle w:val="default"/>
          <w:rFonts w:cs="FrankRuehl" w:hint="cs"/>
          <w:sz w:val="26"/>
          <w:rtl/>
        </w:rPr>
        <w:t>בית הדין</w:t>
      </w:r>
      <w:r w:rsidRPr="003D29C2">
        <w:rPr>
          <w:rStyle w:val="default"/>
          <w:rFonts w:cs="FrankRuehl" w:hint="cs"/>
          <w:sz w:val="26"/>
          <w:rtl/>
        </w:rPr>
        <w:t xml:space="preserve"> לפי סעיפים 6(ג), 35(א) ו-53(ג) לחוק;</w:t>
      </w:r>
    </w:p>
    <w:p w:rsidR="00B6323A" w:rsidRPr="003D29C2" w:rsidRDefault="00B6323A" w:rsidP="003D29C2">
      <w:pPr>
        <w:pStyle w:val="P00"/>
        <w:spacing w:before="72"/>
        <w:ind w:left="0" w:right="1134"/>
        <w:rPr>
          <w:rStyle w:val="default"/>
          <w:rFonts w:cs="FrankRuehl"/>
          <w:sz w:val="26"/>
          <w:rtl/>
        </w:rPr>
      </w:pPr>
      <w:r w:rsidRPr="003D29C2">
        <w:rPr>
          <w:sz w:val="26"/>
          <w:rtl/>
        </w:rPr>
        <w:tab/>
      </w:r>
      <w:r w:rsidRPr="003D29C2">
        <w:rPr>
          <w:rStyle w:val="default"/>
          <w:rFonts w:cs="FrankRuehl"/>
          <w:sz w:val="26"/>
          <w:rtl/>
        </w:rPr>
        <w:t>"</w:t>
      </w:r>
      <w:r w:rsidRPr="003D29C2">
        <w:rPr>
          <w:rStyle w:val="default"/>
          <w:rFonts w:cs="FrankRuehl" w:hint="cs"/>
          <w:sz w:val="26"/>
          <w:rtl/>
        </w:rPr>
        <w:t xml:space="preserve">מבקש" </w:t>
      </w:r>
      <w:r w:rsidR="003D29C2">
        <w:rPr>
          <w:rStyle w:val="default"/>
          <w:rFonts w:hint="cs"/>
          <w:sz w:val="26"/>
          <w:rtl/>
        </w:rPr>
        <w:t>-</w:t>
      </w:r>
      <w:r w:rsidRPr="003D29C2">
        <w:rPr>
          <w:rStyle w:val="default"/>
          <w:rFonts w:cs="FrankRuehl" w:hint="cs"/>
          <w:sz w:val="26"/>
          <w:rtl/>
        </w:rPr>
        <w:t xml:space="preserve"> מבקש התובע פיצויים מרשות הניקוז או מאוצר המדינה, הכל לפי הענין;</w:t>
      </w:r>
    </w:p>
    <w:p w:rsidR="00B6323A" w:rsidRPr="003D29C2" w:rsidRDefault="00B6323A" w:rsidP="003D29C2">
      <w:pPr>
        <w:pStyle w:val="P00"/>
        <w:spacing w:before="72"/>
        <w:ind w:left="0" w:right="1134"/>
        <w:rPr>
          <w:rStyle w:val="default"/>
          <w:rFonts w:cs="FrankRuehl"/>
          <w:sz w:val="26"/>
          <w:rtl/>
        </w:rPr>
      </w:pPr>
      <w:r w:rsidRPr="003D29C2">
        <w:rPr>
          <w:sz w:val="26"/>
          <w:rtl/>
        </w:rPr>
        <w:tab/>
      </w:r>
      <w:r w:rsidRPr="003D29C2">
        <w:rPr>
          <w:rStyle w:val="default"/>
          <w:rFonts w:cs="FrankRuehl"/>
          <w:sz w:val="26"/>
          <w:rtl/>
        </w:rPr>
        <w:t>"</w:t>
      </w:r>
      <w:r w:rsidRPr="003D29C2">
        <w:rPr>
          <w:rStyle w:val="default"/>
          <w:rFonts w:cs="FrankRuehl" w:hint="cs"/>
          <w:sz w:val="26"/>
          <w:rtl/>
        </w:rPr>
        <w:t xml:space="preserve">החלטת רשות הניקוז" </w:t>
      </w:r>
      <w:r w:rsidR="003D29C2">
        <w:rPr>
          <w:rStyle w:val="default"/>
          <w:rFonts w:hint="cs"/>
          <w:sz w:val="26"/>
          <w:rtl/>
        </w:rPr>
        <w:t>-</w:t>
      </w:r>
      <w:r w:rsidRPr="003D29C2">
        <w:rPr>
          <w:rStyle w:val="default"/>
          <w:rFonts w:cs="FrankRuehl" w:hint="cs"/>
          <w:sz w:val="26"/>
          <w:rtl/>
        </w:rPr>
        <w:t xml:space="preserve"> החלטתה של</w:t>
      </w:r>
      <w:r w:rsidRPr="003D29C2">
        <w:rPr>
          <w:rStyle w:val="default"/>
          <w:rFonts w:cs="FrankRuehl"/>
          <w:sz w:val="26"/>
          <w:rtl/>
        </w:rPr>
        <w:t xml:space="preserve"> </w:t>
      </w:r>
      <w:r w:rsidRPr="003D29C2">
        <w:rPr>
          <w:rStyle w:val="default"/>
          <w:rFonts w:cs="FrankRuehl" w:hint="cs"/>
          <w:sz w:val="26"/>
          <w:rtl/>
        </w:rPr>
        <w:t>רשות הניקוז בדבר תביעתו של המבקש;</w:t>
      </w:r>
    </w:p>
    <w:p w:rsidR="00B6323A" w:rsidRPr="003D29C2" w:rsidRDefault="00B6323A" w:rsidP="003D29C2">
      <w:pPr>
        <w:pStyle w:val="P00"/>
        <w:spacing w:before="72"/>
        <w:ind w:left="0" w:right="1134"/>
        <w:rPr>
          <w:rStyle w:val="default"/>
          <w:rFonts w:cs="FrankRuehl"/>
          <w:sz w:val="26"/>
          <w:rtl/>
        </w:rPr>
      </w:pPr>
      <w:r w:rsidRPr="003D29C2">
        <w:rPr>
          <w:sz w:val="26"/>
          <w:rtl/>
        </w:rPr>
        <w:tab/>
      </w:r>
      <w:r w:rsidRPr="003D29C2">
        <w:rPr>
          <w:rStyle w:val="default"/>
          <w:rFonts w:cs="FrankRuehl"/>
          <w:sz w:val="26"/>
          <w:rtl/>
        </w:rPr>
        <w:t>"</w:t>
      </w:r>
      <w:r w:rsidRPr="003D29C2">
        <w:rPr>
          <w:rStyle w:val="default"/>
          <w:rFonts w:cs="FrankRuehl" w:hint="cs"/>
          <w:sz w:val="26"/>
          <w:rtl/>
        </w:rPr>
        <w:t xml:space="preserve">החלטת הנציב" </w:t>
      </w:r>
      <w:r w:rsidR="003D29C2">
        <w:rPr>
          <w:rStyle w:val="default"/>
          <w:rFonts w:hint="cs"/>
          <w:sz w:val="26"/>
          <w:rtl/>
        </w:rPr>
        <w:t>-</w:t>
      </w:r>
      <w:r w:rsidRPr="003D29C2">
        <w:rPr>
          <w:rStyle w:val="default"/>
          <w:rFonts w:cs="FrankRuehl" w:hint="cs"/>
          <w:sz w:val="26"/>
          <w:rtl/>
        </w:rPr>
        <w:t xml:space="preserve"> החלטתו של הנציב בדבר תביעתו של המבקש.</w:t>
      </w:r>
    </w:p>
    <w:p w:rsidR="00B6323A" w:rsidRDefault="00B6323A" w:rsidP="003D29C2">
      <w:pPr>
        <w:pStyle w:val="P00"/>
        <w:spacing w:before="72"/>
        <w:ind w:left="0" w:right="1134"/>
        <w:rPr>
          <w:rStyle w:val="default"/>
          <w:rFonts w:hint="cs"/>
          <w:sz w:val="26"/>
          <w:rtl/>
        </w:rPr>
      </w:pPr>
      <w:bookmarkStart w:id="1" w:name="Seif1"/>
      <w:bookmarkEnd w:id="1"/>
      <w:r w:rsidRPr="003D29C2">
        <w:rPr>
          <w:rFonts w:cs="Miriam"/>
          <w:sz w:val="32"/>
          <w:szCs w:val="32"/>
          <w:lang w:val="he-IL"/>
        </w:rPr>
        <w:pict>
          <v:rect id="_x0000_s1027" style="position:absolute;left:0;text-align:left;margin-left:464.5pt;margin-top:8.05pt;width:75.05pt;height:16pt;z-index:251648000" o:allowincell="f" filled="f" stroked="f" strokecolor="lime" strokeweight=".25pt">
            <v:textbox style="mso-next-textbox:#_x0000_s1027" inset="0,0,0,0">
              <w:txbxContent>
                <w:p w:rsidR="00B6323A" w:rsidRDefault="00B6323A" w:rsidP="003D29C2">
                  <w:pPr>
                    <w:spacing w:line="160" w:lineRule="exact"/>
                    <w:rPr>
                      <w:rFonts w:cs="Miriam"/>
                      <w:noProof/>
                      <w:szCs w:val="18"/>
                      <w:rtl/>
                    </w:rPr>
                  </w:pPr>
                  <w:r>
                    <w:rPr>
                      <w:rFonts w:cs="Miriam"/>
                      <w:szCs w:val="18"/>
                      <w:rtl/>
                    </w:rPr>
                    <w:t>ה</w:t>
                  </w:r>
                  <w:r>
                    <w:rPr>
                      <w:rFonts w:cs="Miriam" w:hint="cs"/>
                      <w:szCs w:val="18"/>
                      <w:rtl/>
                    </w:rPr>
                    <w:t>גשת ערר</w:t>
                  </w:r>
                  <w:r w:rsidR="003D29C2">
                    <w:rPr>
                      <w:rFonts w:cs="Miriam" w:hint="cs"/>
                      <w:szCs w:val="18"/>
                      <w:rtl/>
                    </w:rPr>
                    <w:t xml:space="preserve"> </w:t>
                  </w:r>
                  <w:r>
                    <w:rPr>
                      <w:rFonts w:cs="Miriam"/>
                      <w:szCs w:val="18"/>
                      <w:rtl/>
                    </w:rPr>
                    <w:t>א</w:t>
                  </w:r>
                  <w:r>
                    <w:rPr>
                      <w:rFonts w:cs="Miriam" w:hint="cs"/>
                      <w:szCs w:val="18"/>
                      <w:rtl/>
                    </w:rPr>
                    <w:t>ו בקשה</w:t>
                  </w:r>
                </w:p>
              </w:txbxContent>
            </v:textbox>
            <w10:anchorlock/>
          </v:rect>
        </w:pict>
      </w:r>
      <w:r w:rsidRPr="003D29C2">
        <w:rPr>
          <w:rStyle w:val="big-number"/>
          <w:rFonts w:cs="Miriam"/>
          <w:sz w:val="32"/>
          <w:rtl/>
        </w:rPr>
        <w:t>2</w:t>
      </w:r>
      <w:r w:rsidRPr="003D29C2">
        <w:rPr>
          <w:rStyle w:val="big-number"/>
          <w:rFonts w:cs="FrankRuehl"/>
          <w:sz w:val="26"/>
          <w:szCs w:val="26"/>
          <w:rtl/>
        </w:rPr>
        <w:t>.</w:t>
      </w:r>
      <w:r w:rsidRPr="003D29C2">
        <w:rPr>
          <w:rStyle w:val="big-number"/>
          <w:rFonts w:cs="FrankRuehl"/>
          <w:sz w:val="26"/>
          <w:szCs w:val="26"/>
          <w:rtl/>
        </w:rPr>
        <w:tab/>
      </w:r>
      <w:r w:rsidRPr="003D29C2">
        <w:rPr>
          <w:rStyle w:val="default"/>
          <w:rFonts w:cs="FrankRuehl"/>
          <w:sz w:val="26"/>
          <w:rtl/>
        </w:rPr>
        <w:t>(</w:t>
      </w:r>
      <w:r w:rsidRPr="003D29C2">
        <w:rPr>
          <w:rStyle w:val="default"/>
          <w:rFonts w:cs="FrankRuehl" w:hint="cs"/>
          <w:sz w:val="26"/>
          <w:rtl/>
        </w:rPr>
        <w:t>א)</w:t>
      </w:r>
      <w:r w:rsidRPr="003D29C2">
        <w:rPr>
          <w:rStyle w:val="default"/>
          <w:rFonts w:cs="FrankRuehl"/>
          <w:sz w:val="26"/>
          <w:rtl/>
        </w:rPr>
        <w:tab/>
      </w:r>
      <w:r w:rsidRPr="003D29C2">
        <w:rPr>
          <w:rStyle w:val="default"/>
          <w:rFonts w:cs="FrankRuehl" w:hint="cs"/>
          <w:sz w:val="26"/>
          <w:rtl/>
        </w:rPr>
        <w:t xml:space="preserve">עורר יגיש בחמישה טפסים </w:t>
      </w:r>
      <w:r w:rsidR="003D29C2">
        <w:rPr>
          <w:rStyle w:val="default"/>
          <w:sz w:val="26"/>
          <w:rtl/>
        </w:rPr>
        <w:t>–</w:t>
      </w:r>
    </w:p>
    <w:p w:rsidR="00B6323A" w:rsidRPr="003D29C2" w:rsidRDefault="00B6323A" w:rsidP="003D29C2">
      <w:pPr>
        <w:pStyle w:val="P22"/>
        <w:spacing w:before="72"/>
        <w:ind w:left="1021" w:right="1134"/>
        <w:rPr>
          <w:rStyle w:val="default"/>
          <w:rFonts w:cs="FrankRuehl"/>
          <w:sz w:val="26"/>
          <w:rtl/>
        </w:rPr>
      </w:pPr>
      <w:r w:rsidRPr="003D29C2">
        <w:rPr>
          <w:rStyle w:val="default"/>
          <w:rFonts w:cs="FrankRuehl"/>
          <w:sz w:val="26"/>
          <w:rtl/>
        </w:rPr>
        <w:t>(1)</w:t>
      </w:r>
      <w:r w:rsidRPr="003D29C2">
        <w:rPr>
          <w:rStyle w:val="default"/>
          <w:rFonts w:cs="FrankRuehl"/>
          <w:sz w:val="26"/>
          <w:rtl/>
        </w:rPr>
        <w:tab/>
      </w:r>
      <w:r w:rsidRPr="003D29C2">
        <w:rPr>
          <w:rStyle w:val="default"/>
          <w:rFonts w:cs="FrankRuehl" w:hint="cs"/>
          <w:sz w:val="26"/>
          <w:rtl/>
        </w:rPr>
        <w:t xml:space="preserve">ערר </w:t>
      </w:r>
      <w:r w:rsidR="00576B88">
        <w:rPr>
          <w:rStyle w:val="default"/>
          <w:rFonts w:cs="FrankRuehl" w:hint="cs"/>
          <w:sz w:val="26"/>
          <w:rtl/>
        </w:rPr>
        <w:t>לבית הדין</w:t>
      </w:r>
      <w:r w:rsidRPr="003D29C2">
        <w:rPr>
          <w:rStyle w:val="default"/>
          <w:rFonts w:cs="FrankRuehl" w:hint="cs"/>
          <w:sz w:val="26"/>
          <w:rtl/>
        </w:rPr>
        <w:t xml:space="preserve"> שבאזור שיפוט</w:t>
      </w:r>
      <w:r w:rsidR="00576B88">
        <w:rPr>
          <w:rStyle w:val="default"/>
          <w:rFonts w:cs="FrankRuehl" w:hint="cs"/>
          <w:sz w:val="26"/>
          <w:rtl/>
        </w:rPr>
        <w:t>ו</w:t>
      </w:r>
      <w:r w:rsidRPr="003D29C2">
        <w:rPr>
          <w:rStyle w:val="default"/>
          <w:rFonts w:cs="FrankRuehl" w:hint="cs"/>
          <w:sz w:val="26"/>
          <w:rtl/>
        </w:rPr>
        <w:t xml:space="preserve"> נמצא העורק נשוא הערר;</w:t>
      </w:r>
    </w:p>
    <w:p w:rsidR="00B6323A" w:rsidRPr="003D29C2" w:rsidRDefault="00B6323A" w:rsidP="003D29C2">
      <w:pPr>
        <w:pStyle w:val="P22"/>
        <w:spacing w:before="72"/>
        <w:ind w:left="1021" w:right="1134"/>
        <w:rPr>
          <w:rStyle w:val="default"/>
          <w:rFonts w:cs="FrankRuehl"/>
          <w:sz w:val="26"/>
          <w:rtl/>
        </w:rPr>
      </w:pPr>
      <w:r w:rsidRPr="003D29C2">
        <w:rPr>
          <w:rStyle w:val="default"/>
          <w:rFonts w:cs="FrankRuehl"/>
          <w:sz w:val="26"/>
          <w:rtl/>
        </w:rPr>
        <w:t>(2)</w:t>
      </w:r>
      <w:r w:rsidRPr="003D29C2">
        <w:rPr>
          <w:rStyle w:val="default"/>
          <w:rFonts w:cs="FrankRuehl"/>
          <w:sz w:val="26"/>
          <w:rtl/>
        </w:rPr>
        <w:tab/>
      </w:r>
      <w:r w:rsidRPr="003D29C2">
        <w:rPr>
          <w:rStyle w:val="default"/>
          <w:rFonts w:cs="FrankRuehl" w:hint="cs"/>
          <w:sz w:val="26"/>
          <w:rtl/>
        </w:rPr>
        <w:t xml:space="preserve">ערר על שומה </w:t>
      </w:r>
      <w:r w:rsidR="00576B88">
        <w:rPr>
          <w:rStyle w:val="default"/>
          <w:rFonts w:cs="FrankRuehl" w:hint="cs"/>
          <w:sz w:val="26"/>
          <w:rtl/>
        </w:rPr>
        <w:t>לבית הדין</w:t>
      </w:r>
      <w:r w:rsidRPr="003D29C2">
        <w:rPr>
          <w:rStyle w:val="default"/>
          <w:rFonts w:cs="FrankRuehl" w:hint="cs"/>
          <w:sz w:val="26"/>
          <w:rtl/>
        </w:rPr>
        <w:t xml:space="preserve"> שבאזור שיפוט</w:t>
      </w:r>
      <w:r w:rsidR="00576B88">
        <w:rPr>
          <w:rStyle w:val="default"/>
          <w:rFonts w:cs="FrankRuehl" w:hint="cs"/>
          <w:sz w:val="26"/>
          <w:rtl/>
        </w:rPr>
        <w:t>ו</w:t>
      </w:r>
      <w:r w:rsidRPr="003D29C2">
        <w:rPr>
          <w:rStyle w:val="default"/>
          <w:rFonts w:cs="FrankRuehl" w:hint="cs"/>
          <w:sz w:val="26"/>
          <w:rtl/>
        </w:rPr>
        <w:t xml:space="preserve"> נמצא תחום רשות הניקוז שפרסמה את לוח השומה נשוא </w:t>
      </w:r>
      <w:r w:rsidRPr="003D29C2">
        <w:rPr>
          <w:rStyle w:val="default"/>
          <w:rFonts w:cs="FrankRuehl"/>
          <w:sz w:val="26"/>
          <w:rtl/>
        </w:rPr>
        <w:t>ה</w:t>
      </w:r>
      <w:r w:rsidRPr="003D29C2">
        <w:rPr>
          <w:rStyle w:val="default"/>
          <w:rFonts w:cs="FrankRuehl" w:hint="cs"/>
          <w:sz w:val="26"/>
          <w:rtl/>
        </w:rPr>
        <w:t>ערר.</w:t>
      </w:r>
    </w:p>
    <w:p w:rsidR="00B6323A" w:rsidRPr="003D29C2" w:rsidRDefault="00B6323A" w:rsidP="003D29C2">
      <w:pPr>
        <w:pStyle w:val="P00"/>
        <w:spacing w:before="72"/>
        <w:ind w:left="0" w:right="1134"/>
        <w:rPr>
          <w:rStyle w:val="default"/>
          <w:rFonts w:cs="FrankRuehl"/>
          <w:sz w:val="26"/>
          <w:rtl/>
        </w:rPr>
      </w:pPr>
      <w:r w:rsidRPr="003D29C2">
        <w:rPr>
          <w:sz w:val="26"/>
          <w:rtl/>
        </w:rPr>
        <w:tab/>
      </w:r>
      <w:r w:rsidRPr="003D29C2">
        <w:rPr>
          <w:rStyle w:val="default"/>
          <w:rFonts w:cs="FrankRuehl"/>
          <w:sz w:val="26"/>
          <w:rtl/>
        </w:rPr>
        <w:t>(</w:t>
      </w:r>
      <w:r w:rsidRPr="003D29C2">
        <w:rPr>
          <w:rStyle w:val="default"/>
          <w:rFonts w:cs="FrankRuehl" w:hint="cs"/>
          <w:sz w:val="26"/>
          <w:rtl/>
        </w:rPr>
        <w:t>ב)</w:t>
      </w:r>
      <w:r w:rsidRPr="003D29C2">
        <w:rPr>
          <w:rStyle w:val="default"/>
          <w:rFonts w:cs="FrankRuehl"/>
          <w:sz w:val="26"/>
          <w:rtl/>
        </w:rPr>
        <w:tab/>
      </w:r>
      <w:r w:rsidRPr="003D29C2">
        <w:rPr>
          <w:rStyle w:val="default"/>
          <w:rFonts w:cs="FrankRuehl" w:hint="cs"/>
          <w:sz w:val="26"/>
          <w:rtl/>
        </w:rPr>
        <w:t xml:space="preserve">מבקש יגיש בחמישה טפסים בקשה </w:t>
      </w:r>
      <w:r w:rsidR="00576B88">
        <w:rPr>
          <w:rStyle w:val="default"/>
          <w:rFonts w:cs="FrankRuehl" w:hint="cs"/>
          <w:sz w:val="26"/>
          <w:rtl/>
        </w:rPr>
        <w:t>לבית הדין</w:t>
      </w:r>
      <w:r w:rsidRPr="003D29C2">
        <w:rPr>
          <w:rStyle w:val="default"/>
          <w:rFonts w:cs="FrankRuehl" w:hint="cs"/>
          <w:sz w:val="26"/>
          <w:rtl/>
        </w:rPr>
        <w:t xml:space="preserve"> שבאזור שיפוט</w:t>
      </w:r>
      <w:r w:rsidR="00576B88">
        <w:rPr>
          <w:rStyle w:val="default"/>
          <w:rFonts w:cs="FrankRuehl" w:hint="cs"/>
          <w:sz w:val="26"/>
          <w:rtl/>
        </w:rPr>
        <w:t>ו</w:t>
      </w:r>
      <w:r w:rsidRPr="003D29C2">
        <w:rPr>
          <w:rStyle w:val="default"/>
          <w:rFonts w:cs="FrankRuehl" w:hint="cs"/>
          <w:sz w:val="26"/>
          <w:rtl/>
        </w:rPr>
        <w:t xml:space="preserve"> נגרם הנזק נשוא הסכסוך.</w:t>
      </w:r>
    </w:p>
    <w:p w:rsidR="00B6323A" w:rsidRPr="003D29C2" w:rsidRDefault="00B6323A" w:rsidP="003D29C2">
      <w:pPr>
        <w:pStyle w:val="P00"/>
        <w:spacing w:before="72"/>
        <w:ind w:left="0" w:right="1134"/>
        <w:rPr>
          <w:rStyle w:val="default"/>
          <w:rFonts w:cs="FrankRuehl"/>
          <w:sz w:val="26"/>
          <w:rtl/>
        </w:rPr>
      </w:pPr>
      <w:bookmarkStart w:id="2" w:name="Seif2"/>
      <w:bookmarkEnd w:id="2"/>
      <w:r w:rsidRPr="003D29C2">
        <w:rPr>
          <w:rFonts w:cs="Miriam"/>
          <w:sz w:val="32"/>
          <w:szCs w:val="32"/>
          <w:lang w:val="he-IL"/>
        </w:rPr>
        <w:pict>
          <v:rect id="_x0000_s1028" style="position:absolute;left:0;text-align:left;margin-left:468pt;margin-top:8.05pt;width:71.55pt;height:16.7pt;z-index:251649024" o:allowincell="f" filled="f" stroked="f" strokecolor="lime" strokeweight=".25pt">
            <v:textbox style="mso-next-textbox:#_x0000_s1028" inset="0,0,0,0">
              <w:txbxContent>
                <w:p w:rsidR="00B6323A" w:rsidRDefault="00B6323A">
                  <w:pPr>
                    <w:spacing w:line="160" w:lineRule="exact"/>
                    <w:rPr>
                      <w:rFonts w:cs="Miriam"/>
                      <w:noProof/>
                      <w:szCs w:val="18"/>
                      <w:rtl/>
                    </w:rPr>
                  </w:pPr>
                  <w:r>
                    <w:rPr>
                      <w:rFonts w:cs="Miriam"/>
                      <w:szCs w:val="18"/>
                      <w:rtl/>
                    </w:rPr>
                    <w:t>מ</w:t>
                  </w:r>
                  <w:r>
                    <w:rPr>
                      <w:rFonts w:cs="Miriam" w:hint="cs"/>
                      <w:szCs w:val="18"/>
                      <w:rtl/>
                    </w:rPr>
                    <w:t>ועד להגשת ערר או בקשה</w:t>
                  </w:r>
                </w:p>
              </w:txbxContent>
            </v:textbox>
            <w10:anchorlock/>
          </v:rect>
        </w:pict>
      </w:r>
      <w:r w:rsidRPr="003D29C2">
        <w:rPr>
          <w:rStyle w:val="big-number"/>
          <w:rFonts w:cs="Miriam"/>
          <w:sz w:val="32"/>
          <w:rtl/>
        </w:rPr>
        <w:t>3</w:t>
      </w:r>
      <w:r w:rsidRPr="003D29C2">
        <w:rPr>
          <w:rStyle w:val="big-number"/>
          <w:rFonts w:cs="FrankRuehl"/>
          <w:sz w:val="26"/>
          <w:szCs w:val="26"/>
          <w:rtl/>
        </w:rPr>
        <w:t>.</w:t>
      </w:r>
      <w:r w:rsidRPr="003D29C2">
        <w:rPr>
          <w:rStyle w:val="big-number"/>
          <w:rFonts w:cs="FrankRuehl"/>
          <w:sz w:val="26"/>
          <w:szCs w:val="26"/>
          <w:rtl/>
        </w:rPr>
        <w:tab/>
      </w:r>
      <w:r w:rsidRPr="003D29C2">
        <w:rPr>
          <w:rStyle w:val="default"/>
          <w:rFonts w:cs="FrankRuehl"/>
          <w:sz w:val="26"/>
          <w:rtl/>
        </w:rPr>
        <w:t>(</w:t>
      </w:r>
      <w:r w:rsidRPr="003D29C2">
        <w:rPr>
          <w:rStyle w:val="default"/>
          <w:rFonts w:cs="FrankRuehl" w:hint="cs"/>
          <w:sz w:val="26"/>
          <w:rtl/>
        </w:rPr>
        <w:t>א)</w:t>
      </w:r>
      <w:r w:rsidRPr="003D29C2">
        <w:rPr>
          <w:rStyle w:val="default"/>
          <w:rFonts w:cs="FrankRuehl"/>
          <w:sz w:val="26"/>
          <w:rtl/>
        </w:rPr>
        <w:tab/>
      </w:r>
      <w:r w:rsidRPr="003D29C2">
        <w:rPr>
          <w:rStyle w:val="default"/>
          <w:rFonts w:cs="FrankRuehl" w:hint="cs"/>
          <w:sz w:val="26"/>
          <w:rtl/>
        </w:rPr>
        <w:t>עורר י</w:t>
      </w:r>
      <w:r w:rsidRPr="003D29C2">
        <w:rPr>
          <w:rStyle w:val="default"/>
          <w:rFonts w:cs="FrankRuehl"/>
          <w:sz w:val="26"/>
          <w:rtl/>
        </w:rPr>
        <w:t>ג</w:t>
      </w:r>
      <w:r w:rsidRPr="003D29C2">
        <w:rPr>
          <w:rStyle w:val="default"/>
          <w:rFonts w:cs="FrankRuehl" w:hint="cs"/>
          <w:sz w:val="26"/>
          <w:rtl/>
        </w:rPr>
        <w:t xml:space="preserve">יש ערר תוך שלושים יום מיום מתן היתר על ידי הנציב או מהיום בו נמסרה לעורר הודעה מאת הנציב בדבר סירובו לתת היתר או בדבר ביטולו או שינויו של היתר </w:t>
      </w:r>
      <w:r w:rsidR="003D29C2">
        <w:rPr>
          <w:rStyle w:val="default"/>
          <w:rFonts w:hint="cs"/>
          <w:sz w:val="26"/>
          <w:rtl/>
        </w:rPr>
        <w:t>-</w:t>
      </w:r>
      <w:r w:rsidRPr="003D29C2">
        <w:rPr>
          <w:rStyle w:val="default"/>
          <w:rFonts w:cs="FrankRuehl" w:hint="cs"/>
          <w:sz w:val="26"/>
          <w:rtl/>
        </w:rPr>
        <w:t xml:space="preserve"> ואם הוא עורר על צו שניתן על ידי הנציב לפי סעיף 7 לחוק </w:t>
      </w:r>
      <w:r w:rsidR="003D29C2">
        <w:rPr>
          <w:rStyle w:val="default"/>
          <w:rFonts w:hint="cs"/>
          <w:sz w:val="26"/>
          <w:rtl/>
        </w:rPr>
        <w:t>-</w:t>
      </w:r>
      <w:r w:rsidRPr="003D29C2">
        <w:rPr>
          <w:rStyle w:val="default"/>
          <w:rFonts w:cs="FrankRuehl" w:hint="cs"/>
          <w:sz w:val="26"/>
          <w:rtl/>
        </w:rPr>
        <w:t xml:space="preserve"> יגיש את הערר תוך חמישה עשר יום מהיום בו נמסר לו הצו נ</w:t>
      </w:r>
      <w:r w:rsidRPr="003D29C2">
        <w:rPr>
          <w:rStyle w:val="default"/>
          <w:rFonts w:cs="FrankRuehl"/>
          <w:sz w:val="26"/>
          <w:rtl/>
        </w:rPr>
        <w:t>שו</w:t>
      </w:r>
      <w:r w:rsidRPr="003D29C2">
        <w:rPr>
          <w:rStyle w:val="default"/>
          <w:rFonts w:cs="FrankRuehl" w:hint="cs"/>
          <w:sz w:val="26"/>
          <w:rtl/>
        </w:rPr>
        <w:t>א הערר.</w:t>
      </w:r>
    </w:p>
    <w:p w:rsidR="00B6323A" w:rsidRPr="003D29C2" w:rsidRDefault="00B6323A" w:rsidP="003D29C2">
      <w:pPr>
        <w:pStyle w:val="P00"/>
        <w:spacing w:before="72"/>
        <w:ind w:left="0" w:right="1134"/>
        <w:rPr>
          <w:rStyle w:val="default"/>
          <w:rFonts w:cs="FrankRuehl"/>
          <w:sz w:val="26"/>
          <w:rtl/>
        </w:rPr>
      </w:pPr>
      <w:r w:rsidRPr="003D29C2">
        <w:rPr>
          <w:sz w:val="26"/>
          <w:rtl/>
        </w:rPr>
        <w:tab/>
      </w:r>
      <w:r w:rsidRPr="003D29C2">
        <w:rPr>
          <w:rStyle w:val="default"/>
          <w:rFonts w:cs="FrankRuehl"/>
          <w:sz w:val="26"/>
          <w:rtl/>
        </w:rPr>
        <w:t>(</w:t>
      </w:r>
      <w:r w:rsidRPr="003D29C2">
        <w:rPr>
          <w:rStyle w:val="default"/>
          <w:rFonts w:cs="FrankRuehl" w:hint="cs"/>
          <w:sz w:val="26"/>
          <w:rtl/>
        </w:rPr>
        <w:t>ב)</w:t>
      </w:r>
      <w:r w:rsidRPr="003D29C2">
        <w:rPr>
          <w:rStyle w:val="default"/>
          <w:rFonts w:cs="FrankRuehl"/>
          <w:sz w:val="26"/>
          <w:rtl/>
        </w:rPr>
        <w:tab/>
      </w:r>
      <w:r w:rsidRPr="003D29C2">
        <w:rPr>
          <w:rStyle w:val="default"/>
          <w:rFonts w:cs="FrankRuehl" w:hint="cs"/>
          <w:sz w:val="26"/>
          <w:rtl/>
        </w:rPr>
        <w:t>מבקש יגיש בקשה תוך ששים יום מהיום בו נמסרה לו החלטת רשות הניקוז או החלטת הנציב.</w:t>
      </w:r>
    </w:p>
    <w:p w:rsidR="00B6323A" w:rsidRDefault="00B6323A" w:rsidP="003D29C2">
      <w:pPr>
        <w:pStyle w:val="P00"/>
        <w:spacing w:before="72"/>
        <w:ind w:left="0" w:right="1134"/>
        <w:rPr>
          <w:rStyle w:val="default"/>
          <w:rFonts w:hint="cs"/>
          <w:sz w:val="26"/>
          <w:rtl/>
        </w:rPr>
      </w:pPr>
      <w:bookmarkStart w:id="3" w:name="Seif3"/>
      <w:bookmarkEnd w:id="3"/>
      <w:r w:rsidRPr="003D29C2">
        <w:rPr>
          <w:rFonts w:cs="Miriam"/>
          <w:sz w:val="32"/>
          <w:szCs w:val="32"/>
          <w:lang w:val="he-IL"/>
        </w:rPr>
        <w:pict>
          <v:rect id="_x0000_s1029" style="position:absolute;left:0;text-align:left;margin-left:464.5pt;margin-top:8.05pt;width:75.05pt;height:17.75pt;z-index:251650048" o:allowincell="f" filled="f" stroked="f" strokecolor="lime" strokeweight=".25pt">
            <v:textbox style="mso-next-textbox:#_x0000_s1029" inset="0,0,0,0">
              <w:txbxContent>
                <w:p w:rsidR="00B6323A" w:rsidRDefault="00B6323A" w:rsidP="003D29C2">
                  <w:pPr>
                    <w:spacing w:line="160" w:lineRule="exact"/>
                    <w:rPr>
                      <w:rFonts w:cs="Miriam"/>
                      <w:noProof/>
                      <w:szCs w:val="18"/>
                      <w:rtl/>
                    </w:rPr>
                  </w:pPr>
                  <w:r>
                    <w:rPr>
                      <w:rFonts w:cs="Miriam"/>
                      <w:szCs w:val="18"/>
                      <w:rtl/>
                    </w:rPr>
                    <w:t>פ</w:t>
                  </w:r>
                  <w:r>
                    <w:rPr>
                      <w:rFonts w:cs="Miriam" w:hint="cs"/>
                      <w:szCs w:val="18"/>
                      <w:rtl/>
                    </w:rPr>
                    <w:t>רטי הערר</w:t>
                  </w:r>
                  <w:r w:rsidR="003D29C2">
                    <w:rPr>
                      <w:rFonts w:cs="Miriam" w:hint="cs"/>
                      <w:szCs w:val="18"/>
                      <w:rtl/>
                    </w:rPr>
                    <w:t xml:space="preserve"> </w:t>
                  </w:r>
                  <w:r>
                    <w:rPr>
                      <w:rFonts w:cs="Miriam"/>
                      <w:szCs w:val="18"/>
                      <w:rtl/>
                    </w:rPr>
                    <w:t>א</w:t>
                  </w:r>
                  <w:r>
                    <w:rPr>
                      <w:rFonts w:cs="Miriam" w:hint="cs"/>
                      <w:szCs w:val="18"/>
                      <w:rtl/>
                    </w:rPr>
                    <w:t>ו הבקשה</w:t>
                  </w:r>
                </w:p>
              </w:txbxContent>
            </v:textbox>
            <w10:anchorlock/>
          </v:rect>
        </w:pict>
      </w:r>
      <w:r w:rsidRPr="003D29C2">
        <w:rPr>
          <w:rStyle w:val="big-number"/>
          <w:rFonts w:cs="Miriam"/>
          <w:sz w:val="32"/>
          <w:rtl/>
        </w:rPr>
        <w:t>4</w:t>
      </w:r>
      <w:r w:rsidRPr="003D29C2">
        <w:rPr>
          <w:rStyle w:val="big-number"/>
          <w:rFonts w:cs="FrankRuehl"/>
          <w:sz w:val="26"/>
          <w:szCs w:val="26"/>
          <w:rtl/>
        </w:rPr>
        <w:t>.</w:t>
      </w:r>
      <w:r w:rsidRPr="003D29C2">
        <w:rPr>
          <w:rStyle w:val="big-number"/>
          <w:rFonts w:cs="FrankRuehl"/>
          <w:sz w:val="26"/>
          <w:szCs w:val="26"/>
          <w:rtl/>
        </w:rPr>
        <w:tab/>
      </w:r>
      <w:r w:rsidRPr="003D29C2">
        <w:rPr>
          <w:rStyle w:val="default"/>
          <w:rFonts w:cs="FrankRuehl"/>
          <w:sz w:val="26"/>
          <w:rtl/>
        </w:rPr>
        <w:t>ב</w:t>
      </w:r>
      <w:r w:rsidRPr="003D29C2">
        <w:rPr>
          <w:rStyle w:val="default"/>
          <w:rFonts w:cs="FrankRuehl" w:hint="cs"/>
          <w:sz w:val="26"/>
          <w:rtl/>
        </w:rPr>
        <w:t xml:space="preserve">ערר, בערר על שומה או בבקשה יפורטו </w:t>
      </w:r>
      <w:r w:rsidR="003D29C2">
        <w:rPr>
          <w:rStyle w:val="default"/>
          <w:sz w:val="26"/>
          <w:rtl/>
        </w:rPr>
        <w:t>–</w:t>
      </w:r>
    </w:p>
    <w:p w:rsidR="00B6323A" w:rsidRPr="003D29C2" w:rsidRDefault="00B6323A" w:rsidP="009E5690">
      <w:pPr>
        <w:pStyle w:val="P22"/>
        <w:tabs>
          <w:tab w:val="left" w:pos="624"/>
          <w:tab w:val="left" w:pos="1021"/>
        </w:tabs>
        <w:spacing w:before="72"/>
        <w:ind w:left="624" w:right="1134"/>
        <w:rPr>
          <w:rStyle w:val="default"/>
          <w:rFonts w:cs="FrankRuehl"/>
          <w:sz w:val="26"/>
          <w:rtl/>
        </w:rPr>
      </w:pPr>
      <w:r w:rsidRPr="003D29C2">
        <w:rPr>
          <w:rStyle w:val="default"/>
          <w:rFonts w:cs="FrankRuehl"/>
          <w:sz w:val="26"/>
          <w:rtl/>
        </w:rPr>
        <w:t>(1)</w:t>
      </w:r>
      <w:r w:rsidRPr="003D29C2">
        <w:rPr>
          <w:rStyle w:val="default"/>
          <w:rFonts w:cs="FrankRuehl"/>
          <w:sz w:val="26"/>
          <w:rtl/>
        </w:rPr>
        <w:tab/>
      </w:r>
      <w:r w:rsidRPr="003D29C2">
        <w:rPr>
          <w:rStyle w:val="default"/>
          <w:rFonts w:cs="FrankRuehl" w:hint="cs"/>
          <w:sz w:val="26"/>
          <w:rtl/>
        </w:rPr>
        <w:t>שמו של העורר או של המבקש, תיאורו, משלח ידו, מענו והמען למסירת מסמכים;</w:t>
      </w:r>
    </w:p>
    <w:p w:rsidR="00B6323A" w:rsidRPr="003D29C2" w:rsidRDefault="00B6323A" w:rsidP="009E5690">
      <w:pPr>
        <w:pStyle w:val="P22"/>
        <w:tabs>
          <w:tab w:val="left" w:pos="624"/>
          <w:tab w:val="left" w:pos="1021"/>
        </w:tabs>
        <w:spacing w:before="72"/>
        <w:ind w:left="624" w:right="1134"/>
        <w:rPr>
          <w:rStyle w:val="default"/>
          <w:rFonts w:cs="FrankRuehl"/>
          <w:sz w:val="26"/>
          <w:rtl/>
        </w:rPr>
      </w:pPr>
      <w:r w:rsidRPr="003D29C2">
        <w:rPr>
          <w:rStyle w:val="default"/>
          <w:rFonts w:cs="FrankRuehl"/>
          <w:sz w:val="26"/>
          <w:rtl/>
        </w:rPr>
        <w:t>(2)</w:t>
      </w:r>
      <w:r w:rsidRPr="003D29C2">
        <w:rPr>
          <w:rStyle w:val="default"/>
          <w:rFonts w:cs="FrankRuehl"/>
          <w:sz w:val="26"/>
          <w:rtl/>
        </w:rPr>
        <w:tab/>
      </w:r>
      <w:r w:rsidRPr="003D29C2">
        <w:rPr>
          <w:rStyle w:val="default"/>
          <w:rFonts w:cs="FrankRuehl" w:hint="cs"/>
          <w:sz w:val="26"/>
          <w:rtl/>
        </w:rPr>
        <w:t>הנימוקים שעליהם מבסס העורר את עררו או המבקש</w:t>
      </w:r>
      <w:r w:rsidRPr="003D29C2">
        <w:rPr>
          <w:rStyle w:val="default"/>
          <w:rFonts w:cs="FrankRuehl"/>
          <w:sz w:val="26"/>
          <w:rtl/>
        </w:rPr>
        <w:t xml:space="preserve"> </w:t>
      </w:r>
      <w:r w:rsidRPr="003D29C2">
        <w:rPr>
          <w:rStyle w:val="default"/>
          <w:rFonts w:cs="FrankRuehl" w:hint="cs"/>
          <w:sz w:val="26"/>
          <w:rtl/>
        </w:rPr>
        <w:t>את בקשתו, לרבות נימוקים משפטיים, כל נימוק בפסקה מיוחדת ובקיצור;</w:t>
      </w:r>
    </w:p>
    <w:p w:rsidR="00B6323A" w:rsidRPr="003D29C2" w:rsidRDefault="00B6323A" w:rsidP="009E5690">
      <w:pPr>
        <w:pStyle w:val="P22"/>
        <w:tabs>
          <w:tab w:val="left" w:pos="624"/>
          <w:tab w:val="left" w:pos="1021"/>
        </w:tabs>
        <w:spacing w:before="72"/>
        <w:ind w:left="624" w:right="1134"/>
        <w:rPr>
          <w:rStyle w:val="default"/>
          <w:rFonts w:cs="FrankRuehl"/>
          <w:sz w:val="26"/>
          <w:rtl/>
        </w:rPr>
      </w:pPr>
      <w:r w:rsidRPr="003D29C2">
        <w:rPr>
          <w:rStyle w:val="default"/>
          <w:rFonts w:cs="FrankRuehl"/>
          <w:sz w:val="26"/>
          <w:rtl/>
        </w:rPr>
        <w:t>(3)</w:t>
      </w:r>
      <w:r w:rsidRPr="003D29C2">
        <w:rPr>
          <w:rStyle w:val="default"/>
          <w:rFonts w:cs="FrankRuehl"/>
          <w:sz w:val="26"/>
          <w:rtl/>
        </w:rPr>
        <w:tab/>
      </w:r>
      <w:r w:rsidRPr="003D29C2">
        <w:rPr>
          <w:rStyle w:val="default"/>
          <w:rFonts w:cs="FrankRuehl" w:hint="cs"/>
          <w:sz w:val="26"/>
          <w:rtl/>
        </w:rPr>
        <w:t>הסעד המבוקש.</w:t>
      </w:r>
    </w:p>
    <w:p w:rsidR="00B6323A" w:rsidRDefault="00B6323A" w:rsidP="003D29C2">
      <w:pPr>
        <w:pStyle w:val="P00"/>
        <w:spacing w:before="72"/>
        <w:ind w:left="0" w:right="1134"/>
        <w:rPr>
          <w:rStyle w:val="default"/>
          <w:rFonts w:hint="cs"/>
          <w:sz w:val="26"/>
          <w:rtl/>
        </w:rPr>
      </w:pPr>
      <w:bookmarkStart w:id="4" w:name="Seif4"/>
      <w:bookmarkEnd w:id="4"/>
      <w:r w:rsidRPr="003D29C2">
        <w:rPr>
          <w:rFonts w:cs="Miriam"/>
          <w:sz w:val="32"/>
          <w:szCs w:val="32"/>
          <w:lang w:val="he-IL"/>
        </w:rPr>
        <w:pict>
          <v:rect id="_x0000_s1030" style="position:absolute;left:0;text-align:left;margin-left:464.5pt;margin-top:8.05pt;width:75.05pt;height:11.65pt;z-index:251651072" o:allowincell="f" filled="f" stroked="f" strokecolor="lime" strokeweight=".25pt">
            <v:textbox style="mso-next-textbox:#_x0000_s1030" inset="0,0,0,0">
              <w:txbxContent>
                <w:p w:rsidR="00B6323A" w:rsidRDefault="00B6323A">
                  <w:pPr>
                    <w:spacing w:line="160" w:lineRule="exact"/>
                    <w:rPr>
                      <w:rFonts w:cs="Miriam"/>
                      <w:noProof/>
                      <w:szCs w:val="18"/>
                      <w:rtl/>
                    </w:rPr>
                  </w:pPr>
                  <w:r>
                    <w:rPr>
                      <w:rFonts w:cs="Miriam"/>
                      <w:szCs w:val="18"/>
                      <w:rtl/>
                    </w:rPr>
                    <w:t>צ</w:t>
                  </w:r>
                  <w:r>
                    <w:rPr>
                      <w:rFonts w:cs="Miriam" w:hint="cs"/>
                      <w:szCs w:val="18"/>
                      <w:rtl/>
                    </w:rPr>
                    <w:t>ירוף מסמכים</w:t>
                  </w:r>
                </w:p>
              </w:txbxContent>
            </v:textbox>
            <w10:anchorlock/>
          </v:rect>
        </w:pict>
      </w:r>
      <w:r w:rsidRPr="003D29C2">
        <w:rPr>
          <w:rStyle w:val="big-number"/>
          <w:rFonts w:cs="Miriam"/>
          <w:sz w:val="32"/>
          <w:rtl/>
        </w:rPr>
        <w:t>5</w:t>
      </w:r>
      <w:r w:rsidRPr="003D29C2">
        <w:rPr>
          <w:rStyle w:val="big-number"/>
          <w:rFonts w:cs="FrankRuehl"/>
          <w:sz w:val="26"/>
          <w:szCs w:val="26"/>
          <w:rtl/>
        </w:rPr>
        <w:t>.</w:t>
      </w:r>
      <w:r w:rsidRPr="003D29C2">
        <w:rPr>
          <w:rStyle w:val="big-number"/>
          <w:rFonts w:cs="FrankRuehl"/>
          <w:sz w:val="26"/>
          <w:szCs w:val="26"/>
          <w:rtl/>
        </w:rPr>
        <w:tab/>
      </w:r>
      <w:r w:rsidRPr="003D29C2">
        <w:rPr>
          <w:rStyle w:val="default"/>
          <w:rFonts w:cs="FrankRuehl"/>
          <w:sz w:val="26"/>
          <w:rtl/>
        </w:rPr>
        <w:t>ל</w:t>
      </w:r>
      <w:r w:rsidRPr="003D29C2">
        <w:rPr>
          <w:rStyle w:val="default"/>
          <w:rFonts w:cs="FrankRuehl" w:hint="cs"/>
          <w:sz w:val="26"/>
          <w:rtl/>
        </w:rPr>
        <w:t xml:space="preserve">ערר, לערר על שומה או לבקשה יצורפו </w:t>
      </w:r>
      <w:r w:rsidR="003D29C2">
        <w:rPr>
          <w:rStyle w:val="default"/>
          <w:sz w:val="26"/>
          <w:rtl/>
        </w:rPr>
        <w:t>–</w:t>
      </w:r>
    </w:p>
    <w:p w:rsidR="00B6323A" w:rsidRPr="003D29C2" w:rsidRDefault="00B6323A" w:rsidP="009E5690">
      <w:pPr>
        <w:pStyle w:val="P22"/>
        <w:tabs>
          <w:tab w:val="left" w:pos="624"/>
          <w:tab w:val="left" w:pos="1021"/>
        </w:tabs>
        <w:spacing w:before="72"/>
        <w:ind w:left="624" w:right="1134"/>
        <w:rPr>
          <w:rStyle w:val="default"/>
          <w:rFonts w:cs="FrankRuehl"/>
          <w:sz w:val="26"/>
          <w:rtl/>
        </w:rPr>
      </w:pPr>
      <w:r w:rsidRPr="003D29C2">
        <w:rPr>
          <w:rStyle w:val="default"/>
          <w:rFonts w:cs="FrankRuehl"/>
          <w:sz w:val="26"/>
          <w:rtl/>
        </w:rPr>
        <w:t>(1)</w:t>
      </w:r>
      <w:r w:rsidRPr="003D29C2">
        <w:rPr>
          <w:rStyle w:val="default"/>
          <w:rFonts w:cs="FrankRuehl"/>
          <w:sz w:val="26"/>
          <w:rtl/>
        </w:rPr>
        <w:tab/>
      </w:r>
      <w:r w:rsidRPr="003D29C2">
        <w:rPr>
          <w:rStyle w:val="default"/>
          <w:rFonts w:cs="FrankRuehl" w:hint="cs"/>
          <w:sz w:val="26"/>
          <w:rtl/>
        </w:rPr>
        <w:t>הצהרות לאימות העובדות שעליהן מסתמך העורר או המבקש;</w:t>
      </w:r>
    </w:p>
    <w:p w:rsidR="00B6323A" w:rsidRPr="003D29C2" w:rsidRDefault="009E5690" w:rsidP="009E5690">
      <w:pPr>
        <w:pStyle w:val="P22"/>
        <w:tabs>
          <w:tab w:val="left" w:pos="624"/>
          <w:tab w:val="left" w:pos="1021"/>
        </w:tabs>
        <w:spacing w:before="72"/>
        <w:ind w:left="1021" w:right="1134" w:hanging="397"/>
        <w:rPr>
          <w:rStyle w:val="default"/>
          <w:rFonts w:cs="FrankRuehl"/>
          <w:sz w:val="26"/>
          <w:rtl/>
        </w:rPr>
      </w:pPr>
      <w:r w:rsidRPr="009E5690">
        <w:rPr>
          <w:rStyle w:val="default"/>
          <w:rFonts w:cs="FrankRuehl"/>
          <w:sz w:val="26"/>
          <w:rtl/>
        </w:rPr>
        <w:t>(</w:t>
      </w:r>
      <w:r>
        <w:rPr>
          <w:rStyle w:val="default"/>
          <w:rFonts w:cs="FrankRuehl" w:hint="cs"/>
          <w:sz w:val="26"/>
          <w:rtl/>
        </w:rPr>
        <w:t>2</w:t>
      </w:r>
      <w:r w:rsidRPr="009E5690">
        <w:rPr>
          <w:rStyle w:val="default"/>
          <w:rFonts w:cs="FrankRuehl" w:hint="cs"/>
          <w:sz w:val="26"/>
          <w:rtl/>
        </w:rPr>
        <w:t>)</w:t>
      </w:r>
      <w:r w:rsidRPr="009E5690">
        <w:rPr>
          <w:rStyle w:val="default"/>
          <w:rFonts w:cs="FrankRuehl"/>
          <w:sz w:val="26"/>
          <w:rtl/>
        </w:rPr>
        <w:tab/>
      </w:r>
      <w:r w:rsidR="00B6323A" w:rsidRPr="003D29C2">
        <w:rPr>
          <w:rStyle w:val="default"/>
          <w:rFonts w:cs="FrankRuehl" w:hint="cs"/>
          <w:sz w:val="26"/>
          <w:rtl/>
        </w:rPr>
        <w:t>(א)</w:t>
      </w:r>
      <w:r w:rsidR="00B6323A" w:rsidRPr="003D29C2">
        <w:rPr>
          <w:rStyle w:val="default"/>
          <w:rFonts w:cs="FrankRuehl"/>
          <w:sz w:val="26"/>
          <w:rtl/>
        </w:rPr>
        <w:tab/>
      </w:r>
      <w:r w:rsidR="00B6323A" w:rsidRPr="003D29C2">
        <w:rPr>
          <w:rStyle w:val="default"/>
          <w:rFonts w:cs="FrankRuehl" w:hint="cs"/>
          <w:sz w:val="26"/>
          <w:rtl/>
        </w:rPr>
        <w:t xml:space="preserve">בערר </w:t>
      </w:r>
      <w:r w:rsidR="003D29C2">
        <w:rPr>
          <w:rStyle w:val="default"/>
          <w:rFonts w:hint="cs"/>
          <w:sz w:val="26"/>
          <w:rtl/>
        </w:rPr>
        <w:t>-</w:t>
      </w:r>
      <w:r w:rsidR="00B6323A" w:rsidRPr="003D29C2">
        <w:rPr>
          <w:rStyle w:val="default"/>
          <w:rFonts w:cs="FrankRuehl" w:hint="cs"/>
          <w:sz w:val="26"/>
          <w:rtl/>
        </w:rPr>
        <w:t xml:space="preserve"> העתק ההיתר או הצו עליהם עוררים או העתק הודעת </w:t>
      </w:r>
      <w:r>
        <w:rPr>
          <w:rStyle w:val="default"/>
          <w:rFonts w:cs="FrankRuehl" w:hint="cs"/>
          <w:sz w:val="26"/>
          <w:rtl/>
        </w:rPr>
        <w:t>הנציב</w:t>
      </w:r>
      <w:r w:rsidR="00B6323A" w:rsidRPr="003D29C2">
        <w:rPr>
          <w:rStyle w:val="default"/>
          <w:rFonts w:cs="FrankRuehl" w:hint="cs"/>
          <w:sz w:val="26"/>
          <w:rtl/>
        </w:rPr>
        <w:t xml:space="preserve"> בדבר סירוב</w:t>
      </w:r>
      <w:r w:rsidR="00B6323A" w:rsidRPr="003D29C2">
        <w:rPr>
          <w:rStyle w:val="default"/>
          <w:rFonts w:cs="FrankRuehl"/>
          <w:sz w:val="26"/>
          <w:rtl/>
        </w:rPr>
        <w:t>ו</w:t>
      </w:r>
      <w:r w:rsidR="00B6323A" w:rsidRPr="003D29C2">
        <w:rPr>
          <w:rStyle w:val="default"/>
          <w:rFonts w:cs="FrankRuehl" w:hint="cs"/>
          <w:sz w:val="26"/>
          <w:rtl/>
        </w:rPr>
        <w:t xml:space="preserve"> לתת היתר או בדבר ביטולו או שינויו של היתר;</w:t>
      </w:r>
    </w:p>
    <w:p w:rsidR="00B6323A" w:rsidRPr="003D29C2" w:rsidRDefault="00B6323A" w:rsidP="009E5690">
      <w:pPr>
        <w:pStyle w:val="P22"/>
        <w:tabs>
          <w:tab w:val="left" w:pos="624"/>
          <w:tab w:val="left" w:pos="1021"/>
        </w:tabs>
        <w:spacing w:before="72"/>
        <w:ind w:left="1021" w:right="1134"/>
        <w:rPr>
          <w:rStyle w:val="default"/>
          <w:rFonts w:cs="FrankRuehl"/>
          <w:sz w:val="26"/>
          <w:rtl/>
        </w:rPr>
      </w:pPr>
      <w:r w:rsidRPr="003D29C2">
        <w:rPr>
          <w:rStyle w:val="default"/>
          <w:rFonts w:cs="FrankRuehl"/>
          <w:sz w:val="26"/>
          <w:rtl/>
        </w:rPr>
        <w:t>(</w:t>
      </w:r>
      <w:r w:rsidRPr="003D29C2">
        <w:rPr>
          <w:rStyle w:val="default"/>
          <w:rFonts w:cs="FrankRuehl" w:hint="cs"/>
          <w:sz w:val="26"/>
          <w:rtl/>
        </w:rPr>
        <w:t>ב)</w:t>
      </w:r>
      <w:r w:rsidRPr="003D29C2">
        <w:rPr>
          <w:rStyle w:val="default"/>
          <w:rFonts w:cs="FrankRuehl"/>
          <w:sz w:val="26"/>
          <w:rtl/>
        </w:rPr>
        <w:tab/>
      </w:r>
      <w:r w:rsidRPr="003D29C2">
        <w:rPr>
          <w:rStyle w:val="default"/>
          <w:rFonts w:cs="FrankRuehl" w:hint="cs"/>
          <w:sz w:val="26"/>
          <w:rtl/>
        </w:rPr>
        <w:t xml:space="preserve">בבקשה </w:t>
      </w:r>
      <w:r w:rsidR="003D29C2">
        <w:rPr>
          <w:rStyle w:val="default"/>
          <w:rFonts w:hint="cs"/>
          <w:sz w:val="26"/>
          <w:rtl/>
        </w:rPr>
        <w:t>-</w:t>
      </w:r>
      <w:r w:rsidRPr="003D29C2">
        <w:rPr>
          <w:rStyle w:val="default"/>
          <w:rFonts w:cs="FrankRuehl" w:hint="cs"/>
          <w:sz w:val="26"/>
          <w:rtl/>
        </w:rPr>
        <w:t xml:space="preserve"> העתק החלטת רשות הניקוז או העתק החלטת </w:t>
      </w:r>
      <w:r w:rsidR="009E5690">
        <w:rPr>
          <w:rStyle w:val="default"/>
          <w:rFonts w:cs="FrankRuehl" w:hint="cs"/>
          <w:sz w:val="26"/>
          <w:rtl/>
        </w:rPr>
        <w:t>הנציב</w:t>
      </w:r>
      <w:r w:rsidRPr="003D29C2">
        <w:rPr>
          <w:rStyle w:val="default"/>
          <w:rFonts w:cs="FrankRuehl" w:hint="cs"/>
          <w:sz w:val="26"/>
          <w:rtl/>
        </w:rPr>
        <w:t>, הכל לפי הענין;</w:t>
      </w:r>
    </w:p>
    <w:p w:rsidR="00B6323A" w:rsidRDefault="00B6323A" w:rsidP="009E5690">
      <w:pPr>
        <w:pStyle w:val="P22"/>
        <w:tabs>
          <w:tab w:val="left" w:pos="624"/>
          <w:tab w:val="left" w:pos="1021"/>
        </w:tabs>
        <w:spacing w:before="72"/>
        <w:ind w:left="624" w:right="1134"/>
        <w:rPr>
          <w:rStyle w:val="default"/>
          <w:rFonts w:hint="cs"/>
          <w:sz w:val="26"/>
          <w:rtl/>
        </w:rPr>
      </w:pPr>
      <w:r w:rsidRPr="003D29C2">
        <w:rPr>
          <w:rStyle w:val="default"/>
          <w:rFonts w:cs="FrankRuehl"/>
          <w:sz w:val="26"/>
          <w:rtl/>
        </w:rPr>
        <w:lastRenderedPageBreak/>
        <w:t>(3)</w:t>
      </w:r>
      <w:r w:rsidRPr="003D29C2">
        <w:rPr>
          <w:rStyle w:val="default"/>
          <w:rFonts w:cs="FrankRuehl"/>
          <w:sz w:val="26"/>
          <w:rtl/>
        </w:rPr>
        <w:tab/>
      </w:r>
      <w:r w:rsidRPr="003D29C2">
        <w:rPr>
          <w:rStyle w:val="default"/>
          <w:rFonts w:cs="FrankRuehl" w:hint="cs"/>
          <w:sz w:val="26"/>
          <w:rtl/>
        </w:rPr>
        <w:t xml:space="preserve">מסמכים המוכיחים את בעלותו או חזקתו </w:t>
      </w:r>
      <w:r w:rsidR="003D29C2">
        <w:rPr>
          <w:rStyle w:val="default"/>
          <w:sz w:val="26"/>
          <w:rtl/>
        </w:rPr>
        <w:t>–</w:t>
      </w:r>
    </w:p>
    <w:p w:rsidR="00B6323A" w:rsidRPr="003D29C2" w:rsidRDefault="00B6323A" w:rsidP="009E5690">
      <w:pPr>
        <w:pStyle w:val="P22"/>
        <w:tabs>
          <w:tab w:val="left" w:pos="624"/>
          <w:tab w:val="left" w:pos="1021"/>
        </w:tabs>
        <w:spacing w:before="72"/>
        <w:ind w:left="1021" w:right="1134"/>
        <w:rPr>
          <w:rStyle w:val="default"/>
          <w:rFonts w:cs="FrankRuehl"/>
          <w:sz w:val="26"/>
          <w:rtl/>
        </w:rPr>
      </w:pPr>
      <w:r w:rsidRPr="003D29C2">
        <w:rPr>
          <w:rStyle w:val="default"/>
          <w:rFonts w:cs="FrankRuehl"/>
          <w:sz w:val="26"/>
          <w:rtl/>
        </w:rPr>
        <w:t>(</w:t>
      </w:r>
      <w:r w:rsidRPr="003D29C2">
        <w:rPr>
          <w:rStyle w:val="default"/>
          <w:rFonts w:cs="FrankRuehl" w:hint="cs"/>
          <w:sz w:val="26"/>
          <w:rtl/>
        </w:rPr>
        <w:t>א)</w:t>
      </w:r>
      <w:r w:rsidRPr="003D29C2">
        <w:rPr>
          <w:rStyle w:val="default"/>
          <w:rFonts w:cs="FrankRuehl"/>
          <w:sz w:val="26"/>
          <w:rtl/>
        </w:rPr>
        <w:tab/>
      </w:r>
      <w:r w:rsidRPr="003D29C2">
        <w:rPr>
          <w:rStyle w:val="default"/>
          <w:rFonts w:cs="FrankRuehl" w:hint="cs"/>
          <w:sz w:val="26"/>
          <w:rtl/>
        </w:rPr>
        <w:t xml:space="preserve">בערר או בבקשה </w:t>
      </w:r>
      <w:r w:rsidR="003D29C2" w:rsidRPr="009E5690">
        <w:rPr>
          <w:rStyle w:val="default"/>
          <w:rFonts w:cs="FrankRuehl" w:hint="cs"/>
          <w:sz w:val="26"/>
          <w:rtl/>
        </w:rPr>
        <w:t>-</w:t>
      </w:r>
      <w:r w:rsidRPr="003D29C2">
        <w:rPr>
          <w:rStyle w:val="default"/>
          <w:rFonts w:cs="FrankRuehl" w:hint="cs"/>
          <w:sz w:val="26"/>
          <w:rtl/>
        </w:rPr>
        <w:t xml:space="preserve"> של העורר או של המבקש על המקרקעים, המיתקנים והמבנים נשוא הערר או הבקשה;</w:t>
      </w:r>
    </w:p>
    <w:p w:rsidR="00B6323A" w:rsidRPr="003D29C2" w:rsidRDefault="00B6323A" w:rsidP="009E5690">
      <w:pPr>
        <w:pStyle w:val="P22"/>
        <w:tabs>
          <w:tab w:val="left" w:pos="624"/>
          <w:tab w:val="left" w:pos="1021"/>
        </w:tabs>
        <w:spacing w:before="72"/>
        <w:ind w:left="1021" w:right="1134"/>
        <w:rPr>
          <w:rStyle w:val="default"/>
          <w:rFonts w:cs="FrankRuehl"/>
          <w:sz w:val="26"/>
          <w:rtl/>
        </w:rPr>
      </w:pPr>
      <w:r w:rsidRPr="003D29C2">
        <w:rPr>
          <w:rStyle w:val="default"/>
          <w:rFonts w:cs="FrankRuehl"/>
          <w:sz w:val="26"/>
          <w:rtl/>
        </w:rPr>
        <w:t>(</w:t>
      </w:r>
      <w:r w:rsidRPr="003D29C2">
        <w:rPr>
          <w:rStyle w:val="default"/>
          <w:rFonts w:cs="FrankRuehl" w:hint="cs"/>
          <w:sz w:val="26"/>
          <w:rtl/>
        </w:rPr>
        <w:t>ב)</w:t>
      </w:r>
      <w:r w:rsidRPr="003D29C2">
        <w:rPr>
          <w:rStyle w:val="default"/>
          <w:rFonts w:cs="FrankRuehl"/>
          <w:sz w:val="26"/>
          <w:rtl/>
        </w:rPr>
        <w:tab/>
      </w:r>
      <w:r w:rsidRPr="003D29C2">
        <w:rPr>
          <w:rStyle w:val="default"/>
          <w:rFonts w:cs="FrankRuehl" w:hint="cs"/>
          <w:sz w:val="26"/>
          <w:rtl/>
        </w:rPr>
        <w:t>בערר</w:t>
      </w:r>
      <w:r w:rsidRPr="003D29C2">
        <w:rPr>
          <w:rStyle w:val="default"/>
          <w:rFonts w:cs="FrankRuehl"/>
          <w:sz w:val="26"/>
          <w:rtl/>
        </w:rPr>
        <w:t xml:space="preserve"> </w:t>
      </w:r>
      <w:r w:rsidRPr="003D29C2">
        <w:rPr>
          <w:rStyle w:val="default"/>
          <w:rFonts w:cs="FrankRuehl" w:hint="cs"/>
          <w:sz w:val="26"/>
          <w:rtl/>
        </w:rPr>
        <w:t xml:space="preserve">על שומה </w:t>
      </w:r>
      <w:r w:rsidR="003D29C2" w:rsidRPr="009E5690">
        <w:rPr>
          <w:rStyle w:val="default"/>
          <w:rFonts w:cs="FrankRuehl" w:hint="cs"/>
          <w:sz w:val="26"/>
          <w:rtl/>
        </w:rPr>
        <w:t>-</w:t>
      </w:r>
      <w:r w:rsidRPr="003D29C2">
        <w:rPr>
          <w:rStyle w:val="default"/>
          <w:rFonts w:cs="FrankRuehl" w:hint="cs"/>
          <w:sz w:val="26"/>
          <w:rtl/>
        </w:rPr>
        <w:t xml:space="preserve"> של העורר על המקרקעים שעליהם תוטל ארנונת ניקוז;</w:t>
      </w:r>
    </w:p>
    <w:p w:rsidR="00B6323A" w:rsidRDefault="00B6323A" w:rsidP="009E5690">
      <w:pPr>
        <w:pStyle w:val="P22"/>
        <w:tabs>
          <w:tab w:val="left" w:pos="624"/>
          <w:tab w:val="left" w:pos="1021"/>
        </w:tabs>
        <w:spacing w:before="72"/>
        <w:ind w:left="624" w:right="1134"/>
        <w:rPr>
          <w:rStyle w:val="default"/>
          <w:rFonts w:cs="FrankRuehl"/>
          <w:sz w:val="26"/>
          <w:rtl/>
        </w:rPr>
      </w:pPr>
      <w:r w:rsidRPr="003D29C2">
        <w:rPr>
          <w:rStyle w:val="default"/>
          <w:rFonts w:cs="FrankRuehl"/>
          <w:sz w:val="26"/>
          <w:rtl/>
        </w:rPr>
        <w:t>(4)</w:t>
      </w:r>
      <w:r w:rsidRPr="003D29C2">
        <w:rPr>
          <w:rStyle w:val="default"/>
          <w:rFonts w:cs="FrankRuehl"/>
          <w:sz w:val="26"/>
          <w:rtl/>
        </w:rPr>
        <w:tab/>
      </w:r>
      <w:r w:rsidRPr="003D29C2">
        <w:rPr>
          <w:rStyle w:val="default"/>
          <w:rFonts w:cs="FrankRuehl" w:hint="cs"/>
          <w:sz w:val="26"/>
          <w:rtl/>
        </w:rPr>
        <w:t>תשריטים המתארים את המקרקעים, המיתקנים והמבנים נשוא הערר או הבקשה בציון גושים וחלקות.</w:t>
      </w:r>
    </w:p>
    <w:p w:rsidR="00B6323A" w:rsidRPr="003D29C2" w:rsidRDefault="00B6323A" w:rsidP="003D29C2">
      <w:pPr>
        <w:pStyle w:val="P00"/>
        <w:spacing w:before="72"/>
        <w:ind w:left="0" w:right="1134"/>
        <w:rPr>
          <w:rStyle w:val="default"/>
          <w:rFonts w:cs="FrankRuehl"/>
          <w:sz w:val="26"/>
          <w:rtl/>
        </w:rPr>
      </w:pPr>
      <w:bookmarkStart w:id="5" w:name="Seif5"/>
      <w:bookmarkEnd w:id="5"/>
      <w:r w:rsidRPr="003D29C2">
        <w:rPr>
          <w:rFonts w:cs="Miriam"/>
          <w:sz w:val="32"/>
          <w:szCs w:val="32"/>
          <w:lang w:val="he-IL"/>
        </w:rPr>
        <w:pict>
          <v:rect id="_x0000_s1031" style="position:absolute;left:0;text-align:left;margin-left:464.5pt;margin-top:8.05pt;width:75.05pt;height:23.55pt;z-index:251652096" o:allowincell="f" filled="f" stroked="f" strokecolor="lime" strokeweight=".25pt">
            <v:textbox style="mso-next-textbox:#_x0000_s1031" inset="0,0,0,0">
              <w:txbxContent>
                <w:p w:rsidR="00B6323A" w:rsidRDefault="00B6323A" w:rsidP="003D29C2">
                  <w:pPr>
                    <w:spacing w:line="160" w:lineRule="exact"/>
                    <w:rPr>
                      <w:rFonts w:cs="Miriam"/>
                      <w:noProof/>
                      <w:szCs w:val="18"/>
                      <w:rtl/>
                    </w:rPr>
                  </w:pPr>
                  <w:r>
                    <w:rPr>
                      <w:rFonts w:cs="Miriam"/>
                      <w:szCs w:val="18"/>
                      <w:rtl/>
                    </w:rPr>
                    <w:t>ח</w:t>
                  </w:r>
                  <w:r>
                    <w:rPr>
                      <w:rFonts w:cs="Miriam" w:hint="cs"/>
                      <w:szCs w:val="18"/>
                      <w:rtl/>
                    </w:rPr>
                    <w:t xml:space="preserve">תימת </w:t>
                  </w:r>
                  <w:r>
                    <w:rPr>
                      <w:rFonts w:cs="Miriam"/>
                      <w:szCs w:val="18"/>
                      <w:rtl/>
                    </w:rPr>
                    <w:t>ה</w:t>
                  </w:r>
                  <w:r>
                    <w:rPr>
                      <w:rFonts w:cs="Miriam" w:hint="cs"/>
                      <w:szCs w:val="18"/>
                      <w:rtl/>
                    </w:rPr>
                    <w:t>עורר</w:t>
                  </w:r>
                  <w:r w:rsidR="003D29C2">
                    <w:rPr>
                      <w:rFonts w:cs="Miriam" w:hint="cs"/>
                      <w:szCs w:val="18"/>
                      <w:rtl/>
                    </w:rPr>
                    <w:t xml:space="preserve"> </w:t>
                  </w:r>
                  <w:r>
                    <w:rPr>
                      <w:rFonts w:cs="Miriam"/>
                      <w:szCs w:val="18"/>
                      <w:rtl/>
                    </w:rPr>
                    <w:t>א</w:t>
                  </w:r>
                  <w:r>
                    <w:rPr>
                      <w:rFonts w:cs="Miriam" w:hint="cs"/>
                      <w:szCs w:val="18"/>
                      <w:rtl/>
                    </w:rPr>
                    <w:t>ו המבקש</w:t>
                  </w:r>
                </w:p>
              </w:txbxContent>
            </v:textbox>
            <w10:anchorlock/>
          </v:rect>
        </w:pict>
      </w:r>
      <w:r w:rsidRPr="003D29C2">
        <w:rPr>
          <w:rStyle w:val="big-number"/>
          <w:rFonts w:cs="Miriam"/>
          <w:sz w:val="32"/>
          <w:rtl/>
        </w:rPr>
        <w:t>6</w:t>
      </w:r>
      <w:r w:rsidRPr="003D29C2">
        <w:rPr>
          <w:rStyle w:val="big-number"/>
          <w:rFonts w:cs="FrankRuehl"/>
          <w:sz w:val="26"/>
          <w:szCs w:val="26"/>
          <w:rtl/>
        </w:rPr>
        <w:t>.</w:t>
      </w:r>
      <w:r w:rsidRPr="003D29C2">
        <w:rPr>
          <w:rStyle w:val="big-number"/>
          <w:rFonts w:cs="FrankRuehl"/>
          <w:sz w:val="26"/>
          <w:szCs w:val="26"/>
          <w:rtl/>
        </w:rPr>
        <w:tab/>
      </w:r>
      <w:r w:rsidRPr="003D29C2">
        <w:rPr>
          <w:rStyle w:val="default"/>
          <w:rFonts w:cs="FrankRuehl"/>
          <w:sz w:val="26"/>
          <w:rtl/>
        </w:rPr>
        <w:t>ע</w:t>
      </w:r>
      <w:r w:rsidRPr="003D29C2">
        <w:rPr>
          <w:rStyle w:val="default"/>
          <w:rFonts w:cs="FrankRuehl" w:hint="cs"/>
          <w:sz w:val="26"/>
          <w:rtl/>
        </w:rPr>
        <w:t>רר, ערר על שומה ובקשה ייחתמו ביד העורר או המבקש או בא כוחם.</w:t>
      </w:r>
    </w:p>
    <w:p w:rsidR="00B6323A" w:rsidRPr="003D29C2" w:rsidRDefault="00B6323A" w:rsidP="003D29C2">
      <w:pPr>
        <w:pStyle w:val="P00"/>
        <w:spacing w:before="72"/>
        <w:ind w:left="0" w:right="1134"/>
        <w:rPr>
          <w:rStyle w:val="default"/>
          <w:rFonts w:cs="FrankRuehl"/>
          <w:sz w:val="26"/>
          <w:rtl/>
        </w:rPr>
      </w:pPr>
      <w:bookmarkStart w:id="6" w:name="Seif6"/>
      <w:bookmarkEnd w:id="6"/>
      <w:r w:rsidRPr="003D29C2">
        <w:rPr>
          <w:rFonts w:cs="Miriam"/>
          <w:sz w:val="32"/>
          <w:szCs w:val="32"/>
          <w:lang w:val="he-IL"/>
        </w:rPr>
        <w:pict>
          <v:rect id="_x0000_s1032" style="position:absolute;left:0;text-align:left;margin-left:464.5pt;margin-top:8.05pt;width:75.05pt;height:11.7pt;z-index:251653120" o:allowincell="f" filled="f" stroked="f" strokecolor="lime" strokeweight=".25pt">
            <v:textbox style="mso-next-textbox:#_x0000_s1032" inset="0,0,0,0">
              <w:txbxContent>
                <w:p w:rsidR="00B6323A" w:rsidRDefault="00B6323A">
                  <w:pPr>
                    <w:spacing w:line="160" w:lineRule="exact"/>
                    <w:rPr>
                      <w:rFonts w:cs="Miriam"/>
                      <w:noProof/>
                      <w:szCs w:val="18"/>
                      <w:rtl/>
                    </w:rPr>
                  </w:pPr>
                  <w:r>
                    <w:rPr>
                      <w:rFonts w:cs="Miriam"/>
                      <w:szCs w:val="18"/>
                      <w:rtl/>
                    </w:rPr>
                    <w:t>צ</w:t>
                  </w:r>
                  <w:r>
                    <w:rPr>
                      <w:rFonts w:cs="Miriam" w:hint="cs"/>
                      <w:szCs w:val="18"/>
                      <w:rtl/>
                    </w:rPr>
                    <w:t>יון המשיב</w:t>
                  </w:r>
                </w:p>
              </w:txbxContent>
            </v:textbox>
            <w10:anchorlock/>
          </v:rect>
        </w:pict>
      </w:r>
      <w:r w:rsidRPr="003D29C2">
        <w:rPr>
          <w:rStyle w:val="big-number"/>
          <w:rFonts w:cs="Miriam"/>
          <w:sz w:val="32"/>
          <w:rtl/>
        </w:rPr>
        <w:t>7</w:t>
      </w:r>
      <w:r w:rsidRPr="003D29C2">
        <w:rPr>
          <w:rStyle w:val="big-number"/>
          <w:rFonts w:cs="FrankRuehl"/>
          <w:sz w:val="26"/>
          <w:szCs w:val="26"/>
          <w:rtl/>
        </w:rPr>
        <w:t>.</w:t>
      </w:r>
      <w:r w:rsidRPr="003D29C2">
        <w:rPr>
          <w:rStyle w:val="big-number"/>
          <w:rFonts w:cs="FrankRuehl"/>
          <w:sz w:val="26"/>
          <w:szCs w:val="26"/>
          <w:rtl/>
        </w:rPr>
        <w:tab/>
      </w:r>
      <w:r w:rsidRPr="003D29C2">
        <w:rPr>
          <w:rStyle w:val="default"/>
          <w:rFonts w:cs="FrankRuehl"/>
          <w:sz w:val="26"/>
          <w:rtl/>
        </w:rPr>
        <w:t>(</w:t>
      </w:r>
      <w:r w:rsidRPr="003D29C2">
        <w:rPr>
          <w:rStyle w:val="default"/>
          <w:rFonts w:cs="FrankRuehl" w:hint="cs"/>
          <w:sz w:val="26"/>
          <w:rtl/>
        </w:rPr>
        <w:t>א)</w:t>
      </w:r>
      <w:r w:rsidRPr="003D29C2">
        <w:rPr>
          <w:rStyle w:val="default"/>
          <w:rFonts w:cs="FrankRuehl"/>
          <w:sz w:val="26"/>
          <w:rtl/>
        </w:rPr>
        <w:tab/>
      </w:r>
      <w:r w:rsidRPr="003D29C2">
        <w:rPr>
          <w:rStyle w:val="default"/>
          <w:rFonts w:cs="FrankRuehl" w:hint="cs"/>
          <w:sz w:val="26"/>
          <w:rtl/>
        </w:rPr>
        <w:t>בערר ובב</w:t>
      </w:r>
      <w:r w:rsidRPr="003D29C2">
        <w:rPr>
          <w:rStyle w:val="default"/>
          <w:rFonts w:cs="FrankRuehl"/>
          <w:sz w:val="26"/>
          <w:rtl/>
        </w:rPr>
        <w:t>ק</w:t>
      </w:r>
      <w:r w:rsidRPr="003D29C2">
        <w:rPr>
          <w:rStyle w:val="default"/>
          <w:rFonts w:cs="FrankRuehl" w:hint="cs"/>
          <w:sz w:val="26"/>
          <w:rtl/>
        </w:rPr>
        <w:t xml:space="preserve">שה, אם הפיצויים משתלמים מאוצר המדינה, יצויין </w:t>
      </w:r>
      <w:r w:rsidR="009E5690">
        <w:rPr>
          <w:rStyle w:val="default"/>
          <w:rFonts w:cs="FrankRuehl" w:hint="cs"/>
          <w:sz w:val="26"/>
          <w:rtl/>
        </w:rPr>
        <w:t>הנציב</w:t>
      </w:r>
      <w:r w:rsidRPr="003D29C2">
        <w:rPr>
          <w:rStyle w:val="default"/>
          <w:rFonts w:cs="FrankRuehl" w:hint="cs"/>
          <w:sz w:val="26"/>
          <w:rtl/>
        </w:rPr>
        <w:t xml:space="preserve"> כמשיב.</w:t>
      </w:r>
    </w:p>
    <w:p w:rsidR="00B6323A" w:rsidRDefault="00B6323A" w:rsidP="003D29C2">
      <w:pPr>
        <w:pStyle w:val="P00"/>
        <w:spacing w:before="72"/>
        <w:ind w:left="0" w:right="1134"/>
        <w:rPr>
          <w:rStyle w:val="default"/>
          <w:rFonts w:cs="FrankRuehl"/>
          <w:sz w:val="26"/>
          <w:rtl/>
        </w:rPr>
      </w:pPr>
      <w:r w:rsidRPr="003D29C2">
        <w:rPr>
          <w:sz w:val="26"/>
          <w:rtl/>
        </w:rPr>
        <w:tab/>
      </w:r>
      <w:r w:rsidRPr="003D29C2">
        <w:rPr>
          <w:rStyle w:val="default"/>
          <w:rFonts w:cs="FrankRuehl"/>
          <w:sz w:val="26"/>
          <w:rtl/>
        </w:rPr>
        <w:t>(</w:t>
      </w:r>
      <w:r w:rsidRPr="003D29C2">
        <w:rPr>
          <w:rStyle w:val="default"/>
          <w:rFonts w:cs="FrankRuehl" w:hint="cs"/>
          <w:sz w:val="26"/>
          <w:rtl/>
        </w:rPr>
        <w:t>ב)</w:t>
      </w:r>
      <w:r w:rsidRPr="003D29C2">
        <w:rPr>
          <w:rStyle w:val="default"/>
          <w:rFonts w:cs="FrankRuehl"/>
          <w:sz w:val="26"/>
          <w:rtl/>
        </w:rPr>
        <w:tab/>
      </w:r>
      <w:r w:rsidRPr="003D29C2">
        <w:rPr>
          <w:rStyle w:val="default"/>
          <w:rFonts w:cs="FrankRuehl" w:hint="cs"/>
          <w:sz w:val="26"/>
          <w:rtl/>
        </w:rPr>
        <w:t>בערר על שומה ובבקשה, אם הפיצויים משתלמים על ידי רשות הניקוז, תצויין רשות הניקוז כמשיבה.</w:t>
      </w:r>
    </w:p>
    <w:p w:rsidR="00B6323A" w:rsidRPr="003D29C2" w:rsidRDefault="00B6323A" w:rsidP="003D29C2">
      <w:pPr>
        <w:pStyle w:val="P00"/>
        <w:spacing w:before="72"/>
        <w:ind w:left="0" w:right="1134"/>
        <w:rPr>
          <w:rStyle w:val="default"/>
          <w:rFonts w:cs="FrankRuehl"/>
          <w:sz w:val="26"/>
          <w:rtl/>
        </w:rPr>
      </w:pPr>
      <w:bookmarkStart w:id="7" w:name="Seif7"/>
      <w:bookmarkEnd w:id="7"/>
      <w:r w:rsidRPr="003D29C2">
        <w:rPr>
          <w:rFonts w:cs="Miriam"/>
          <w:sz w:val="32"/>
          <w:szCs w:val="32"/>
          <w:lang w:val="he-IL"/>
        </w:rPr>
        <w:pict>
          <v:rect id="_x0000_s1033" style="position:absolute;left:0;text-align:left;margin-left:464.5pt;margin-top:8.05pt;width:75.05pt;height:22.85pt;z-index:251654144" o:allowincell="f" filled="f" stroked="f" strokecolor="lime" strokeweight=".25pt">
            <v:textbox style="mso-next-textbox:#_x0000_s1033" inset="0,0,0,0">
              <w:txbxContent>
                <w:p w:rsidR="00B6323A" w:rsidRDefault="00B6323A">
                  <w:pPr>
                    <w:spacing w:line="160" w:lineRule="exact"/>
                    <w:rPr>
                      <w:rFonts w:cs="Miriam"/>
                      <w:noProof/>
                      <w:szCs w:val="18"/>
                      <w:rtl/>
                    </w:rPr>
                  </w:pPr>
                  <w:r>
                    <w:rPr>
                      <w:rFonts w:cs="Miriam"/>
                      <w:szCs w:val="18"/>
                      <w:rtl/>
                    </w:rPr>
                    <w:t>ה</w:t>
                  </w:r>
                  <w:r>
                    <w:rPr>
                      <w:rFonts w:cs="Miriam" w:hint="cs"/>
                      <w:szCs w:val="18"/>
                      <w:rtl/>
                    </w:rPr>
                    <w:t>עברת מסמכים למשיב</w:t>
                  </w:r>
                </w:p>
              </w:txbxContent>
            </v:textbox>
            <w10:anchorlock/>
          </v:rect>
        </w:pict>
      </w:r>
      <w:r w:rsidRPr="003D29C2">
        <w:rPr>
          <w:rStyle w:val="big-number"/>
          <w:rFonts w:cs="Miriam"/>
          <w:sz w:val="32"/>
          <w:rtl/>
        </w:rPr>
        <w:t>8</w:t>
      </w:r>
      <w:r w:rsidRPr="003D29C2">
        <w:rPr>
          <w:rStyle w:val="big-number"/>
          <w:rFonts w:cs="FrankRuehl"/>
          <w:sz w:val="26"/>
          <w:szCs w:val="26"/>
          <w:rtl/>
        </w:rPr>
        <w:t>.</w:t>
      </w:r>
      <w:r w:rsidRPr="003D29C2">
        <w:rPr>
          <w:rStyle w:val="big-number"/>
          <w:rFonts w:cs="FrankRuehl"/>
          <w:sz w:val="26"/>
          <w:szCs w:val="26"/>
          <w:rtl/>
        </w:rPr>
        <w:tab/>
      </w:r>
      <w:r w:rsidRPr="003D29C2">
        <w:rPr>
          <w:rStyle w:val="default"/>
          <w:rFonts w:cs="FrankRuehl"/>
          <w:sz w:val="26"/>
          <w:rtl/>
        </w:rPr>
        <w:t>ה</w:t>
      </w:r>
      <w:r w:rsidRPr="003D29C2">
        <w:rPr>
          <w:rStyle w:val="default"/>
          <w:rFonts w:cs="FrankRuehl" w:hint="cs"/>
          <w:sz w:val="26"/>
          <w:rtl/>
        </w:rPr>
        <w:t xml:space="preserve">וגש לבית הדין ערר, ערר על שומה או בקשה, ישלח יושב ראש בית הדין למשיב שני טפסים של הערר, של הערר על </w:t>
      </w:r>
      <w:r w:rsidRPr="003D29C2">
        <w:rPr>
          <w:rStyle w:val="default"/>
          <w:rFonts w:cs="FrankRuehl"/>
          <w:sz w:val="26"/>
          <w:rtl/>
        </w:rPr>
        <w:t>ש</w:t>
      </w:r>
      <w:r w:rsidRPr="003D29C2">
        <w:rPr>
          <w:rStyle w:val="default"/>
          <w:rFonts w:cs="FrankRuehl" w:hint="cs"/>
          <w:sz w:val="26"/>
          <w:rtl/>
        </w:rPr>
        <w:t>ומה או של הבקשה, הכל לפי הענין, ושל כל מסמך שצורף אליהם.</w:t>
      </w:r>
    </w:p>
    <w:p w:rsidR="00B6323A" w:rsidRPr="003D29C2" w:rsidRDefault="00B6323A" w:rsidP="003D29C2">
      <w:pPr>
        <w:pStyle w:val="P00"/>
        <w:spacing w:before="72"/>
        <w:ind w:left="0" w:right="1134"/>
        <w:rPr>
          <w:rStyle w:val="default"/>
          <w:rFonts w:cs="FrankRuehl"/>
          <w:sz w:val="26"/>
          <w:rtl/>
        </w:rPr>
      </w:pPr>
      <w:bookmarkStart w:id="8" w:name="Seif8"/>
      <w:bookmarkEnd w:id="8"/>
      <w:r w:rsidRPr="003D29C2">
        <w:rPr>
          <w:rFonts w:cs="Miriam"/>
          <w:sz w:val="32"/>
          <w:szCs w:val="32"/>
          <w:lang w:val="he-IL"/>
        </w:rPr>
        <w:pict>
          <v:rect id="_x0000_s1034" style="position:absolute;left:0;text-align:left;margin-left:464.5pt;margin-top:8.05pt;width:75.05pt;height:18.35pt;z-index:251655168" o:allowincell="f" filled="f" stroked="f" strokecolor="lime" strokeweight=".25pt">
            <v:textbox style="mso-next-textbox:#_x0000_s1034" inset="0,0,0,0">
              <w:txbxContent>
                <w:p w:rsidR="00B6323A" w:rsidRDefault="00B6323A">
                  <w:pPr>
                    <w:spacing w:line="160" w:lineRule="exact"/>
                    <w:rPr>
                      <w:rFonts w:cs="Miriam"/>
                      <w:noProof/>
                      <w:szCs w:val="18"/>
                      <w:rtl/>
                    </w:rPr>
                  </w:pPr>
                  <w:r>
                    <w:rPr>
                      <w:rFonts w:cs="Miriam"/>
                      <w:szCs w:val="18"/>
                      <w:rtl/>
                    </w:rPr>
                    <w:t>ת</w:t>
                  </w:r>
                  <w:r>
                    <w:rPr>
                      <w:rFonts w:cs="Miriam" w:hint="cs"/>
                      <w:szCs w:val="18"/>
                      <w:rtl/>
                    </w:rPr>
                    <w:t>שובת המשיב</w:t>
                  </w:r>
                </w:p>
              </w:txbxContent>
            </v:textbox>
            <w10:anchorlock/>
          </v:rect>
        </w:pict>
      </w:r>
      <w:r w:rsidRPr="003D29C2">
        <w:rPr>
          <w:rFonts w:cs="Miriam"/>
          <w:sz w:val="32"/>
          <w:szCs w:val="32"/>
          <w:rtl/>
          <w:lang w:val="he-IL"/>
        </w:rPr>
        <w:t>9</w:t>
      </w:r>
      <w:r w:rsidRPr="003D29C2">
        <w:rPr>
          <w:rStyle w:val="big-number"/>
          <w:rFonts w:cs="FrankRuehl"/>
          <w:sz w:val="26"/>
          <w:szCs w:val="26"/>
          <w:rtl/>
        </w:rPr>
        <w:t>.</w:t>
      </w:r>
      <w:r w:rsidRPr="003D29C2">
        <w:rPr>
          <w:rStyle w:val="big-number"/>
          <w:rFonts w:cs="FrankRuehl"/>
          <w:sz w:val="26"/>
          <w:szCs w:val="26"/>
          <w:rtl/>
        </w:rPr>
        <w:tab/>
      </w:r>
      <w:r w:rsidRPr="003D29C2">
        <w:rPr>
          <w:rStyle w:val="default"/>
          <w:rFonts w:cs="FrankRuehl"/>
          <w:sz w:val="26"/>
          <w:rtl/>
        </w:rPr>
        <w:t>(</w:t>
      </w:r>
      <w:r w:rsidRPr="003D29C2">
        <w:rPr>
          <w:rStyle w:val="default"/>
          <w:rFonts w:cs="FrankRuehl" w:hint="cs"/>
          <w:sz w:val="26"/>
          <w:rtl/>
        </w:rPr>
        <w:t>א)</w:t>
      </w:r>
      <w:r w:rsidRPr="003D29C2">
        <w:rPr>
          <w:rStyle w:val="default"/>
          <w:rFonts w:cs="FrankRuehl"/>
          <w:sz w:val="26"/>
          <w:rtl/>
        </w:rPr>
        <w:tab/>
      </w:r>
      <w:r w:rsidRPr="003D29C2">
        <w:rPr>
          <w:rStyle w:val="default"/>
          <w:rFonts w:cs="FrankRuehl" w:hint="cs"/>
          <w:sz w:val="26"/>
          <w:rtl/>
        </w:rPr>
        <w:t>המשיב רשאי להגיש לבית הדין תוך חמישה עשר יום מהיום בו נמסר לו העתק מהערר, מהערר על שומה או מהבקשה תשובה מנומקת בשלושה טפסים.</w:t>
      </w:r>
    </w:p>
    <w:p w:rsidR="00B6323A" w:rsidRPr="003D29C2" w:rsidRDefault="00B6323A" w:rsidP="003D29C2">
      <w:pPr>
        <w:pStyle w:val="P00"/>
        <w:spacing w:before="72"/>
        <w:ind w:left="0" w:right="1134"/>
        <w:rPr>
          <w:rStyle w:val="default"/>
          <w:rFonts w:cs="FrankRuehl"/>
          <w:sz w:val="26"/>
          <w:rtl/>
        </w:rPr>
      </w:pPr>
      <w:r w:rsidRPr="003D29C2">
        <w:rPr>
          <w:sz w:val="26"/>
          <w:rtl/>
        </w:rPr>
        <w:tab/>
      </w:r>
      <w:r w:rsidRPr="003D29C2">
        <w:rPr>
          <w:rStyle w:val="default"/>
          <w:rFonts w:cs="FrankRuehl"/>
          <w:sz w:val="26"/>
          <w:rtl/>
        </w:rPr>
        <w:t>(</w:t>
      </w:r>
      <w:r w:rsidRPr="003D29C2">
        <w:rPr>
          <w:rStyle w:val="default"/>
          <w:rFonts w:cs="FrankRuehl" w:hint="cs"/>
          <w:sz w:val="26"/>
          <w:rtl/>
        </w:rPr>
        <w:t>ג)</w:t>
      </w:r>
      <w:r w:rsidRPr="003D29C2">
        <w:rPr>
          <w:rStyle w:val="default"/>
          <w:rFonts w:cs="FrankRuehl"/>
          <w:sz w:val="26"/>
          <w:rtl/>
        </w:rPr>
        <w:tab/>
      </w:r>
      <w:r w:rsidRPr="003D29C2">
        <w:rPr>
          <w:rStyle w:val="default"/>
          <w:rFonts w:cs="FrankRuehl" w:hint="cs"/>
          <w:sz w:val="26"/>
          <w:rtl/>
        </w:rPr>
        <w:t>התשובה תיחתם ביד המשיב.</w:t>
      </w:r>
    </w:p>
    <w:p w:rsidR="00B6323A" w:rsidRPr="003D29C2" w:rsidRDefault="00B6323A" w:rsidP="003D29C2">
      <w:pPr>
        <w:pStyle w:val="P00"/>
        <w:spacing w:before="72"/>
        <w:ind w:left="0" w:right="1134"/>
        <w:rPr>
          <w:rStyle w:val="default"/>
          <w:rFonts w:cs="FrankRuehl"/>
          <w:sz w:val="26"/>
          <w:rtl/>
        </w:rPr>
      </w:pPr>
      <w:r w:rsidRPr="003D29C2">
        <w:rPr>
          <w:sz w:val="26"/>
          <w:rtl/>
        </w:rPr>
        <w:tab/>
      </w:r>
      <w:r w:rsidRPr="003D29C2">
        <w:rPr>
          <w:rStyle w:val="default"/>
          <w:rFonts w:cs="FrankRuehl"/>
          <w:sz w:val="26"/>
          <w:rtl/>
        </w:rPr>
        <w:t>(</w:t>
      </w:r>
      <w:r w:rsidRPr="003D29C2">
        <w:rPr>
          <w:rStyle w:val="default"/>
          <w:rFonts w:cs="FrankRuehl" w:hint="cs"/>
          <w:sz w:val="26"/>
          <w:rtl/>
        </w:rPr>
        <w:t>ד)</w:t>
      </w:r>
      <w:r w:rsidRPr="003D29C2">
        <w:rPr>
          <w:rStyle w:val="default"/>
          <w:rFonts w:cs="FrankRuehl"/>
          <w:sz w:val="26"/>
          <w:rtl/>
        </w:rPr>
        <w:tab/>
      </w:r>
      <w:r w:rsidRPr="003D29C2">
        <w:rPr>
          <w:rStyle w:val="default"/>
          <w:rFonts w:cs="FrankRuehl" w:hint="cs"/>
          <w:sz w:val="26"/>
          <w:rtl/>
        </w:rPr>
        <w:t>יושב ראש בית הדין ישלח לעורר או</w:t>
      </w:r>
      <w:r w:rsidRPr="003D29C2">
        <w:rPr>
          <w:rStyle w:val="default"/>
          <w:rFonts w:cs="FrankRuehl"/>
          <w:sz w:val="26"/>
          <w:rtl/>
        </w:rPr>
        <w:t xml:space="preserve"> </w:t>
      </w:r>
      <w:r w:rsidRPr="003D29C2">
        <w:rPr>
          <w:rStyle w:val="default"/>
          <w:rFonts w:cs="FrankRuehl" w:hint="cs"/>
          <w:sz w:val="26"/>
          <w:rtl/>
        </w:rPr>
        <w:t>למבקש טופס אחד של התשובה ושל כל מסמך שצורף אליה.</w:t>
      </w:r>
    </w:p>
    <w:p w:rsidR="00B6323A" w:rsidRPr="003D29C2" w:rsidRDefault="00B6323A" w:rsidP="003D29C2">
      <w:pPr>
        <w:pStyle w:val="P00"/>
        <w:spacing w:before="72"/>
        <w:ind w:left="0" w:right="1134"/>
        <w:rPr>
          <w:rStyle w:val="default"/>
          <w:rFonts w:cs="FrankRuehl"/>
          <w:sz w:val="26"/>
          <w:rtl/>
        </w:rPr>
      </w:pPr>
      <w:bookmarkStart w:id="9" w:name="Seif9"/>
      <w:bookmarkEnd w:id="9"/>
      <w:r w:rsidRPr="003D29C2">
        <w:rPr>
          <w:rFonts w:cs="Miriam"/>
          <w:sz w:val="32"/>
          <w:szCs w:val="32"/>
          <w:lang w:val="he-IL"/>
        </w:rPr>
        <w:pict>
          <v:rect id="_x0000_s1035" style="position:absolute;left:0;text-align:left;margin-left:468pt;margin-top:8.05pt;width:71.55pt;height:21.75pt;z-index:251656192" o:allowincell="f" filled="f" stroked="f" strokecolor="lime" strokeweight=".25pt">
            <v:textbox style="mso-next-textbox:#_x0000_s1035" inset="0,0,0,0">
              <w:txbxContent>
                <w:p w:rsidR="00B6323A" w:rsidRDefault="00B6323A">
                  <w:pPr>
                    <w:spacing w:line="160" w:lineRule="exact"/>
                    <w:rPr>
                      <w:rFonts w:cs="Miriam"/>
                      <w:noProof/>
                      <w:szCs w:val="18"/>
                      <w:rtl/>
                    </w:rPr>
                  </w:pPr>
                  <w:r>
                    <w:rPr>
                      <w:rFonts w:cs="Miriam"/>
                      <w:szCs w:val="18"/>
                      <w:rtl/>
                    </w:rPr>
                    <w:t>ה</w:t>
                  </w:r>
                  <w:r>
                    <w:rPr>
                      <w:rFonts w:cs="Miriam" w:hint="cs"/>
                      <w:szCs w:val="18"/>
                      <w:rtl/>
                    </w:rPr>
                    <w:t>חלטה על יסוד חומר בכתב</w:t>
                  </w:r>
                </w:p>
              </w:txbxContent>
            </v:textbox>
            <w10:anchorlock/>
          </v:rect>
        </w:pict>
      </w:r>
      <w:r w:rsidRPr="003D29C2">
        <w:rPr>
          <w:rStyle w:val="big-number"/>
          <w:rFonts w:cs="Miriam"/>
          <w:sz w:val="32"/>
          <w:rtl/>
        </w:rPr>
        <w:t>10</w:t>
      </w:r>
      <w:r w:rsidRPr="003D29C2">
        <w:rPr>
          <w:rStyle w:val="big-number"/>
          <w:rFonts w:cs="FrankRuehl"/>
          <w:sz w:val="26"/>
          <w:szCs w:val="26"/>
          <w:rtl/>
        </w:rPr>
        <w:t>.</w:t>
      </w:r>
      <w:r w:rsidRPr="003D29C2">
        <w:rPr>
          <w:rStyle w:val="big-number"/>
          <w:rFonts w:cs="FrankRuehl"/>
          <w:sz w:val="26"/>
          <w:szCs w:val="26"/>
          <w:rtl/>
        </w:rPr>
        <w:tab/>
      </w:r>
      <w:r w:rsidRPr="003D29C2">
        <w:rPr>
          <w:rStyle w:val="default"/>
          <w:rFonts w:cs="FrankRuehl"/>
          <w:sz w:val="26"/>
          <w:rtl/>
        </w:rPr>
        <w:t>ו</w:t>
      </w:r>
      <w:r w:rsidRPr="003D29C2">
        <w:rPr>
          <w:rStyle w:val="default"/>
          <w:rFonts w:cs="FrankRuehl" w:hint="cs"/>
          <w:sz w:val="26"/>
          <w:rtl/>
        </w:rPr>
        <w:t>יתרו העורר או המבקש והמשיב על השמעת טענותיהם לפני בית הדין, רשאי בית הדין לתת את החלטתה על יסוד החומר בכתב שהובא בפניה.</w:t>
      </w:r>
    </w:p>
    <w:p w:rsidR="00B6323A" w:rsidRPr="003D29C2" w:rsidRDefault="00B6323A" w:rsidP="003D29C2">
      <w:pPr>
        <w:pStyle w:val="P00"/>
        <w:spacing w:before="72"/>
        <w:ind w:left="0" w:right="1134"/>
        <w:rPr>
          <w:rStyle w:val="default"/>
          <w:rFonts w:cs="FrankRuehl"/>
          <w:sz w:val="26"/>
          <w:rtl/>
        </w:rPr>
      </w:pPr>
      <w:bookmarkStart w:id="10" w:name="Seif10"/>
      <w:bookmarkEnd w:id="10"/>
      <w:r w:rsidRPr="003D29C2">
        <w:rPr>
          <w:rFonts w:cs="Miriam"/>
          <w:sz w:val="32"/>
          <w:szCs w:val="32"/>
          <w:lang w:val="he-IL"/>
        </w:rPr>
        <w:pict>
          <v:rect id="_x0000_s1036" style="position:absolute;left:0;text-align:left;margin-left:468pt;margin-top:8.05pt;width:71.55pt;height:32.2pt;z-index:251657216" o:allowincell="f" filled="f" stroked="f" strokecolor="lime" strokeweight=".25pt">
            <v:textbox style="mso-next-textbox:#_x0000_s1036" inset="0,0,0,0">
              <w:txbxContent>
                <w:p w:rsidR="00B6323A" w:rsidRDefault="00B6323A" w:rsidP="003D29C2">
                  <w:pPr>
                    <w:spacing w:line="160" w:lineRule="exact"/>
                    <w:rPr>
                      <w:rFonts w:cs="Miriam"/>
                      <w:noProof/>
                      <w:szCs w:val="18"/>
                      <w:rtl/>
                    </w:rPr>
                  </w:pPr>
                  <w:r>
                    <w:rPr>
                      <w:rFonts w:cs="Miriam"/>
                      <w:szCs w:val="18"/>
                      <w:rtl/>
                    </w:rPr>
                    <w:t>ק</w:t>
                  </w:r>
                  <w:r>
                    <w:rPr>
                      <w:rFonts w:cs="Miriam" w:hint="cs"/>
                      <w:szCs w:val="18"/>
                      <w:rtl/>
                    </w:rPr>
                    <w:t>ביעת מועד לשמיעת הערר</w:t>
                  </w:r>
                  <w:r w:rsidR="003D29C2">
                    <w:rPr>
                      <w:rFonts w:cs="Miriam" w:hint="cs"/>
                      <w:szCs w:val="18"/>
                      <w:rtl/>
                    </w:rPr>
                    <w:t xml:space="preserve"> </w:t>
                  </w:r>
                  <w:r>
                    <w:rPr>
                      <w:rFonts w:cs="Miriam"/>
                      <w:szCs w:val="18"/>
                      <w:rtl/>
                    </w:rPr>
                    <w:t>א</w:t>
                  </w:r>
                  <w:r>
                    <w:rPr>
                      <w:rFonts w:cs="Miriam" w:hint="cs"/>
                      <w:szCs w:val="18"/>
                      <w:rtl/>
                    </w:rPr>
                    <w:t>ו הבקשה</w:t>
                  </w:r>
                </w:p>
              </w:txbxContent>
            </v:textbox>
            <w10:anchorlock/>
          </v:rect>
        </w:pict>
      </w:r>
      <w:r w:rsidRPr="003D29C2">
        <w:rPr>
          <w:rStyle w:val="big-number"/>
          <w:rFonts w:cs="Miriam"/>
          <w:sz w:val="32"/>
          <w:rtl/>
        </w:rPr>
        <w:t>11</w:t>
      </w:r>
      <w:r w:rsidRPr="003D29C2">
        <w:rPr>
          <w:rStyle w:val="big-number"/>
          <w:rFonts w:cs="FrankRuehl"/>
          <w:sz w:val="26"/>
          <w:szCs w:val="26"/>
          <w:rtl/>
        </w:rPr>
        <w:t>.</w:t>
      </w:r>
      <w:r w:rsidRPr="003D29C2">
        <w:rPr>
          <w:rStyle w:val="big-number"/>
          <w:rFonts w:cs="FrankRuehl"/>
          <w:sz w:val="26"/>
          <w:szCs w:val="26"/>
          <w:rtl/>
        </w:rPr>
        <w:tab/>
      </w:r>
      <w:r w:rsidRPr="003D29C2">
        <w:rPr>
          <w:rStyle w:val="default"/>
          <w:rFonts w:cs="FrankRuehl"/>
          <w:sz w:val="26"/>
          <w:rtl/>
        </w:rPr>
        <w:t>ל</w:t>
      </w:r>
      <w:r w:rsidRPr="003D29C2">
        <w:rPr>
          <w:rStyle w:val="default"/>
          <w:rFonts w:cs="FrankRuehl" w:hint="cs"/>
          <w:sz w:val="26"/>
          <w:rtl/>
        </w:rPr>
        <w:t>א ויתרו בעלי הדין כאמור בתקנה 10 או החליט יושב ראש בית הדין להזמין את בעלי</w:t>
      </w:r>
      <w:r w:rsidRPr="003D29C2">
        <w:rPr>
          <w:rStyle w:val="default"/>
          <w:rFonts w:cs="FrankRuehl"/>
          <w:sz w:val="26"/>
          <w:rtl/>
        </w:rPr>
        <w:t xml:space="preserve"> </w:t>
      </w:r>
      <w:r w:rsidRPr="003D29C2">
        <w:rPr>
          <w:rStyle w:val="default"/>
          <w:rFonts w:cs="FrankRuehl" w:hint="cs"/>
          <w:sz w:val="26"/>
          <w:rtl/>
        </w:rPr>
        <w:t xml:space="preserve">הדין, יקבע יושב ראש </w:t>
      </w:r>
      <w:r w:rsidR="00576B88">
        <w:rPr>
          <w:rStyle w:val="default"/>
          <w:rFonts w:cs="FrankRuehl" w:hint="cs"/>
          <w:sz w:val="26"/>
          <w:rtl/>
        </w:rPr>
        <w:t>בית הדין</w:t>
      </w:r>
      <w:r w:rsidRPr="003D29C2">
        <w:rPr>
          <w:rStyle w:val="default"/>
          <w:rFonts w:cs="FrankRuehl" w:hint="cs"/>
          <w:sz w:val="26"/>
          <w:rtl/>
        </w:rPr>
        <w:t xml:space="preserve"> מועד לשמיעת הטענות וישלח הזמנות לעורר או למבקש ולמשיב, ובלבד שההזמנה תימסר לבעלי הדין שבעה ימים לפחות לפני מועד הישיבה.</w:t>
      </w:r>
    </w:p>
    <w:p w:rsidR="00B6323A" w:rsidRPr="003D29C2" w:rsidRDefault="00B6323A" w:rsidP="003D29C2">
      <w:pPr>
        <w:pStyle w:val="P00"/>
        <w:spacing w:before="72"/>
        <w:ind w:left="0" w:right="1134"/>
        <w:rPr>
          <w:rStyle w:val="default"/>
          <w:rFonts w:cs="FrankRuehl"/>
          <w:sz w:val="26"/>
          <w:rtl/>
        </w:rPr>
      </w:pPr>
      <w:bookmarkStart w:id="11" w:name="Seif11"/>
      <w:bookmarkEnd w:id="11"/>
      <w:r w:rsidRPr="003D29C2">
        <w:rPr>
          <w:rFonts w:cs="Miriam"/>
          <w:sz w:val="32"/>
          <w:szCs w:val="32"/>
          <w:lang w:val="he-IL"/>
        </w:rPr>
        <w:pict>
          <v:rect id="_x0000_s1037" style="position:absolute;left:0;text-align:left;margin-left:468pt;margin-top:8.05pt;width:71.55pt;height:18.75pt;z-index:251658240" o:allowincell="f" filled="f" stroked="f" strokecolor="lime" strokeweight=".25pt">
            <v:textbox style="mso-next-textbox:#_x0000_s1037" inset="0,0,0,0">
              <w:txbxContent>
                <w:p w:rsidR="00B6323A" w:rsidRDefault="00B6323A">
                  <w:pPr>
                    <w:spacing w:line="160" w:lineRule="exact"/>
                    <w:rPr>
                      <w:rFonts w:cs="Miriam"/>
                      <w:noProof/>
                      <w:szCs w:val="18"/>
                      <w:rtl/>
                    </w:rPr>
                  </w:pPr>
                  <w:r>
                    <w:rPr>
                      <w:rFonts w:cs="Miriam"/>
                      <w:szCs w:val="18"/>
                      <w:rtl/>
                    </w:rPr>
                    <w:t>ה</w:t>
                  </w:r>
                  <w:r>
                    <w:rPr>
                      <w:rFonts w:cs="Miriam" w:hint="cs"/>
                      <w:szCs w:val="18"/>
                      <w:rtl/>
                    </w:rPr>
                    <w:t>תייצבות לחקירה שכנגד</w:t>
                  </w:r>
                </w:p>
              </w:txbxContent>
            </v:textbox>
            <w10:anchorlock/>
          </v:rect>
        </w:pict>
      </w:r>
      <w:r w:rsidRPr="003D29C2">
        <w:rPr>
          <w:rStyle w:val="big-number"/>
          <w:rFonts w:cs="Miriam"/>
          <w:sz w:val="32"/>
          <w:rtl/>
        </w:rPr>
        <w:t>12</w:t>
      </w:r>
      <w:r w:rsidRPr="003D29C2">
        <w:rPr>
          <w:rStyle w:val="big-number"/>
          <w:rFonts w:cs="FrankRuehl"/>
          <w:sz w:val="26"/>
          <w:szCs w:val="26"/>
          <w:rtl/>
        </w:rPr>
        <w:t>.</w:t>
      </w:r>
      <w:r w:rsidRPr="003D29C2">
        <w:rPr>
          <w:rStyle w:val="big-number"/>
          <w:rFonts w:cs="FrankRuehl"/>
          <w:sz w:val="26"/>
          <w:szCs w:val="26"/>
          <w:rtl/>
        </w:rPr>
        <w:tab/>
      </w:r>
      <w:r w:rsidRPr="003D29C2">
        <w:rPr>
          <w:rStyle w:val="default"/>
          <w:rFonts w:cs="FrankRuehl"/>
          <w:sz w:val="26"/>
          <w:rtl/>
        </w:rPr>
        <w:t>(</w:t>
      </w:r>
      <w:r w:rsidRPr="003D29C2">
        <w:rPr>
          <w:rStyle w:val="default"/>
          <w:rFonts w:cs="FrankRuehl" w:hint="cs"/>
          <w:sz w:val="26"/>
          <w:rtl/>
        </w:rPr>
        <w:t>א)</w:t>
      </w:r>
      <w:r w:rsidRPr="003D29C2">
        <w:rPr>
          <w:rStyle w:val="default"/>
          <w:rFonts w:cs="FrankRuehl"/>
          <w:sz w:val="26"/>
          <w:rtl/>
        </w:rPr>
        <w:tab/>
      </w:r>
      <w:r w:rsidRPr="003D29C2">
        <w:rPr>
          <w:rStyle w:val="default"/>
          <w:rFonts w:cs="FrankRuehl" w:hint="cs"/>
          <w:sz w:val="26"/>
          <w:rtl/>
        </w:rPr>
        <w:t>רצה אחד מבעלי הדין לחקור חקירה שכנגד אדם שמסר תצהיר לאימות העובדות שעליהן מסתמך בעל הדין השני, יודיע</w:t>
      </w:r>
      <w:r w:rsidRPr="003D29C2">
        <w:rPr>
          <w:rStyle w:val="default"/>
          <w:rFonts w:cs="FrankRuehl"/>
          <w:sz w:val="26"/>
          <w:rtl/>
        </w:rPr>
        <w:t xml:space="preserve"> </w:t>
      </w:r>
      <w:r w:rsidRPr="003D29C2">
        <w:rPr>
          <w:rStyle w:val="default"/>
          <w:rFonts w:cs="FrankRuehl" w:hint="cs"/>
          <w:sz w:val="26"/>
          <w:rtl/>
        </w:rPr>
        <w:t>על כך בכתב לבעל הדין השני, ארבעה ימים לפחות לפני מועד השמיעה, וימסור העתק של הודעתו ליושב ראש בית הדין.</w:t>
      </w:r>
    </w:p>
    <w:p w:rsidR="00B6323A" w:rsidRPr="003D29C2" w:rsidRDefault="00B6323A" w:rsidP="003D29C2">
      <w:pPr>
        <w:pStyle w:val="P00"/>
        <w:spacing w:before="72"/>
        <w:ind w:left="0" w:right="1134"/>
        <w:rPr>
          <w:rStyle w:val="default"/>
          <w:rFonts w:cs="FrankRuehl"/>
          <w:sz w:val="26"/>
          <w:rtl/>
        </w:rPr>
      </w:pPr>
      <w:r w:rsidRPr="003D29C2">
        <w:rPr>
          <w:sz w:val="26"/>
          <w:rtl/>
        </w:rPr>
        <w:tab/>
      </w:r>
      <w:r w:rsidRPr="003D29C2">
        <w:rPr>
          <w:rStyle w:val="default"/>
          <w:rFonts w:cs="FrankRuehl"/>
          <w:sz w:val="26"/>
          <w:rtl/>
        </w:rPr>
        <w:t>(</w:t>
      </w:r>
      <w:r w:rsidRPr="003D29C2">
        <w:rPr>
          <w:rStyle w:val="default"/>
          <w:rFonts w:cs="FrankRuehl" w:hint="cs"/>
          <w:sz w:val="26"/>
          <w:rtl/>
        </w:rPr>
        <w:t>ב)</w:t>
      </w:r>
      <w:r w:rsidRPr="003D29C2">
        <w:rPr>
          <w:rStyle w:val="default"/>
          <w:rFonts w:cs="FrankRuehl"/>
          <w:sz w:val="26"/>
          <w:rtl/>
        </w:rPr>
        <w:tab/>
      </w:r>
      <w:r w:rsidRPr="003D29C2">
        <w:rPr>
          <w:rStyle w:val="default"/>
          <w:rFonts w:cs="FrankRuehl" w:hint="cs"/>
          <w:sz w:val="26"/>
          <w:rtl/>
        </w:rPr>
        <w:t>הודיע אחד מבעלי הדין כאמור בתקנת משנה (א), לא ישמש תצהיר שעליו ניתנה ההודעה ראיה, אלא אם היה המצהיר נוכח בשמיעת ה</w:t>
      </w:r>
      <w:r w:rsidRPr="003D29C2">
        <w:rPr>
          <w:rStyle w:val="default"/>
          <w:rFonts w:cs="FrankRuehl"/>
          <w:sz w:val="26"/>
          <w:rtl/>
        </w:rPr>
        <w:t>ע</w:t>
      </w:r>
      <w:r w:rsidRPr="003D29C2">
        <w:rPr>
          <w:rStyle w:val="default"/>
          <w:rFonts w:cs="FrankRuehl" w:hint="cs"/>
          <w:sz w:val="26"/>
          <w:rtl/>
        </w:rPr>
        <w:t xml:space="preserve">רר, הערר על שומה או הבקשה, הכל לפי הענין, כשהוא מוכן לחקירה שכנגד, זולת אם </w:t>
      </w:r>
      <w:r w:rsidR="00576B88">
        <w:rPr>
          <w:rStyle w:val="default"/>
          <w:rFonts w:cs="FrankRuehl" w:hint="cs"/>
          <w:sz w:val="26"/>
          <w:rtl/>
        </w:rPr>
        <w:t>היה בית הדין</w:t>
      </w:r>
      <w:r w:rsidRPr="003D29C2">
        <w:rPr>
          <w:rStyle w:val="default"/>
          <w:rFonts w:cs="FrankRuehl" w:hint="cs"/>
          <w:sz w:val="26"/>
          <w:rtl/>
        </w:rPr>
        <w:t xml:space="preserve"> משוכנע שקבלת התצהיר דרושה למען הצדק.</w:t>
      </w:r>
    </w:p>
    <w:p w:rsidR="00B6323A" w:rsidRPr="003D29C2" w:rsidRDefault="00B6323A" w:rsidP="003D29C2">
      <w:pPr>
        <w:pStyle w:val="P00"/>
        <w:spacing w:before="72"/>
        <w:ind w:left="0" w:right="1134"/>
        <w:rPr>
          <w:rStyle w:val="default"/>
          <w:rFonts w:cs="FrankRuehl"/>
          <w:sz w:val="26"/>
          <w:rtl/>
        </w:rPr>
      </w:pPr>
      <w:bookmarkStart w:id="12" w:name="Seif12"/>
      <w:bookmarkEnd w:id="12"/>
      <w:r w:rsidRPr="003D29C2">
        <w:rPr>
          <w:rFonts w:cs="Miriam"/>
          <w:sz w:val="32"/>
          <w:szCs w:val="32"/>
          <w:lang w:val="he-IL"/>
        </w:rPr>
        <w:pict>
          <v:rect id="_x0000_s1038" style="position:absolute;left:0;text-align:left;margin-left:464.5pt;margin-top:8.05pt;width:75.05pt;height:13.85pt;z-index:251659264" o:allowincell="f" filled="f" stroked="f" strokecolor="lime" strokeweight=".25pt">
            <v:textbox style="mso-next-textbox:#_x0000_s1038" inset="0,0,0,0">
              <w:txbxContent>
                <w:p w:rsidR="00B6323A" w:rsidRDefault="00B6323A">
                  <w:pPr>
                    <w:spacing w:line="160" w:lineRule="exact"/>
                    <w:rPr>
                      <w:rFonts w:cs="Miriam"/>
                      <w:noProof/>
                      <w:szCs w:val="18"/>
                      <w:rtl/>
                    </w:rPr>
                  </w:pPr>
                  <w:r>
                    <w:rPr>
                      <w:rFonts w:cs="Miriam"/>
                      <w:szCs w:val="18"/>
                      <w:rtl/>
                    </w:rPr>
                    <w:t>ש</w:t>
                  </w:r>
                  <w:r>
                    <w:rPr>
                      <w:rFonts w:cs="Miriam" w:hint="cs"/>
                      <w:szCs w:val="18"/>
                      <w:rtl/>
                    </w:rPr>
                    <w:t>מיעת הטענות</w:t>
                  </w:r>
                </w:p>
              </w:txbxContent>
            </v:textbox>
            <w10:anchorlock/>
          </v:rect>
        </w:pict>
      </w:r>
      <w:r w:rsidRPr="003D29C2">
        <w:rPr>
          <w:rStyle w:val="big-number"/>
          <w:rFonts w:cs="Miriam"/>
          <w:sz w:val="32"/>
          <w:rtl/>
        </w:rPr>
        <w:t>13</w:t>
      </w:r>
      <w:r w:rsidRPr="003D29C2">
        <w:rPr>
          <w:rStyle w:val="big-number"/>
          <w:rFonts w:cs="FrankRuehl"/>
          <w:sz w:val="26"/>
          <w:szCs w:val="26"/>
          <w:rtl/>
        </w:rPr>
        <w:t>.</w:t>
      </w:r>
      <w:r w:rsidRPr="003D29C2">
        <w:rPr>
          <w:rStyle w:val="big-number"/>
          <w:rFonts w:cs="FrankRuehl"/>
          <w:sz w:val="26"/>
          <w:szCs w:val="26"/>
          <w:rtl/>
        </w:rPr>
        <w:tab/>
      </w:r>
      <w:r w:rsidRPr="003D29C2">
        <w:rPr>
          <w:rStyle w:val="default"/>
          <w:rFonts w:cs="FrankRuehl"/>
          <w:sz w:val="26"/>
          <w:rtl/>
        </w:rPr>
        <w:t>(</w:t>
      </w:r>
      <w:r w:rsidRPr="003D29C2">
        <w:rPr>
          <w:rStyle w:val="default"/>
          <w:rFonts w:cs="FrankRuehl" w:hint="cs"/>
          <w:sz w:val="26"/>
          <w:rtl/>
        </w:rPr>
        <w:t>א)</w:t>
      </w:r>
      <w:r w:rsidRPr="003D29C2">
        <w:rPr>
          <w:rStyle w:val="default"/>
          <w:rFonts w:cs="FrankRuehl"/>
          <w:sz w:val="26"/>
          <w:rtl/>
        </w:rPr>
        <w:tab/>
      </w:r>
      <w:r w:rsidRPr="003D29C2">
        <w:rPr>
          <w:rStyle w:val="default"/>
          <w:rFonts w:cs="FrankRuehl" w:hint="cs"/>
          <w:sz w:val="26"/>
          <w:rtl/>
        </w:rPr>
        <w:t>בית הדין שמע תחילה את טענות העורר או המבקש ולאחר מכן את טענות המשיב.</w:t>
      </w:r>
    </w:p>
    <w:p w:rsidR="00B6323A" w:rsidRPr="003D29C2" w:rsidRDefault="00B6323A" w:rsidP="003D29C2">
      <w:pPr>
        <w:pStyle w:val="P00"/>
        <w:spacing w:before="72"/>
        <w:ind w:left="0" w:right="1134"/>
        <w:rPr>
          <w:rStyle w:val="default"/>
          <w:rFonts w:cs="FrankRuehl"/>
          <w:sz w:val="26"/>
          <w:rtl/>
        </w:rPr>
      </w:pPr>
      <w:r w:rsidRPr="003D29C2">
        <w:rPr>
          <w:sz w:val="26"/>
          <w:rtl/>
        </w:rPr>
        <w:tab/>
      </w:r>
      <w:r w:rsidRPr="003D29C2">
        <w:rPr>
          <w:rStyle w:val="default"/>
          <w:rFonts w:cs="FrankRuehl"/>
          <w:sz w:val="26"/>
          <w:rtl/>
        </w:rPr>
        <w:t>(</w:t>
      </w:r>
      <w:r w:rsidRPr="003D29C2">
        <w:rPr>
          <w:rStyle w:val="default"/>
          <w:rFonts w:cs="FrankRuehl" w:hint="cs"/>
          <w:sz w:val="26"/>
          <w:rtl/>
        </w:rPr>
        <w:t>ב)</w:t>
      </w:r>
      <w:r w:rsidRPr="003D29C2">
        <w:rPr>
          <w:rStyle w:val="default"/>
          <w:rFonts w:cs="FrankRuehl"/>
          <w:sz w:val="26"/>
          <w:rtl/>
        </w:rPr>
        <w:tab/>
      </w:r>
      <w:r w:rsidRPr="003D29C2">
        <w:rPr>
          <w:rStyle w:val="default"/>
          <w:rFonts w:cs="FrankRuehl" w:hint="cs"/>
          <w:sz w:val="26"/>
          <w:rtl/>
        </w:rPr>
        <w:t>בית הדין רשאי ככל שהדבר ייראה לו, להתיר לעורר או</w:t>
      </w:r>
      <w:r w:rsidRPr="003D29C2">
        <w:rPr>
          <w:rStyle w:val="default"/>
          <w:rFonts w:cs="FrankRuehl"/>
          <w:sz w:val="26"/>
          <w:rtl/>
        </w:rPr>
        <w:t xml:space="preserve"> </w:t>
      </w:r>
      <w:r w:rsidRPr="003D29C2">
        <w:rPr>
          <w:rStyle w:val="default"/>
          <w:rFonts w:cs="FrankRuehl" w:hint="cs"/>
          <w:sz w:val="26"/>
          <w:rtl/>
        </w:rPr>
        <w:t>למבקש להשיב לטענות המשיב.</w:t>
      </w:r>
    </w:p>
    <w:p w:rsidR="00B6323A" w:rsidRPr="003D29C2" w:rsidRDefault="00B6323A" w:rsidP="003D29C2">
      <w:pPr>
        <w:pStyle w:val="P00"/>
        <w:spacing w:before="72"/>
        <w:ind w:left="0" w:right="1134"/>
        <w:rPr>
          <w:rStyle w:val="default"/>
          <w:rFonts w:cs="FrankRuehl"/>
          <w:sz w:val="26"/>
          <w:rtl/>
        </w:rPr>
      </w:pPr>
      <w:bookmarkStart w:id="13" w:name="Seif13"/>
      <w:bookmarkEnd w:id="13"/>
      <w:r w:rsidRPr="003D29C2">
        <w:rPr>
          <w:rFonts w:cs="Miriam"/>
          <w:sz w:val="32"/>
          <w:szCs w:val="32"/>
          <w:lang w:val="he-IL"/>
        </w:rPr>
        <w:pict>
          <v:rect id="_x0000_s1039" style="position:absolute;left:0;text-align:left;margin-left:468pt;margin-top:8.05pt;width:71.55pt;height:17pt;z-index:251660288" o:allowincell="f" filled="f" stroked="f" strokecolor="lime" strokeweight=".25pt">
            <v:textbox style="mso-next-textbox:#_x0000_s1039" inset="0,0,0,0">
              <w:txbxContent>
                <w:p w:rsidR="00B6323A" w:rsidRDefault="00B6323A">
                  <w:pPr>
                    <w:spacing w:line="160" w:lineRule="exact"/>
                    <w:rPr>
                      <w:rFonts w:cs="Miriam"/>
                      <w:noProof/>
                      <w:szCs w:val="18"/>
                      <w:rtl/>
                    </w:rPr>
                  </w:pPr>
                  <w:r>
                    <w:rPr>
                      <w:rFonts w:cs="Miriam"/>
                      <w:szCs w:val="18"/>
                      <w:rtl/>
                    </w:rPr>
                    <w:t>ד</w:t>
                  </w:r>
                  <w:r>
                    <w:rPr>
                      <w:rFonts w:cs="Miriam" w:hint="cs"/>
                      <w:szCs w:val="18"/>
                      <w:rtl/>
                    </w:rPr>
                    <w:t>יון שלא בפני בעלי הדין</w:t>
                  </w:r>
                </w:p>
              </w:txbxContent>
            </v:textbox>
            <w10:anchorlock/>
          </v:rect>
        </w:pict>
      </w:r>
      <w:r w:rsidRPr="003D29C2">
        <w:rPr>
          <w:rStyle w:val="big-number"/>
          <w:rFonts w:cs="Miriam"/>
          <w:sz w:val="32"/>
          <w:rtl/>
        </w:rPr>
        <w:t>14</w:t>
      </w:r>
      <w:r w:rsidRPr="003D29C2">
        <w:rPr>
          <w:rStyle w:val="big-number"/>
          <w:rFonts w:cs="FrankRuehl"/>
          <w:sz w:val="26"/>
          <w:szCs w:val="26"/>
          <w:rtl/>
        </w:rPr>
        <w:t>.</w:t>
      </w:r>
      <w:r w:rsidRPr="003D29C2">
        <w:rPr>
          <w:rStyle w:val="big-number"/>
          <w:rFonts w:cs="FrankRuehl"/>
          <w:sz w:val="26"/>
          <w:szCs w:val="26"/>
          <w:rtl/>
        </w:rPr>
        <w:tab/>
      </w:r>
      <w:r w:rsidRPr="003D29C2">
        <w:rPr>
          <w:rStyle w:val="default"/>
          <w:rFonts w:cs="FrankRuehl"/>
          <w:sz w:val="26"/>
          <w:rtl/>
        </w:rPr>
        <w:t>ל</w:t>
      </w:r>
      <w:r w:rsidRPr="003D29C2">
        <w:rPr>
          <w:rStyle w:val="default"/>
          <w:rFonts w:cs="FrankRuehl" w:hint="cs"/>
          <w:sz w:val="26"/>
          <w:rtl/>
        </w:rPr>
        <w:t>א התייצב אחד מבעלי הדין לפני בית הדין במועד הקבוע לשמיעת הערר, הערר על שומה או הבקשה, רשאי בית הדין לדון ולהחליט שלא בפניו.</w:t>
      </w:r>
    </w:p>
    <w:p w:rsidR="00B6323A" w:rsidRPr="003D29C2" w:rsidRDefault="00B6323A" w:rsidP="003D29C2">
      <w:pPr>
        <w:pStyle w:val="P00"/>
        <w:spacing w:before="72"/>
        <w:ind w:left="0" w:right="1134"/>
        <w:rPr>
          <w:rStyle w:val="default"/>
          <w:rFonts w:cs="FrankRuehl"/>
          <w:sz w:val="26"/>
          <w:rtl/>
        </w:rPr>
      </w:pPr>
      <w:bookmarkStart w:id="14" w:name="Seif14"/>
      <w:bookmarkEnd w:id="14"/>
      <w:r w:rsidRPr="003D29C2">
        <w:rPr>
          <w:rFonts w:cs="Miriam"/>
          <w:sz w:val="32"/>
          <w:szCs w:val="32"/>
          <w:lang w:val="he-IL"/>
        </w:rPr>
        <w:pict>
          <v:rect id="_x0000_s1040" style="position:absolute;left:0;text-align:left;margin-left:464.5pt;margin-top:8.05pt;width:75.05pt;height:13.05pt;z-index:251661312" o:allowincell="f" filled="f" stroked="f" strokecolor="lime" strokeweight=".25pt">
            <v:textbox style="mso-next-textbox:#_x0000_s1040" inset="0,0,0,0">
              <w:txbxContent>
                <w:p w:rsidR="00B6323A" w:rsidRDefault="00B6323A">
                  <w:pPr>
                    <w:spacing w:line="160" w:lineRule="exact"/>
                    <w:rPr>
                      <w:rFonts w:cs="Miriam"/>
                      <w:noProof/>
                      <w:szCs w:val="18"/>
                      <w:rtl/>
                    </w:rPr>
                  </w:pPr>
                  <w:r>
                    <w:rPr>
                      <w:rFonts w:cs="Miriam"/>
                      <w:szCs w:val="18"/>
                      <w:rtl/>
                    </w:rPr>
                    <w:t>ט</w:t>
                  </w:r>
                  <w:r>
                    <w:rPr>
                      <w:rFonts w:cs="Miriam" w:hint="cs"/>
                      <w:szCs w:val="18"/>
                      <w:rtl/>
                    </w:rPr>
                    <w:t>ענות פגם</w:t>
                  </w:r>
                </w:p>
              </w:txbxContent>
            </v:textbox>
            <w10:anchorlock/>
          </v:rect>
        </w:pict>
      </w:r>
      <w:r w:rsidRPr="003D29C2">
        <w:rPr>
          <w:rStyle w:val="big-number"/>
          <w:rFonts w:cs="Miriam"/>
          <w:sz w:val="32"/>
          <w:rtl/>
        </w:rPr>
        <w:t>15</w:t>
      </w:r>
      <w:r w:rsidRPr="003D29C2">
        <w:rPr>
          <w:rStyle w:val="big-number"/>
          <w:rFonts w:cs="FrankRuehl"/>
          <w:sz w:val="26"/>
          <w:szCs w:val="26"/>
          <w:rtl/>
        </w:rPr>
        <w:t>.</w:t>
      </w:r>
      <w:r w:rsidRPr="003D29C2">
        <w:rPr>
          <w:rStyle w:val="big-number"/>
          <w:rFonts w:cs="FrankRuehl"/>
          <w:sz w:val="26"/>
          <w:szCs w:val="26"/>
          <w:rtl/>
        </w:rPr>
        <w:tab/>
      </w:r>
      <w:r w:rsidRPr="003D29C2">
        <w:rPr>
          <w:rStyle w:val="default"/>
          <w:rFonts w:cs="FrankRuehl"/>
          <w:sz w:val="26"/>
          <w:rtl/>
        </w:rPr>
        <w:t>(</w:t>
      </w:r>
      <w:r w:rsidRPr="003D29C2">
        <w:rPr>
          <w:rStyle w:val="default"/>
          <w:rFonts w:cs="FrankRuehl" w:hint="cs"/>
          <w:sz w:val="26"/>
          <w:rtl/>
        </w:rPr>
        <w:t>א)</w:t>
      </w:r>
      <w:r w:rsidRPr="003D29C2">
        <w:rPr>
          <w:rStyle w:val="default"/>
          <w:rFonts w:cs="FrankRuehl"/>
          <w:sz w:val="26"/>
          <w:rtl/>
        </w:rPr>
        <w:tab/>
      </w:r>
      <w:r w:rsidRPr="003D29C2">
        <w:rPr>
          <w:rStyle w:val="default"/>
          <w:rFonts w:cs="FrankRuehl" w:hint="cs"/>
          <w:sz w:val="26"/>
          <w:rtl/>
        </w:rPr>
        <w:t>בשמיעת ערר, ערר על שומה או בקשה לא ייזקק בית דין לכל טענות של פגם בצורתם או בצורת תשובת המ</w:t>
      </w:r>
      <w:r w:rsidRPr="003D29C2">
        <w:rPr>
          <w:rStyle w:val="default"/>
          <w:rFonts w:cs="FrankRuehl"/>
          <w:sz w:val="26"/>
          <w:rtl/>
        </w:rPr>
        <w:t>ש</w:t>
      </w:r>
      <w:r w:rsidRPr="003D29C2">
        <w:rPr>
          <w:rStyle w:val="default"/>
          <w:rFonts w:cs="FrankRuehl" w:hint="cs"/>
          <w:sz w:val="26"/>
          <w:rtl/>
        </w:rPr>
        <w:t>יב, אלא אם כן נמסרה הודעה בכתב על כך לבעל הדין השני לפחות שבעה ימים לפני היום שנקבע לשמיעת הטענות ובעל הדין לא תיקן את הפגם לפני אותו מועד.</w:t>
      </w:r>
    </w:p>
    <w:p w:rsidR="00B6323A" w:rsidRPr="003D29C2" w:rsidRDefault="00B6323A" w:rsidP="003D29C2">
      <w:pPr>
        <w:pStyle w:val="P00"/>
        <w:spacing w:before="72"/>
        <w:ind w:left="0" w:right="1134"/>
        <w:rPr>
          <w:rStyle w:val="default"/>
          <w:rFonts w:cs="FrankRuehl"/>
          <w:sz w:val="26"/>
          <w:rtl/>
        </w:rPr>
      </w:pPr>
      <w:r w:rsidRPr="003D29C2">
        <w:rPr>
          <w:sz w:val="26"/>
          <w:rtl/>
        </w:rPr>
        <w:tab/>
      </w:r>
      <w:r w:rsidRPr="003D29C2">
        <w:rPr>
          <w:rStyle w:val="default"/>
          <w:rFonts w:cs="FrankRuehl"/>
          <w:sz w:val="26"/>
          <w:rtl/>
        </w:rPr>
        <w:t>(</w:t>
      </w:r>
      <w:r w:rsidRPr="003D29C2">
        <w:rPr>
          <w:rStyle w:val="default"/>
          <w:rFonts w:cs="FrankRuehl" w:hint="cs"/>
          <w:sz w:val="26"/>
          <w:rtl/>
        </w:rPr>
        <w:t>ב)</w:t>
      </w:r>
      <w:r w:rsidRPr="003D29C2">
        <w:rPr>
          <w:rStyle w:val="default"/>
          <w:rFonts w:cs="FrankRuehl"/>
          <w:sz w:val="26"/>
          <w:rtl/>
        </w:rPr>
        <w:tab/>
      </w:r>
      <w:r w:rsidRPr="003D29C2">
        <w:rPr>
          <w:rStyle w:val="default"/>
          <w:rFonts w:cs="FrankRuehl" w:hint="cs"/>
          <w:sz w:val="26"/>
          <w:rtl/>
        </w:rPr>
        <w:t xml:space="preserve">נמסרה הודעה כאמור בתקנת משנה (א) ובעל הדין לא תיקן את הפגם בעוד מועד, רשאי בית הדין </w:t>
      </w:r>
      <w:r w:rsidR="003D29C2">
        <w:rPr>
          <w:rStyle w:val="default"/>
          <w:rFonts w:hint="cs"/>
          <w:sz w:val="26"/>
          <w:rtl/>
        </w:rPr>
        <w:t>-</w:t>
      </w:r>
      <w:r w:rsidRPr="003D29C2">
        <w:rPr>
          <w:rStyle w:val="default"/>
          <w:rFonts w:cs="FrankRuehl" w:hint="cs"/>
          <w:sz w:val="26"/>
          <w:rtl/>
        </w:rPr>
        <w:t xml:space="preserve"> מטעמים שלדעתו מצדיקים זא</w:t>
      </w:r>
      <w:r w:rsidRPr="003D29C2">
        <w:rPr>
          <w:rStyle w:val="default"/>
          <w:rFonts w:cs="FrankRuehl"/>
          <w:sz w:val="26"/>
          <w:rtl/>
        </w:rPr>
        <w:t>ת</w:t>
      </w:r>
      <w:r w:rsidRPr="003D29C2">
        <w:rPr>
          <w:rStyle w:val="default"/>
          <w:rFonts w:cs="FrankRuehl" w:hint="cs"/>
          <w:sz w:val="26"/>
          <w:rtl/>
        </w:rPr>
        <w:t xml:space="preserve"> </w:t>
      </w:r>
      <w:r w:rsidR="003D29C2">
        <w:rPr>
          <w:rStyle w:val="default"/>
          <w:rFonts w:hint="cs"/>
          <w:sz w:val="26"/>
          <w:rtl/>
        </w:rPr>
        <w:t>-</w:t>
      </w:r>
      <w:r w:rsidRPr="003D29C2">
        <w:rPr>
          <w:rStyle w:val="default"/>
          <w:rFonts w:cs="FrankRuehl" w:hint="cs"/>
          <w:sz w:val="26"/>
          <w:rtl/>
        </w:rPr>
        <w:t xml:space="preserve"> להרשות לבעל דין לתקן את הפגמים בתנאים שיקבעם.</w:t>
      </w:r>
    </w:p>
    <w:p w:rsidR="00B6323A" w:rsidRPr="003D29C2" w:rsidRDefault="00B6323A" w:rsidP="003D29C2">
      <w:pPr>
        <w:pStyle w:val="P00"/>
        <w:spacing w:before="72"/>
        <w:ind w:left="0" w:right="1134"/>
        <w:rPr>
          <w:rStyle w:val="default"/>
          <w:rFonts w:cs="FrankRuehl"/>
          <w:sz w:val="26"/>
          <w:rtl/>
        </w:rPr>
      </w:pPr>
      <w:bookmarkStart w:id="15" w:name="Seif15"/>
      <w:bookmarkEnd w:id="15"/>
      <w:r w:rsidRPr="003D29C2">
        <w:rPr>
          <w:rFonts w:cs="Miriam"/>
          <w:sz w:val="32"/>
          <w:szCs w:val="32"/>
          <w:lang w:val="he-IL"/>
        </w:rPr>
        <w:pict>
          <v:rect id="_x0000_s1041" style="position:absolute;left:0;text-align:left;margin-left:464.5pt;margin-top:8.05pt;width:75.05pt;height:17.15pt;z-index:251662336" o:allowincell="f" filled="f" stroked="f" strokecolor="lime" strokeweight=".25pt">
            <v:textbox style="mso-next-textbox:#_x0000_s1041" inset="0,0,0,0">
              <w:txbxContent>
                <w:p w:rsidR="00B6323A" w:rsidRDefault="00B6323A">
                  <w:pPr>
                    <w:spacing w:line="160" w:lineRule="exact"/>
                    <w:rPr>
                      <w:rFonts w:cs="Miriam"/>
                      <w:noProof/>
                      <w:szCs w:val="18"/>
                      <w:rtl/>
                    </w:rPr>
                  </w:pPr>
                  <w:r>
                    <w:rPr>
                      <w:rFonts w:cs="Miriam"/>
                      <w:szCs w:val="18"/>
                      <w:rtl/>
                    </w:rPr>
                    <w:t>ד</w:t>
                  </w:r>
                  <w:r>
                    <w:rPr>
                      <w:rFonts w:cs="Miriam" w:hint="cs"/>
                      <w:szCs w:val="18"/>
                      <w:rtl/>
                    </w:rPr>
                    <w:t>חיית השמיעה</w:t>
                  </w:r>
                </w:p>
              </w:txbxContent>
            </v:textbox>
            <w10:anchorlock/>
          </v:rect>
        </w:pict>
      </w:r>
      <w:r w:rsidRPr="003D29C2">
        <w:rPr>
          <w:rStyle w:val="big-number"/>
          <w:rFonts w:cs="Miriam"/>
          <w:sz w:val="32"/>
          <w:rtl/>
        </w:rPr>
        <w:t>16</w:t>
      </w:r>
      <w:r w:rsidRPr="003D29C2">
        <w:rPr>
          <w:rStyle w:val="big-number"/>
          <w:rFonts w:cs="FrankRuehl"/>
          <w:sz w:val="26"/>
          <w:szCs w:val="26"/>
          <w:rtl/>
        </w:rPr>
        <w:t>.</w:t>
      </w:r>
      <w:r w:rsidRPr="003D29C2">
        <w:rPr>
          <w:rStyle w:val="big-number"/>
          <w:rFonts w:cs="FrankRuehl"/>
          <w:sz w:val="26"/>
          <w:szCs w:val="26"/>
          <w:rtl/>
        </w:rPr>
        <w:tab/>
      </w:r>
      <w:r w:rsidRPr="003D29C2">
        <w:rPr>
          <w:rStyle w:val="default"/>
          <w:rFonts w:cs="FrankRuehl"/>
          <w:sz w:val="26"/>
          <w:rtl/>
        </w:rPr>
        <w:t>ב</w:t>
      </w:r>
      <w:r w:rsidRPr="003D29C2">
        <w:rPr>
          <w:rStyle w:val="default"/>
          <w:rFonts w:cs="FrankRuehl" w:hint="cs"/>
          <w:sz w:val="26"/>
          <w:rtl/>
        </w:rPr>
        <w:t xml:space="preserve">ית הדין רשאי לדחות את שמיעת הערר, הערר על שומה או הבקשה למועד אחר. ומשהתחיל בשמיעה </w:t>
      </w:r>
      <w:r w:rsidR="003D29C2">
        <w:rPr>
          <w:rStyle w:val="default"/>
          <w:rFonts w:hint="cs"/>
          <w:sz w:val="26"/>
          <w:rtl/>
        </w:rPr>
        <w:t>-</w:t>
      </w:r>
      <w:r w:rsidRPr="003D29C2">
        <w:rPr>
          <w:rStyle w:val="default"/>
          <w:rFonts w:cs="FrankRuehl" w:hint="cs"/>
          <w:sz w:val="26"/>
          <w:rtl/>
        </w:rPr>
        <w:t xml:space="preserve"> לדחות את המשך הדיון בהם, אם הדחיה דרושה, לדעתה, למען הצדק.</w:t>
      </w:r>
    </w:p>
    <w:p w:rsidR="00B6323A" w:rsidRPr="003D29C2" w:rsidRDefault="00B6323A" w:rsidP="003D29C2">
      <w:pPr>
        <w:pStyle w:val="P00"/>
        <w:spacing w:before="72"/>
        <w:ind w:left="0" w:right="1134"/>
        <w:rPr>
          <w:rStyle w:val="default"/>
          <w:rFonts w:cs="FrankRuehl"/>
          <w:sz w:val="26"/>
          <w:rtl/>
        </w:rPr>
      </w:pPr>
      <w:bookmarkStart w:id="16" w:name="Seif16"/>
      <w:bookmarkEnd w:id="16"/>
      <w:r w:rsidRPr="003D29C2">
        <w:rPr>
          <w:rFonts w:cs="Miriam"/>
          <w:sz w:val="32"/>
          <w:szCs w:val="32"/>
          <w:lang w:val="he-IL"/>
        </w:rPr>
        <w:pict>
          <v:rect id="_x0000_s1042" style="position:absolute;left:0;text-align:left;margin-left:468pt;margin-top:8.05pt;width:71.55pt;height:21.65pt;z-index:251663360" o:allowincell="f" filled="f" stroked="f" strokecolor="lime" strokeweight=".25pt">
            <v:textbox style="mso-next-textbox:#_x0000_s1042" inset="0,0,0,0">
              <w:txbxContent>
                <w:p w:rsidR="00B6323A" w:rsidRDefault="00B6323A">
                  <w:pPr>
                    <w:spacing w:line="160" w:lineRule="exact"/>
                    <w:rPr>
                      <w:rFonts w:cs="Miriam"/>
                      <w:noProof/>
                      <w:szCs w:val="18"/>
                      <w:rtl/>
                    </w:rPr>
                  </w:pPr>
                  <w:r>
                    <w:rPr>
                      <w:rFonts w:cs="Miriam"/>
                      <w:szCs w:val="18"/>
                      <w:rtl/>
                    </w:rPr>
                    <w:t>ה</w:t>
                  </w:r>
                  <w:r>
                    <w:rPr>
                      <w:rFonts w:cs="Miriam" w:hint="cs"/>
                      <w:szCs w:val="18"/>
                      <w:rtl/>
                    </w:rPr>
                    <w:t>דיון מוגבל לנימוקים שבכתב</w:t>
                  </w:r>
                </w:p>
              </w:txbxContent>
            </v:textbox>
            <w10:anchorlock/>
          </v:rect>
        </w:pict>
      </w:r>
      <w:r w:rsidRPr="003D29C2">
        <w:rPr>
          <w:rStyle w:val="big-number"/>
          <w:rFonts w:cs="Miriam"/>
          <w:sz w:val="32"/>
          <w:rtl/>
        </w:rPr>
        <w:t>17</w:t>
      </w:r>
      <w:r w:rsidRPr="003D29C2">
        <w:rPr>
          <w:rStyle w:val="big-number"/>
          <w:rFonts w:cs="FrankRuehl"/>
          <w:sz w:val="26"/>
          <w:szCs w:val="26"/>
          <w:rtl/>
        </w:rPr>
        <w:t>.</w:t>
      </w:r>
      <w:r w:rsidRPr="003D29C2">
        <w:rPr>
          <w:rStyle w:val="big-number"/>
          <w:rFonts w:cs="FrankRuehl"/>
          <w:sz w:val="26"/>
          <w:szCs w:val="26"/>
          <w:rtl/>
        </w:rPr>
        <w:tab/>
      </w:r>
      <w:r w:rsidRPr="003D29C2">
        <w:rPr>
          <w:rStyle w:val="default"/>
          <w:rFonts w:cs="FrankRuehl"/>
          <w:sz w:val="26"/>
          <w:rtl/>
        </w:rPr>
        <w:t>(</w:t>
      </w:r>
      <w:r w:rsidRPr="003D29C2">
        <w:rPr>
          <w:rStyle w:val="default"/>
          <w:rFonts w:cs="FrankRuehl" w:hint="cs"/>
          <w:sz w:val="26"/>
          <w:rtl/>
        </w:rPr>
        <w:t>א)</w:t>
      </w:r>
      <w:r w:rsidRPr="003D29C2">
        <w:rPr>
          <w:rStyle w:val="default"/>
          <w:rFonts w:cs="FrankRuehl"/>
          <w:sz w:val="26"/>
          <w:rtl/>
        </w:rPr>
        <w:tab/>
      </w:r>
      <w:r w:rsidRPr="003D29C2">
        <w:rPr>
          <w:rStyle w:val="default"/>
          <w:rFonts w:cs="FrankRuehl" w:hint="cs"/>
          <w:sz w:val="26"/>
          <w:rtl/>
        </w:rPr>
        <w:t xml:space="preserve">בשמיעת הערר, הערר של שומה או הבקשה לא </w:t>
      </w:r>
      <w:r w:rsidR="00576B88">
        <w:rPr>
          <w:rStyle w:val="default"/>
          <w:rFonts w:cs="FrankRuehl" w:hint="cs"/>
          <w:sz w:val="26"/>
          <w:rtl/>
        </w:rPr>
        <w:t>י</w:t>
      </w:r>
      <w:r w:rsidRPr="003D29C2">
        <w:rPr>
          <w:rStyle w:val="default"/>
          <w:rFonts w:cs="FrankRuehl" w:hint="cs"/>
          <w:sz w:val="26"/>
          <w:rtl/>
        </w:rPr>
        <w:t xml:space="preserve">יזקק </w:t>
      </w:r>
      <w:r w:rsidR="00576B88">
        <w:rPr>
          <w:rStyle w:val="default"/>
          <w:rFonts w:cs="FrankRuehl" w:hint="cs"/>
          <w:sz w:val="26"/>
          <w:rtl/>
        </w:rPr>
        <w:t>בית הדין</w:t>
      </w:r>
      <w:r w:rsidRPr="003D29C2">
        <w:rPr>
          <w:rStyle w:val="default"/>
          <w:rFonts w:cs="FrankRuehl" w:hint="cs"/>
          <w:sz w:val="26"/>
          <w:rtl/>
        </w:rPr>
        <w:t xml:space="preserve"> לכל נימוק שלא הוזכר בהם או בתשובה אלא אם כן היא משוכנעת שהנימוק הושמט שלא באשמת בעל הדין המבקש להיעזר בו או ששמיעת הנימוק דרושה למען הצדק.</w:t>
      </w:r>
    </w:p>
    <w:p w:rsidR="00B6323A" w:rsidRPr="003D29C2" w:rsidRDefault="00B6323A" w:rsidP="003D29C2">
      <w:pPr>
        <w:pStyle w:val="P00"/>
        <w:spacing w:before="72"/>
        <w:ind w:left="0" w:right="1134"/>
        <w:rPr>
          <w:rStyle w:val="default"/>
          <w:rFonts w:cs="FrankRuehl"/>
          <w:sz w:val="26"/>
          <w:rtl/>
        </w:rPr>
      </w:pPr>
      <w:r w:rsidRPr="003D29C2">
        <w:rPr>
          <w:sz w:val="26"/>
          <w:rtl/>
        </w:rPr>
        <w:tab/>
      </w:r>
      <w:r w:rsidRPr="003D29C2">
        <w:rPr>
          <w:rStyle w:val="default"/>
          <w:rFonts w:cs="FrankRuehl"/>
          <w:sz w:val="26"/>
          <w:rtl/>
        </w:rPr>
        <w:t>(</w:t>
      </w:r>
      <w:r w:rsidRPr="003D29C2">
        <w:rPr>
          <w:rStyle w:val="default"/>
          <w:rFonts w:cs="FrankRuehl" w:hint="cs"/>
          <w:sz w:val="26"/>
          <w:rtl/>
        </w:rPr>
        <w:t>ב)</w:t>
      </w:r>
      <w:r w:rsidRPr="003D29C2">
        <w:rPr>
          <w:rStyle w:val="default"/>
          <w:rFonts w:cs="FrankRuehl"/>
          <w:sz w:val="26"/>
          <w:rtl/>
        </w:rPr>
        <w:tab/>
      </w:r>
      <w:r w:rsidRPr="003D29C2">
        <w:rPr>
          <w:rStyle w:val="default"/>
          <w:rFonts w:cs="FrankRuehl" w:hint="cs"/>
          <w:sz w:val="26"/>
          <w:rtl/>
        </w:rPr>
        <w:t>בית הדין רשאי להורות על הגשת פרטים נוספים והמצאת ראיות נוספות בכל ענין הנזכר בערר, בערר על שומה או בבקשה או ב</w:t>
      </w:r>
      <w:r w:rsidRPr="003D29C2">
        <w:rPr>
          <w:rStyle w:val="default"/>
          <w:rFonts w:cs="FrankRuehl"/>
          <w:sz w:val="26"/>
          <w:rtl/>
        </w:rPr>
        <w:t>ת</w:t>
      </w:r>
      <w:r w:rsidRPr="003D29C2">
        <w:rPr>
          <w:rStyle w:val="default"/>
          <w:rFonts w:cs="FrankRuehl" w:hint="cs"/>
          <w:sz w:val="26"/>
          <w:rtl/>
        </w:rPr>
        <w:t>שובה או ביחס לכל נימוק שבית הדין החליט להיזקק לו כאמור בתקנת משנה (א).</w:t>
      </w:r>
    </w:p>
    <w:p w:rsidR="00B6323A" w:rsidRPr="003D29C2" w:rsidRDefault="00B6323A" w:rsidP="003D29C2">
      <w:pPr>
        <w:pStyle w:val="P00"/>
        <w:spacing w:before="72"/>
        <w:ind w:left="0" w:right="1134"/>
        <w:rPr>
          <w:rStyle w:val="default"/>
          <w:rFonts w:cs="FrankRuehl"/>
          <w:sz w:val="26"/>
          <w:rtl/>
        </w:rPr>
      </w:pPr>
      <w:bookmarkStart w:id="17" w:name="Seif17"/>
      <w:bookmarkEnd w:id="17"/>
      <w:r w:rsidRPr="003D29C2">
        <w:rPr>
          <w:rFonts w:cs="Miriam"/>
          <w:sz w:val="32"/>
          <w:szCs w:val="32"/>
          <w:lang w:val="he-IL"/>
        </w:rPr>
        <w:pict>
          <v:rect id="_x0000_s1043" style="position:absolute;left:0;text-align:left;margin-left:464.5pt;margin-top:8.05pt;width:75.05pt;height:13.7pt;z-index:251664384" o:allowincell="f" filled="f" stroked="f" strokecolor="lime" strokeweight=".25pt">
            <v:textbox style="mso-next-textbox:#_x0000_s1043" inset="0,0,0,0">
              <w:txbxContent>
                <w:p w:rsidR="00B6323A" w:rsidRDefault="00B6323A">
                  <w:pPr>
                    <w:spacing w:line="160" w:lineRule="exact"/>
                    <w:rPr>
                      <w:rFonts w:cs="Miriam"/>
                      <w:noProof/>
                      <w:szCs w:val="18"/>
                      <w:rtl/>
                    </w:rPr>
                  </w:pPr>
                  <w:r>
                    <w:rPr>
                      <w:rFonts w:cs="Miriam"/>
                      <w:szCs w:val="18"/>
                      <w:rtl/>
                    </w:rPr>
                    <w:t>ה</w:t>
                  </w:r>
                  <w:r>
                    <w:rPr>
                      <w:rFonts w:cs="Miriam" w:hint="cs"/>
                      <w:szCs w:val="18"/>
                      <w:rtl/>
                    </w:rPr>
                    <w:t xml:space="preserve">חלטת </w:t>
                  </w:r>
                  <w:r w:rsidR="00576B88">
                    <w:rPr>
                      <w:rFonts w:cs="Miriam" w:hint="cs"/>
                      <w:szCs w:val="18"/>
                      <w:rtl/>
                    </w:rPr>
                    <w:t>בית הדין</w:t>
                  </w:r>
                </w:p>
              </w:txbxContent>
            </v:textbox>
            <w10:anchorlock/>
          </v:rect>
        </w:pict>
      </w:r>
      <w:r w:rsidRPr="003D29C2">
        <w:rPr>
          <w:rStyle w:val="big-number"/>
          <w:rFonts w:cs="Miriam"/>
          <w:sz w:val="32"/>
          <w:rtl/>
        </w:rPr>
        <w:t>18</w:t>
      </w:r>
      <w:r w:rsidRPr="003D29C2">
        <w:rPr>
          <w:rStyle w:val="big-number"/>
          <w:rFonts w:cs="FrankRuehl"/>
          <w:sz w:val="26"/>
          <w:szCs w:val="26"/>
          <w:rtl/>
        </w:rPr>
        <w:t>.</w:t>
      </w:r>
      <w:r w:rsidRPr="003D29C2">
        <w:rPr>
          <w:rStyle w:val="big-number"/>
          <w:rFonts w:cs="FrankRuehl"/>
          <w:sz w:val="26"/>
          <w:szCs w:val="26"/>
          <w:rtl/>
        </w:rPr>
        <w:tab/>
      </w:r>
      <w:r w:rsidRPr="003D29C2">
        <w:rPr>
          <w:rStyle w:val="default"/>
          <w:rFonts w:cs="FrankRuehl"/>
          <w:sz w:val="26"/>
          <w:rtl/>
        </w:rPr>
        <w:t>(</w:t>
      </w:r>
      <w:r w:rsidRPr="003D29C2">
        <w:rPr>
          <w:rStyle w:val="default"/>
          <w:rFonts w:cs="FrankRuehl" w:hint="cs"/>
          <w:sz w:val="26"/>
          <w:rtl/>
        </w:rPr>
        <w:t>א)</w:t>
      </w:r>
      <w:r w:rsidRPr="003D29C2">
        <w:rPr>
          <w:rStyle w:val="default"/>
          <w:rFonts w:cs="FrankRuehl"/>
          <w:sz w:val="26"/>
          <w:rtl/>
        </w:rPr>
        <w:tab/>
      </w:r>
      <w:r w:rsidRPr="003D29C2">
        <w:rPr>
          <w:rStyle w:val="default"/>
          <w:rFonts w:cs="FrankRuehl" w:hint="cs"/>
          <w:sz w:val="26"/>
          <w:rtl/>
        </w:rPr>
        <w:t>החלטת בית הדין תיערך בכתב ותיחתם ביד היושב ראש וחבריו.</w:t>
      </w:r>
    </w:p>
    <w:p w:rsidR="00B6323A" w:rsidRPr="003D29C2" w:rsidRDefault="00B6323A" w:rsidP="003D29C2">
      <w:pPr>
        <w:pStyle w:val="P00"/>
        <w:spacing w:before="72"/>
        <w:ind w:left="0" w:right="1134"/>
        <w:rPr>
          <w:rStyle w:val="default"/>
          <w:rFonts w:cs="FrankRuehl"/>
          <w:sz w:val="26"/>
          <w:rtl/>
        </w:rPr>
      </w:pPr>
      <w:r w:rsidRPr="003D29C2">
        <w:rPr>
          <w:sz w:val="26"/>
          <w:rtl/>
        </w:rPr>
        <w:tab/>
      </w:r>
      <w:r w:rsidRPr="003D29C2">
        <w:rPr>
          <w:rStyle w:val="default"/>
          <w:rFonts w:cs="FrankRuehl"/>
          <w:sz w:val="26"/>
          <w:rtl/>
        </w:rPr>
        <w:t>(</w:t>
      </w:r>
      <w:r w:rsidRPr="003D29C2">
        <w:rPr>
          <w:rStyle w:val="default"/>
          <w:rFonts w:cs="FrankRuehl" w:hint="cs"/>
          <w:sz w:val="26"/>
          <w:rtl/>
        </w:rPr>
        <w:t>ב)</w:t>
      </w:r>
      <w:r w:rsidRPr="003D29C2">
        <w:rPr>
          <w:rStyle w:val="default"/>
          <w:rFonts w:cs="FrankRuehl"/>
          <w:sz w:val="26"/>
          <w:rtl/>
        </w:rPr>
        <w:tab/>
      </w:r>
      <w:r w:rsidRPr="003D29C2">
        <w:rPr>
          <w:rStyle w:val="default"/>
          <w:rFonts w:cs="FrankRuehl" w:hint="cs"/>
          <w:sz w:val="26"/>
          <w:rtl/>
        </w:rPr>
        <w:t>העתק ההחלטה, מאושר ביד היושב ראש, יישלח לעורר או למבקש ולמשיב סמוך ככל האפשר למתן ההחל</w:t>
      </w:r>
      <w:r w:rsidRPr="003D29C2">
        <w:rPr>
          <w:rStyle w:val="default"/>
          <w:rFonts w:cs="FrankRuehl"/>
          <w:sz w:val="26"/>
          <w:rtl/>
        </w:rPr>
        <w:t>ט</w:t>
      </w:r>
      <w:r w:rsidRPr="003D29C2">
        <w:rPr>
          <w:rStyle w:val="default"/>
          <w:rFonts w:cs="FrankRuehl" w:hint="cs"/>
          <w:sz w:val="26"/>
          <w:rtl/>
        </w:rPr>
        <w:t>ה.</w:t>
      </w:r>
    </w:p>
    <w:p w:rsidR="00B6323A" w:rsidRPr="003D29C2" w:rsidRDefault="00B6323A" w:rsidP="003D29C2">
      <w:pPr>
        <w:pStyle w:val="P00"/>
        <w:spacing w:before="72"/>
        <w:ind w:left="0" w:right="1134"/>
        <w:rPr>
          <w:rStyle w:val="default"/>
          <w:rFonts w:cs="FrankRuehl"/>
          <w:sz w:val="26"/>
          <w:rtl/>
        </w:rPr>
      </w:pPr>
      <w:bookmarkStart w:id="18" w:name="Seif18"/>
      <w:bookmarkEnd w:id="18"/>
      <w:r w:rsidRPr="003D29C2">
        <w:rPr>
          <w:rFonts w:cs="Miriam"/>
          <w:sz w:val="32"/>
          <w:szCs w:val="32"/>
          <w:lang w:val="he-IL"/>
        </w:rPr>
        <w:pict>
          <v:rect id="_x0000_s1044" style="position:absolute;left:0;text-align:left;margin-left:464.5pt;margin-top:8.05pt;width:75.05pt;height:23.6pt;z-index:251665408" o:allowincell="f" filled="f" stroked="f" strokecolor="lime" strokeweight=".25pt">
            <v:textbox style="mso-next-textbox:#_x0000_s1044" inset="0,0,0,0">
              <w:txbxContent>
                <w:p w:rsidR="00B6323A" w:rsidRDefault="00B6323A" w:rsidP="003D29C2">
                  <w:pPr>
                    <w:spacing w:line="160" w:lineRule="exact"/>
                    <w:rPr>
                      <w:rFonts w:cs="Miriam"/>
                      <w:noProof/>
                      <w:szCs w:val="18"/>
                      <w:rtl/>
                    </w:rPr>
                  </w:pPr>
                  <w:r>
                    <w:rPr>
                      <w:rFonts w:cs="Miriam"/>
                      <w:szCs w:val="18"/>
                      <w:rtl/>
                    </w:rPr>
                    <w:t>א</w:t>
                  </w:r>
                  <w:r>
                    <w:rPr>
                      <w:rFonts w:cs="Miriam" w:hint="cs"/>
                      <w:szCs w:val="18"/>
                      <w:rtl/>
                    </w:rPr>
                    <w:t>יחוד ערר</w:t>
                  </w:r>
                  <w:r>
                    <w:rPr>
                      <w:rFonts w:cs="Miriam"/>
                      <w:szCs w:val="18"/>
                      <w:rtl/>
                    </w:rPr>
                    <w:t>י</w:t>
                  </w:r>
                  <w:r>
                    <w:rPr>
                      <w:rFonts w:cs="Miriam" w:hint="cs"/>
                      <w:szCs w:val="18"/>
                      <w:rtl/>
                    </w:rPr>
                    <w:t>ם</w:t>
                  </w:r>
                  <w:r w:rsidR="003D29C2">
                    <w:rPr>
                      <w:rFonts w:cs="Miriam" w:hint="cs"/>
                      <w:szCs w:val="18"/>
                      <w:rtl/>
                    </w:rPr>
                    <w:t xml:space="preserve"> </w:t>
                  </w:r>
                  <w:r>
                    <w:rPr>
                      <w:rFonts w:cs="Miriam"/>
                      <w:szCs w:val="18"/>
                      <w:rtl/>
                    </w:rPr>
                    <w:t>א</w:t>
                  </w:r>
                  <w:r>
                    <w:rPr>
                      <w:rFonts w:cs="Miriam" w:hint="cs"/>
                      <w:szCs w:val="18"/>
                      <w:rtl/>
                    </w:rPr>
                    <w:t>ו בקשות</w:t>
                  </w:r>
                </w:p>
              </w:txbxContent>
            </v:textbox>
            <w10:anchorlock/>
          </v:rect>
        </w:pict>
      </w:r>
      <w:r w:rsidRPr="003D29C2">
        <w:rPr>
          <w:rStyle w:val="big-number"/>
          <w:rFonts w:cs="Miriam"/>
          <w:sz w:val="32"/>
          <w:rtl/>
        </w:rPr>
        <w:t>19</w:t>
      </w:r>
      <w:r w:rsidRPr="003D29C2">
        <w:rPr>
          <w:rStyle w:val="big-number"/>
          <w:rFonts w:cs="FrankRuehl"/>
          <w:sz w:val="26"/>
          <w:szCs w:val="26"/>
          <w:rtl/>
        </w:rPr>
        <w:t>.</w:t>
      </w:r>
      <w:r w:rsidRPr="003D29C2">
        <w:rPr>
          <w:rStyle w:val="big-number"/>
          <w:rFonts w:cs="FrankRuehl"/>
          <w:sz w:val="26"/>
          <w:szCs w:val="26"/>
          <w:rtl/>
        </w:rPr>
        <w:tab/>
      </w:r>
      <w:r w:rsidRPr="003D29C2">
        <w:rPr>
          <w:rStyle w:val="default"/>
          <w:rFonts w:cs="FrankRuehl"/>
          <w:sz w:val="26"/>
          <w:rtl/>
        </w:rPr>
        <w:t>ב</w:t>
      </w:r>
      <w:r w:rsidRPr="003D29C2">
        <w:rPr>
          <w:rStyle w:val="default"/>
          <w:rFonts w:cs="FrankRuehl" w:hint="cs"/>
          <w:sz w:val="26"/>
          <w:rtl/>
        </w:rPr>
        <w:t>ית הדין רשאי לאחד עררים או בקשות התלויים ועומדים בפניו, לדון בהם במשותף ולתת החלטה אחת בכולם, אם כרוכות בהם אותן בעיות חוק או אותן בעיות עובדה או בעיות חוק או בעיות עובדה דומות.</w:t>
      </w:r>
    </w:p>
    <w:p w:rsidR="00B6323A" w:rsidRPr="003D29C2" w:rsidRDefault="00B6323A" w:rsidP="003D29C2">
      <w:pPr>
        <w:pStyle w:val="P00"/>
        <w:spacing w:before="72"/>
        <w:ind w:left="0" w:right="1134"/>
        <w:rPr>
          <w:rStyle w:val="default"/>
          <w:rFonts w:cs="FrankRuehl"/>
          <w:sz w:val="26"/>
          <w:rtl/>
        </w:rPr>
      </w:pPr>
      <w:bookmarkStart w:id="19" w:name="Seif19"/>
      <w:bookmarkEnd w:id="19"/>
      <w:r w:rsidRPr="003D29C2">
        <w:rPr>
          <w:rFonts w:cs="Miriam"/>
          <w:sz w:val="32"/>
          <w:szCs w:val="32"/>
          <w:lang w:val="he-IL"/>
        </w:rPr>
        <w:pict>
          <v:rect id="_x0000_s1045" style="position:absolute;left:0;text-align:left;margin-left:464.5pt;margin-top:8.05pt;width:75.05pt;height:10.1pt;z-index:251666432" o:allowincell="f" filled="f" stroked="f" strokecolor="lime" strokeweight=".25pt">
            <v:textbox style="mso-next-textbox:#_x0000_s1045" inset="0,0,0,0">
              <w:txbxContent>
                <w:p w:rsidR="00B6323A" w:rsidRDefault="00B6323A">
                  <w:pPr>
                    <w:spacing w:line="160" w:lineRule="exact"/>
                    <w:rPr>
                      <w:rFonts w:cs="Miriam"/>
                      <w:noProof/>
                      <w:szCs w:val="18"/>
                      <w:rtl/>
                    </w:rPr>
                  </w:pPr>
                  <w:r>
                    <w:rPr>
                      <w:rFonts w:cs="Miriam"/>
                      <w:szCs w:val="18"/>
                      <w:rtl/>
                    </w:rPr>
                    <w:t>צ</w:t>
                  </w:r>
                  <w:r>
                    <w:rPr>
                      <w:rFonts w:cs="Miriam" w:hint="cs"/>
                      <w:szCs w:val="18"/>
                      <w:rtl/>
                    </w:rPr>
                    <w:t>ירוף בעלי דין</w:t>
                  </w:r>
                </w:p>
              </w:txbxContent>
            </v:textbox>
            <w10:anchorlock/>
          </v:rect>
        </w:pict>
      </w:r>
      <w:r w:rsidRPr="003D29C2">
        <w:rPr>
          <w:rStyle w:val="big-number"/>
          <w:rFonts w:cs="Miriam"/>
          <w:sz w:val="32"/>
          <w:rtl/>
        </w:rPr>
        <w:t>20</w:t>
      </w:r>
      <w:r w:rsidRPr="003D29C2">
        <w:rPr>
          <w:rStyle w:val="big-number"/>
          <w:rFonts w:cs="FrankRuehl"/>
          <w:sz w:val="26"/>
          <w:szCs w:val="26"/>
          <w:rtl/>
        </w:rPr>
        <w:t>.</w:t>
      </w:r>
      <w:r w:rsidRPr="003D29C2">
        <w:rPr>
          <w:rStyle w:val="big-number"/>
          <w:rFonts w:cs="FrankRuehl"/>
          <w:sz w:val="26"/>
          <w:szCs w:val="26"/>
          <w:rtl/>
        </w:rPr>
        <w:tab/>
      </w:r>
      <w:r w:rsidRPr="003D29C2">
        <w:rPr>
          <w:rStyle w:val="default"/>
          <w:rFonts w:cs="FrankRuehl"/>
          <w:sz w:val="26"/>
          <w:rtl/>
        </w:rPr>
        <w:t>ב</w:t>
      </w:r>
      <w:r w:rsidRPr="003D29C2">
        <w:rPr>
          <w:rStyle w:val="default"/>
          <w:rFonts w:cs="FrankRuehl" w:hint="cs"/>
          <w:sz w:val="26"/>
          <w:rtl/>
        </w:rPr>
        <w:t>ית הדין רשאי בכל שלב של מהלך הדיון, לצרף, כעורר, כמבקש או כמשי</w:t>
      </w:r>
      <w:r w:rsidRPr="003D29C2">
        <w:rPr>
          <w:rStyle w:val="default"/>
          <w:rFonts w:cs="FrankRuehl"/>
          <w:sz w:val="26"/>
          <w:rtl/>
        </w:rPr>
        <w:t>ב</w:t>
      </w:r>
      <w:r w:rsidRPr="003D29C2">
        <w:rPr>
          <w:rStyle w:val="default"/>
          <w:rFonts w:cs="FrankRuehl" w:hint="cs"/>
          <w:sz w:val="26"/>
          <w:rtl/>
        </w:rPr>
        <w:t xml:space="preserve"> בערר, בערר על שומה או בבקשה שלפניו כל אדם הנראה לו כמעונין בהם.</w:t>
      </w:r>
    </w:p>
    <w:p w:rsidR="00B6323A" w:rsidRPr="003D29C2" w:rsidRDefault="00B6323A" w:rsidP="003D29C2">
      <w:pPr>
        <w:pStyle w:val="P00"/>
        <w:spacing w:before="72"/>
        <w:ind w:left="0" w:right="1134"/>
        <w:rPr>
          <w:rStyle w:val="default"/>
          <w:rFonts w:cs="FrankRuehl"/>
          <w:sz w:val="26"/>
          <w:rtl/>
        </w:rPr>
      </w:pPr>
      <w:bookmarkStart w:id="20" w:name="Seif20"/>
      <w:bookmarkEnd w:id="20"/>
      <w:r w:rsidRPr="003D29C2">
        <w:rPr>
          <w:rFonts w:cs="Miriam"/>
          <w:sz w:val="32"/>
          <w:szCs w:val="32"/>
          <w:lang w:val="he-IL"/>
        </w:rPr>
        <w:pict>
          <v:rect id="_x0000_s1046" style="position:absolute;left:0;text-align:left;margin-left:468pt;margin-top:8.05pt;width:71.55pt;height:20.55pt;z-index:251667456" o:allowincell="f" filled="f" stroked="f" strokecolor="lime" strokeweight=".25pt">
            <v:textbox style="mso-next-textbox:#_x0000_s1046" inset="0,0,0,0">
              <w:txbxContent>
                <w:p w:rsidR="00B6323A" w:rsidRDefault="00B6323A">
                  <w:pPr>
                    <w:spacing w:line="160" w:lineRule="exact"/>
                    <w:rPr>
                      <w:rFonts w:cs="Miriam"/>
                      <w:noProof/>
                      <w:szCs w:val="18"/>
                      <w:rtl/>
                    </w:rPr>
                  </w:pPr>
                  <w:r>
                    <w:rPr>
                      <w:rFonts w:cs="Miriam"/>
                      <w:szCs w:val="18"/>
                      <w:rtl/>
                    </w:rPr>
                    <w:t>ע</w:t>
                  </w:r>
                  <w:r>
                    <w:rPr>
                      <w:rFonts w:cs="Miriam" w:hint="cs"/>
                      <w:szCs w:val="18"/>
                      <w:rtl/>
                    </w:rPr>
                    <w:t xml:space="preserve">רעורים </w:t>
                  </w:r>
                  <w:r>
                    <w:rPr>
                      <w:rFonts w:cs="Miriam" w:hint="cs"/>
                      <w:szCs w:val="18"/>
                      <w:rtl/>
                    </w:rPr>
                    <w:t xml:space="preserve">על החלטות </w:t>
                  </w:r>
                  <w:r w:rsidR="00576B88">
                    <w:rPr>
                      <w:rFonts w:cs="Miriam" w:hint="cs"/>
                      <w:szCs w:val="18"/>
                      <w:rtl/>
                    </w:rPr>
                    <w:t>בית הדין</w:t>
                  </w:r>
                </w:p>
              </w:txbxContent>
            </v:textbox>
            <w10:anchorlock/>
          </v:rect>
        </w:pict>
      </w:r>
      <w:r w:rsidRPr="003D29C2">
        <w:rPr>
          <w:rStyle w:val="big-number"/>
          <w:rFonts w:cs="Miriam"/>
          <w:sz w:val="32"/>
          <w:rtl/>
        </w:rPr>
        <w:t>21</w:t>
      </w:r>
      <w:r w:rsidRPr="003D29C2">
        <w:rPr>
          <w:rStyle w:val="big-number"/>
          <w:rFonts w:cs="FrankRuehl"/>
          <w:sz w:val="26"/>
          <w:szCs w:val="26"/>
          <w:rtl/>
        </w:rPr>
        <w:t>.</w:t>
      </w:r>
      <w:r w:rsidRPr="003D29C2">
        <w:rPr>
          <w:rStyle w:val="big-number"/>
          <w:rFonts w:cs="FrankRuehl"/>
          <w:sz w:val="26"/>
          <w:szCs w:val="26"/>
          <w:rtl/>
        </w:rPr>
        <w:tab/>
      </w:r>
      <w:r w:rsidRPr="003D29C2">
        <w:rPr>
          <w:rStyle w:val="default"/>
          <w:rFonts w:cs="FrankRuehl"/>
          <w:sz w:val="26"/>
          <w:rtl/>
        </w:rPr>
        <w:t>ע</w:t>
      </w:r>
      <w:r w:rsidRPr="003D29C2">
        <w:rPr>
          <w:rStyle w:val="default"/>
          <w:rFonts w:cs="FrankRuehl" w:hint="cs"/>
          <w:sz w:val="26"/>
          <w:rtl/>
        </w:rPr>
        <w:t>ל הדיון בערעור על פסקי דין בית הדין והחלטותיו יחולו הוראות החלק ל"א לתקנות הפרוצדורה האזרחית, 1938, בשינויים המחוייבים לפי הענין.</w:t>
      </w:r>
    </w:p>
    <w:p w:rsidR="00B6323A" w:rsidRPr="003D29C2" w:rsidRDefault="00B6323A" w:rsidP="003D29C2">
      <w:pPr>
        <w:pStyle w:val="P00"/>
        <w:spacing w:before="72"/>
        <w:ind w:left="0" w:right="1134"/>
        <w:rPr>
          <w:rStyle w:val="default"/>
          <w:rFonts w:cs="FrankRuehl"/>
          <w:sz w:val="26"/>
          <w:rtl/>
        </w:rPr>
      </w:pPr>
      <w:bookmarkStart w:id="21" w:name="Seif21"/>
      <w:bookmarkEnd w:id="21"/>
      <w:r w:rsidRPr="003D29C2">
        <w:rPr>
          <w:rFonts w:cs="Miriam"/>
          <w:sz w:val="32"/>
          <w:szCs w:val="32"/>
          <w:lang w:val="he-IL"/>
        </w:rPr>
        <w:pict>
          <v:rect id="_x0000_s1047" style="position:absolute;left:0;text-align:left;margin-left:464.5pt;margin-top:8.05pt;width:75.05pt;height:12.4pt;z-index:251668480" o:allowincell="f" filled="f" stroked="f" strokecolor="lime" strokeweight=".25pt">
            <v:textbox style="mso-next-textbox:#_x0000_s1047" inset="0,0,0,0">
              <w:txbxContent>
                <w:p w:rsidR="00B6323A" w:rsidRDefault="00B6323A">
                  <w:pPr>
                    <w:spacing w:line="160" w:lineRule="exact"/>
                    <w:rPr>
                      <w:rFonts w:cs="Miriam"/>
                      <w:noProof/>
                      <w:szCs w:val="18"/>
                      <w:rtl/>
                    </w:rPr>
                  </w:pPr>
                  <w:r>
                    <w:rPr>
                      <w:rFonts w:cs="Miriam"/>
                      <w:szCs w:val="18"/>
                      <w:rtl/>
                    </w:rPr>
                    <w:t>ה</w:t>
                  </w:r>
                  <w:r>
                    <w:rPr>
                      <w:rFonts w:cs="Miriam" w:hint="cs"/>
                      <w:szCs w:val="18"/>
                      <w:rtl/>
                    </w:rPr>
                    <w:t>שם</w:t>
                  </w:r>
                </w:p>
              </w:txbxContent>
            </v:textbox>
            <w10:anchorlock/>
          </v:rect>
        </w:pict>
      </w:r>
      <w:r w:rsidRPr="003D29C2">
        <w:rPr>
          <w:rStyle w:val="big-number"/>
          <w:rFonts w:cs="Miriam"/>
          <w:sz w:val="32"/>
          <w:rtl/>
        </w:rPr>
        <w:t>22</w:t>
      </w:r>
      <w:r w:rsidRPr="003D29C2">
        <w:rPr>
          <w:rStyle w:val="big-number"/>
          <w:rFonts w:cs="FrankRuehl"/>
          <w:sz w:val="26"/>
          <w:szCs w:val="26"/>
          <w:rtl/>
        </w:rPr>
        <w:t>.</w:t>
      </w:r>
      <w:r w:rsidRPr="003D29C2">
        <w:rPr>
          <w:rStyle w:val="big-number"/>
          <w:rFonts w:cs="FrankRuehl"/>
          <w:sz w:val="26"/>
          <w:szCs w:val="26"/>
          <w:rtl/>
        </w:rPr>
        <w:tab/>
      </w:r>
      <w:r w:rsidRPr="003D29C2">
        <w:rPr>
          <w:rStyle w:val="default"/>
          <w:rFonts w:cs="FrankRuehl"/>
          <w:sz w:val="26"/>
          <w:rtl/>
        </w:rPr>
        <w:t>ל</w:t>
      </w:r>
      <w:r w:rsidRPr="003D29C2">
        <w:rPr>
          <w:rStyle w:val="default"/>
          <w:rFonts w:cs="FrankRuehl" w:hint="cs"/>
          <w:sz w:val="26"/>
          <w:rtl/>
        </w:rPr>
        <w:t>תקנות אלה ייקרא "תקנות הניקוז וההגנה מפני שטפונו</w:t>
      </w:r>
      <w:r w:rsidRPr="003D29C2">
        <w:rPr>
          <w:rStyle w:val="default"/>
          <w:rFonts w:cs="FrankRuehl"/>
          <w:sz w:val="26"/>
          <w:rtl/>
        </w:rPr>
        <w:t>ת</w:t>
      </w:r>
      <w:r w:rsidRPr="003D29C2">
        <w:rPr>
          <w:rStyle w:val="default"/>
          <w:rFonts w:cs="FrankRuehl" w:hint="cs"/>
          <w:sz w:val="26"/>
          <w:rtl/>
        </w:rPr>
        <w:t xml:space="preserve"> (סדרי הדין </w:t>
      </w:r>
      <w:r w:rsidR="009E5690">
        <w:rPr>
          <w:rStyle w:val="default"/>
          <w:rFonts w:cs="FrankRuehl" w:hint="cs"/>
          <w:sz w:val="26"/>
          <w:rtl/>
        </w:rPr>
        <w:t>בב</w:t>
      </w:r>
      <w:r w:rsidR="00576B88">
        <w:rPr>
          <w:rStyle w:val="default"/>
          <w:rFonts w:cs="FrankRuehl" w:hint="cs"/>
          <w:sz w:val="26"/>
          <w:rtl/>
        </w:rPr>
        <w:t>י</w:t>
      </w:r>
      <w:r w:rsidR="009E5690">
        <w:rPr>
          <w:rStyle w:val="default"/>
          <w:rFonts w:cs="FrankRuehl" w:hint="cs"/>
          <w:sz w:val="26"/>
          <w:rtl/>
        </w:rPr>
        <w:t xml:space="preserve">ת </w:t>
      </w:r>
      <w:r w:rsidR="00576B88">
        <w:rPr>
          <w:rStyle w:val="default"/>
          <w:rFonts w:cs="FrankRuehl" w:hint="cs"/>
          <w:sz w:val="26"/>
          <w:rtl/>
        </w:rPr>
        <w:t>ה</w:t>
      </w:r>
      <w:r w:rsidR="009E5690">
        <w:rPr>
          <w:rStyle w:val="default"/>
          <w:rFonts w:cs="FrankRuehl" w:hint="cs"/>
          <w:sz w:val="26"/>
          <w:rtl/>
        </w:rPr>
        <w:t>דין לעניני מים</w:t>
      </w:r>
      <w:r w:rsidRPr="003D29C2">
        <w:rPr>
          <w:rStyle w:val="default"/>
          <w:rFonts w:cs="FrankRuehl" w:hint="cs"/>
          <w:sz w:val="26"/>
          <w:rtl/>
        </w:rPr>
        <w:t xml:space="preserve"> ובערעורים על החלטותיה</w:t>
      </w:r>
      <w:r w:rsidR="009E5690">
        <w:rPr>
          <w:rStyle w:val="default"/>
          <w:rFonts w:cs="FrankRuehl" w:hint="cs"/>
          <w:sz w:val="26"/>
          <w:rtl/>
        </w:rPr>
        <w:t>ם</w:t>
      </w:r>
      <w:r w:rsidRPr="003D29C2">
        <w:rPr>
          <w:rStyle w:val="default"/>
          <w:rFonts w:cs="FrankRuehl" w:hint="cs"/>
          <w:sz w:val="26"/>
          <w:rtl/>
        </w:rPr>
        <w:t>), תשי"ח</w:t>
      </w:r>
      <w:r w:rsidR="003D29C2">
        <w:rPr>
          <w:rStyle w:val="default"/>
          <w:rFonts w:cs="FrankRuehl" w:hint="cs"/>
          <w:sz w:val="26"/>
          <w:rtl/>
        </w:rPr>
        <w:t>-</w:t>
      </w:r>
      <w:r w:rsidRPr="003D29C2">
        <w:rPr>
          <w:rStyle w:val="default"/>
          <w:rFonts w:cs="FrankRuehl" w:hint="cs"/>
          <w:sz w:val="26"/>
          <w:rtl/>
        </w:rPr>
        <w:t>1958".</w:t>
      </w:r>
    </w:p>
    <w:p w:rsidR="00B6323A" w:rsidRPr="003D29C2" w:rsidRDefault="00B6323A" w:rsidP="003D29C2">
      <w:pPr>
        <w:pStyle w:val="P00"/>
        <w:spacing w:before="72"/>
        <w:ind w:left="0" w:right="1134"/>
        <w:rPr>
          <w:rStyle w:val="default"/>
          <w:rFonts w:cs="FrankRuehl" w:hint="cs"/>
          <w:sz w:val="26"/>
          <w:rtl/>
        </w:rPr>
      </w:pPr>
    </w:p>
    <w:p w:rsidR="003D29C2" w:rsidRPr="003D29C2" w:rsidRDefault="003D29C2" w:rsidP="003D29C2">
      <w:pPr>
        <w:pStyle w:val="P00"/>
        <w:spacing w:before="72"/>
        <w:ind w:left="0" w:right="1134"/>
        <w:rPr>
          <w:rStyle w:val="default"/>
          <w:rFonts w:cs="FrankRuehl" w:hint="cs"/>
          <w:sz w:val="26"/>
          <w:rtl/>
        </w:rPr>
      </w:pPr>
    </w:p>
    <w:p w:rsidR="00B6323A" w:rsidRDefault="00B6323A" w:rsidP="003D29C2">
      <w:pPr>
        <w:pStyle w:val="sig-0"/>
        <w:ind w:left="0" w:right="1134"/>
        <w:rPr>
          <w:rtl/>
        </w:rPr>
      </w:pPr>
      <w:r>
        <w:rPr>
          <w:rtl/>
        </w:rPr>
        <w:t>כ</w:t>
      </w:r>
      <w:r>
        <w:rPr>
          <w:rFonts w:hint="cs"/>
          <w:rtl/>
        </w:rPr>
        <w:t>"ג בשבט תשי"ח (13 בפברואר 1958)</w:t>
      </w:r>
      <w:r>
        <w:rPr>
          <w:rtl/>
        </w:rPr>
        <w:tab/>
      </w:r>
      <w:r>
        <w:rPr>
          <w:rFonts w:hint="cs"/>
          <w:rtl/>
        </w:rPr>
        <w:t>פנחס רוזן</w:t>
      </w:r>
    </w:p>
    <w:p w:rsidR="00B6323A" w:rsidRDefault="00B6323A" w:rsidP="003D29C2">
      <w:pPr>
        <w:pStyle w:val="sig-1"/>
        <w:widowControl/>
        <w:ind w:left="0" w:right="1134"/>
        <w:rPr>
          <w:rFonts w:hint="cs"/>
          <w:rtl/>
        </w:rPr>
      </w:pPr>
      <w:r>
        <w:rPr>
          <w:rtl/>
        </w:rPr>
        <w:tab/>
      </w:r>
      <w:r>
        <w:rPr>
          <w:rtl/>
        </w:rPr>
        <w:tab/>
      </w:r>
      <w:r>
        <w:rPr>
          <w:rtl/>
        </w:rPr>
        <w:tab/>
      </w:r>
      <w:r>
        <w:rPr>
          <w:rFonts w:hint="cs"/>
          <w:rtl/>
        </w:rPr>
        <w:t>שר המשפטים</w:t>
      </w:r>
    </w:p>
    <w:p w:rsidR="003D29C2" w:rsidRPr="003D29C2" w:rsidRDefault="003D29C2" w:rsidP="003D29C2">
      <w:pPr>
        <w:pStyle w:val="P00"/>
        <w:spacing w:before="72"/>
        <w:ind w:left="0" w:right="1134"/>
        <w:rPr>
          <w:rStyle w:val="default"/>
          <w:rFonts w:cs="FrankRuehl" w:hint="cs"/>
          <w:sz w:val="26"/>
          <w:rtl/>
        </w:rPr>
      </w:pPr>
    </w:p>
    <w:p w:rsidR="003D29C2" w:rsidRPr="003D29C2" w:rsidRDefault="003D29C2" w:rsidP="003D29C2">
      <w:pPr>
        <w:pStyle w:val="P00"/>
        <w:spacing w:before="72"/>
        <w:ind w:left="0" w:right="1134"/>
        <w:rPr>
          <w:rStyle w:val="default"/>
          <w:rFonts w:cs="FrankRuehl"/>
          <w:sz w:val="26"/>
          <w:rtl/>
        </w:rPr>
      </w:pPr>
    </w:p>
    <w:p w:rsidR="00B6323A" w:rsidRPr="003D29C2" w:rsidRDefault="00B6323A" w:rsidP="003D29C2">
      <w:pPr>
        <w:pStyle w:val="P00"/>
        <w:spacing w:before="72"/>
        <w:ind w:left="0" w:right="1134"/>
        <w:rPr>
          <w:rStyle w:val="default"/>
          <w:rFonts w:cs="FrankRuehl"/>
          <w:sz w:val="26"/>
          <w:rtl/>
        </w:rPr>
      </w:pPr>
      <w:bookmarkStart w:id="22" w:name="LawPartEnd"/>
    </w:p>
    <w:bookmarkEnd w:id="22"/>
    <w:p w:rsidR="00B6323A" w:rsidRPr="003D29C2" w:rsidRDefault="00B6323A" w:rsidP="003D29C2">
      <w:pPr>
        <w:pStyle w:val="P00"/>
        <w:spacing w:before="72"/>
        <w:ind w:left="0" w:right="1134"/>
        <w:rPr>
          <w:rStyle w:val="default"/>
          <w:rFonts w:cs="FrankRuehl"/>
          <w:sz w:val="26"/>
        </w:rPr>
      </w:pPr>
    </w:p>
    <w:sectPr w:rsidR="00B6323A" w:rsidRPr="003D29C2">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827DF" w:rsidRDefault="000827DF">
      <w:r>
        <w:separator/>
      </w:r>
    </w:p>
  </w:endnote>
  <w:endnote w:type="continuationSeparator" w:id="0">
    <w:p w:rsidR="000827DF" w:rsidRDefault="00082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323A" w:rsidRDefault="00B6323A">
    <w:pPr>
      <w:pStyle w:val="a4"/>
      <w:ind w:left="0"/>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4</w:t>
    </w:r>
    <w:r>
      <w:rPr>
        <w:rFonts w:hAnsi="FrankRuehl"/>
        <w:sz w:val="24"/>
        <w:szCs w:val="24"/>
        <w:rtl/>
      </w:rPr>
      <w:fldChar w:fldCharType="end"/>
    </w:r>
  </w:p>
  <w:p w:rsidR="00B6323A" w:rsidRDefault="00B6323A">
    <w:pPr>
      <w:pStyle w:val="a4"/>
      <w:pBdr>
        <w:top w:val="single" w:sz="4" w:space="1" w:color="auto"/>
        <w:between w:val="single" w:sz="4" w:space="0" w:color="auto"/>
      </w:pBdr>
      <w:spacing w:after="60"/>
      <w:ind w:left="0"/>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6323A" w:rsidRDefault="00B6323A">
    <w:pPr>
      <w:pStyle w:val="a4"/>
      <w:pBdr>
        <w:top w:val="single" w:sz="4" w:space="1" w:color="auto"/>
        <w:between w:val="single" w:sz="4" w:space="0" w:color="auto"/>
      </w:pBdr>
      <w:ind w:left="0"/>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D29C2">
      <w:rPr>
        <w:rFonts w:cs="TopType Jerushalmi"/>
        <w:noProof/>
        <w:color w:val="000000"/>
        <w:sz w:val="14"/>
        <w:szCs w:val="14"/>
      </w:rPr>
      <w:t>D:\Yael\hakika\Revadim</w:t>
    </w:r>
    <w:r w:rsidR="003D29C2">
      <w:rPr>
        <w:rFonts w:cs="TopType Jerushalmi"/>
        <w:noProof/>
        <w:color w:val="000000"/>
        <w:sz w:val="14"/>
        <w:szCs w:val="14"/>
        <w:rtl/>
      </w:rPr>
      <w:t>\קישורים\309_002.</w:t>
    </w:r>
    <w:r w:rsidR="003D29C2">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323A" w:rsidRDefault="00B6323A">
    <w:pPr>
      <w:pStyle w:val="a4"/>
      <w:ind w:left="0"/>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F46A32">
      <w:rPr>
        <w:rFonts w:hAnsi="FrankRuehl"/>
        <w:noProof/>
        <w:sz w:val="24"/>
        <w:szCs w:val="24"/>
        <w:rtl/>
      </w:rPr>
      <w:t>1</w:t>
    </w:r>
    <w:r>
      <w:rPr>
        <w:rFonts w:hAnsi="FrankRuehl"/>
        <w:sz w:val="24"/>
        <w:szCs w:val="24"/>
        <w:rtl/>
      </w:rPr>
      <w:fldChar w:fldCharType="end"/>
    </w:r>
  </w:p>
  <w:p w:rsidR="00B6323A" w:rsidRDefault="00B6323A">
    <w:pPr>
      <w:pStyle w:val="a4"/>
      <w:pBdr>
        <w:top w:val="single" w:sz="4" w:space="1" w:color="auto"/>
        <w:between w:val="single" w:sz="4" w:space="0" w:color="auto"/>
      </w:pBdr>
      <w:spacing w:after="60"/>
      <w:ind w:left="0"/>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6323A" w:rsidRDefault="00B6323A">
    <w:pPr>
      <w:pStyle w:val="a4"/>
      <w:pBdr>
        <w:top w:val="single" w:sz="4" w:space="1" w:color="auto"/>
        <w:between w:val="single" w:sz="4" w:space="0" w:color="auto"/>
      </w:pBdr>
      <w:ind w:left="0"/>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D29C2">
      <w:rPr>
        <w:rFonts w:cs="TopType Jerushalmi"/>
        <w:noProof/>
        <w:color w:val="000000"/>
        <w:sz w:val="14"/>
        <w:szCs w:val="14"/>
      </w:rPr>
      <w:t>D:\Yael\hakika\Revadim</w:t>
    </w:r>
    <w:r w:rsidR="003D29C2">
      <w:rPr>
        <w:rFonts w:cs="TopType Jerushalmi"/>
        <w:noProof/>
        <w:color w:val="000000"/>
        <w:sz w:val="14"/>
        <w:szCs w:val="14"/>
        <w:rtl/>
      </w:rPr>
      <w:t>\קישורים\309_002.</w:t>
    </w:r>
    <w:r w:rsidR="003D29C2">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827DF" w:rsidRDefault="000827DF" w:rsidP="003D29C2">
      <w:pPr>
        <w:spacing w:before="60"/>
        <w:ind w:right="1134"/>
      </w:pPr>
      <w:r>
        <w:separator/>
      </w:r>
    </w:p>
  </w:footnote>
  <w:footnote w:type="continuationSeparator" w:id="0">
    <w:p w:rsidR="000827DF" w:rsidRDefault="000827DF">
      <w:r>
        <w:continuationSeparator/>
      </w:r>
    </w:p>
  </w:footnote>
  <w:footnote w:id="1">
    <w:p w:rsidR="003D29C2" w:rsidRDefault="003D29C2" w:rsidP="003D29C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3D29C2">
        <w:rPr>
          <w:sz w:val="20"/>
          <w:rtl/>
        </w:rPr>
        <w:t xml:space="preserve">* </w:t>
      </w:r>
      <w:r>
        <w:rPr>
          <w:sz w:val="20"/>
          <w:rtl/>
        </w:rPr>
        <w:t>פ</w:t>
      </w:r>
      <w:r>
        <w:rPr>
          <w:rFonts w:hint="cs"/>
          <w:sz w:val="20"/>
          <w:rtl/>
        </w:rPr>
        <w:t xml:space="preserve">ורסמו </w:t>
      </w:r>
      <w:hyperlink r:id="rId1" w:history="1">
        <w:r w:rsidRPr="003A4426">
          <w:rPr>
            <w:rStyle w:val="Hyperlink"/>
            <w:rFonts w:hint="cs"/>
            <w:sz w:val="20"/>
            <w:rtl/>
          </w:rPr>
          <w:t>ק"ת תשי"ח מס' 778</w:t>
        </w:r>
      </w:hyperlink>
      <w:r>
        <w:rPr>
          <w:rFonts w:hint="cs"/>
          <w:sz w:val="20"/>
          <w:rtl/>
        </w:rPr>
        <w:t xml:space="preserve"> מיום 20.3.1958 עמ' 873.</w:t>
      </w:r>
    </w:p>
    <w:p w:rsidR="009E5690" w:rsidRPr="003D29C2" w:rsidRDefault="009E5690" w:rsidP="003D29C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rFonts w:hint="cs"/>
          <w:sz w:val="20"/>
          <w:rtl/>
        </w:rPr>
        <w:t xml:space="preserve">תוקנו </w:t>
      </w:r>
      <w:hyperlink r:id="rId2" w:history="1">
        <w:r>
          <w:rPr>
            <w:rStyle w:val="Hyperlink"/>
            <w:rFonts w:hint="cs"/>
            <w:sz w:val="20"/>
            <w:rtl/>
          </w:rPr>
          <w:t>ס"ח תשכ"א מס' 336</w:t>
        </w:r>
      </w:hyperlink>
      <w:r>
        <w:rPr>
          <w:rFonts w:hint="cs"/>
          <w:sz w:val="20"/>
          <w:rtl/>
        </w:rPr>
        <w:t xml:space="preserve"> מיום 5.4.1961 עמ' 90 (</w:t>
      </w:r>
      <w:hyperlink r:id="rId3" w:history="1">
        <w:r>
          <w:rPr>
            <w:rStyle w:val="Hyperlink"/>
            <w:rFonts w:hint="cs"/>
            <w:sz w:val="20"/>
            <w:rtl/>
          </w:rPr>
          <w:t>ה"ח תש"ך מס' 429</w:t>
        </w:r>
      </w:hyperlink>
      <w:r>
        <w:rPr>
          <w:rFonts w:hint="cs"/>
          <w:sz w:val="20"/>
          <w:rtl/>
        </w:rPr>
        <w:t xml:space="preserve"> עמ' 140) בסעיף 2 לחוק הניקוז וההגנה מפני שטפונות (תיקון מס' 3), תשכ"א-1961</w:t>
      </w:r>
      <w:r w:rsidR="00576B88">
        <w:rPr>
          <w:rFonts w:hint="cs"/>
          <w:sz w:val="20"/>
          <w:rtl/>
        </w:rPr>
        <w:t>: במקום "ועדת שפיטה" יבוא "בית דין לעניני מים" ובמקום "המנהל" יבוא "הנציב".</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323A" w:rsidRDefault="00B6323A">
    <w:pPr>
      <w:pStyle w:val="a3"/>
      <w:spacing w:line="220" w:lineRule="exact"/>
      <w:ind w:left="0"/>
      <w:jc w:val="center"/>
      <w:rPr>
        <w:rFonts w:hAnsi="FrankRuehl"/>
        <w:color w:val="000000"/>
        <w:sz w:val="28"/>
        <w:szCs w:val="28"/>
        <w:rtl/>
      </w:rPr>
    </w:pPr>
    <w:r>
      <w:rPr>
        <w:rFonts w:hAnsi="FrankRuehl"/>
        <w:color w:val="000000"/>
        <w:sz w:val="28"/>
        <w:szCs w:val="28"/>
        <w:rtl/>
      </w:rPr>
      <w:t>תקנות הניקוז וההגנה מפני שטפונות (סדרי הדין בועדות שפיטה ובערעורים על החלטותיהן), תשי"ח–1958</w:t>
    </w:r>
  </w:p>
  <w:p w:rsidR="00B6323A" w:rsidRDefault="00B6323A">
    <w:pPr>
      <w:pStyle w:val="a3"/>
      <w:pBdr>
        <w:top w:val="single" w:sz="4" w:space="0" w:color="auto"/>
      </w:pBdr>
      <w:spacing w:line="220" w:lineRule="exact"/>
      <w:ind w:left="0"/>
      <w:jc w:val="center"/>
      <w:rPr>
        <w:rFonts w:hAnsi="FrankRuehl"/>
        <w:color w:val="000000"/>
        <w:sz w:val="26"/>
        <w:szCs w:val="26"/>
        <w:rtl/>
      </w:rPr>
    </w:pPr>
    <w:r>
      <w:rPr>
        <w:rFonts w:hAnsi="FrankRuehl"/>
        <w:color w:val="000000"/>
        <w:sz w:val="26"/>
        <w:szCs w:val="26"/>
        <w:rtl/>
      </w:rPr>
      <w:t>נוסח מלא ומעודכן</w:t>
    </w:r>
  </w:p>
  <w:p w:rsidR="00B6323A" w:rsidRDefault="00B6323A">
    <w:pPr>
      <w:pStyle w:val="a3"/>
      <w:pBdr>
        <w:top w:val="single" w:sz="4" w:space="0" w:color="auto"/>
      </w:pBdr>
      <w:spacing w:line="220" w:lineRule="exact"/>
      <w:ind w:left="0"/>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323A" w:rsidRDefault="00B6323A" w:rsidP="00BD315C">
    <w:pPr>
      <w:pStyle w:val="a3"/>
      <w:spacing w:line="220" w:lineRule="exact"/>
      <w:ind w:left="0" w:right="1134"/>
      <w:jc w:val="center"/>
      <w:rPr>
        <w:rFonts w:hAnsi="FrankRuehl"/>
        <w:color w:val="000000"/>
        <w:sz w:val="28"/>
        <w:szCs w:val="28"/>
        <w:rtl/>
      </w:rPr>
    </w:pPr>
    <w:r>
      <w:rPr>
        <w:rFonts w:hAnsi="FrankRuehl"/>
        <w:color w:val="000000"/>
        <w:sz w:val="28"/>
        <w:szCs w:val="28"/>
        <w:rtl/>
      </w:rPr>
      <w:t xml:space="preserve">תקנות הניקוז וההגנה מפני שטפונות (סדרי הדין </w:t>
    </w:r>
    <w:r w:rsidR="00576B88">
      <w:rPr>
        <w:rFonts w:hAnsi="FrankRuehl" w:hint="cs"/>
        <w:color w:val="000000"/>
        <w:sz w:val="28"/>
        <w:szCs w:val="28"/>
        <w:rtl/>
      </w:rPr>
      <w:t>בבית הדין</w:t>
    </w:r>
    <w:r w:rsidR="009E5690">
      <w:rPr>
        <w:rFonts w:hAnsi="FrankRuehl" w:hint="cs"/>
        <w:color w:val="000000"/>
        <w:sz w:val="28"/>
        <w:szCs w:val="28"/>
        <w:rtl/>
      </w:rPr>
      <w:t xml:space="preserve"> לעניני מים</w:t>
    </w:r>
    <w:r>
      <w:rPr>
        <w:rFonts w:hAnsi="FrankRuehl"/>
        <w:color w:val="000000"/>
        <w:sz w:val="28"/>
        <w:szCs w:val="28"/>
        <w:rtl/>
      </w:rPr>
      <w:t xml:space="preserve"> ובערעורים על החלטותיה</w:t>
    </w:r>
    <w:r w:rsidR="009E5690">
      <w:rPr>
        <w:rFonts w:hAnsi="FrankRuehl" w:hint="cs"/>
        <w:color w:val="000000"/>
        <w:sz w:val="28"/>
        <w:szCs w:val="28"/>
        <w:rtl/>
      </w:rPr>
      <w:t>ם</w:t>
    </w:r>
    <w:r>
      <w:rPr>
        <w:rFonts w:hAnsi="FrankRuehl"/>
        <w:color w:val="000000"/>
        <w:sz w:val="28"/>
        <w:szCs w:val="28"/>
        <w:rtl/>
      </w:rPr>
      <w:t>), תשי"ח</w:t>
    </w:r>
    <w:r w:rsidR="003D29C2">
      <w:rPr>
        <w:rFonts w:hAnsi="FrankRuehl" w:hint="cs"/>
        <w:color w:val="000000"/>
        <w:sz w:val="28"/>
        <w:szCs w:val="28"/>
        <w:rtl/>
      </w:rPr>
      <w:t>-</w:t>
    </w:r>
    <w:r>
      <w:rPr>
        <w:rFonts w:hAnsi="FrankRuehl"/>
        <w:color w:val="000000"/>
        <w:sz w:val="28"/>
        <w:szCs w:val="28"/>
        <w:rtl/>
      </w:rPr>
      <w:t>1958</w:t>
    </w:r>
  </w:p>
  <w:p w:rsidR="00B6323A" w:rsidRDefault="00B6323A" w:rsidP="00BD315C">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B6323A" w:rsidRDefault="00B6323A" w:rsidP="00BD315C">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323A"/>
    <w:rsid w:val="000827DF"/>
    <w:rsid w:val="000D0227"/>
    <w:rsid w:val="000E3C21"/>
    <w:rsid w:val="002F65C3"/>
    <w:rsid w:val="003A4426"/>
    <w:rsid w:val="003D29C2"/>
    <w:rsid w:val="0048573F"/>
    <w:rsid w:val="00576B88"/>
    <w:rsid w:val="005F7F5E"/>
    <w:rsid w:val="006C61CD"/>
    <w:rsid w:val="0094338F"/>
    <w:rsid w:val="009B219F"/>
    <w:rsid w:val="009E5690"/>
    <w:rsid w:val="00A36795"/>
    <w:rsid w:val="00B6323A"/>
    <w:rsid w:val="00BB5E6C"/>
    <w:rsid w:val="00BD315C"/>
    <w:rsid w:val="00D015EB"/>
    <w:rsid w:val="00D64BAE"/>
    <w:rsid w:val="00E450F3"/>
    <w:rsid w:val="00F46A3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84EA9A2-8DD9-4E2E-AFC3-B26BF65A5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rFonts w:cs="FrankRuehl"/>
      <w:noProof/>
      <w:sz w:val="20"/>
      <w:szCs w:val="32"/>
    </w:rPr>
  </w:style>
  <w:style w:type="character" w:styleId="Hyperlink">
    <w:name w:val="Hyperlink"/>
    <w:rPr>
      <w:color w:val="0000FF"/>
      <w:u w:val="single"/>
    </w:rPr>
  </w:style>
  <w:style w:type="character" w:customStyle="1" w:styleId="super">
    <w:name w:val="super"/>
    <w:rPr>
      <w:rFonts w:ascii="Times New Roman" w:hAnsi="Times New Roman" w:cs="Times New Roman"/>
      <w:position w:val="4"/>
      <w:sz w:val="24"/>
      <w:szCs w:val="16"/>
      <w:lang w:val="en-US"/>
    </w:rPr>
  </w:style>
  <w:style w:type="character" w:customStyle="1" w:styleId="default">
    <w:name w:val="default"/>
    <w:rPr>
      <w:rFonts w:ascii="Times New Roman" w:hAnsi="Times New Roman" w:cs="Times New Roman"/>
      <w:sz w:val="20"/>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rPr>
      <w:rFonts w:ascii="Times New Roman" w:hAnsi="Times New Roman" w:cs="Times New Roman"/>
      <w:sz w:val="20"/>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P03">
    <w:name w:val="P03"/>
    <w:basedOn w:val="P00"/>
    <w:pPr>
      <w:ind w:right="1474" w:hanging="1474"/>
    </w:pPr>
  </w:style>
  <w:style w:type="paragraph" w:customStyle="1" w:styleId="P33">
    <w:name w:val="P33"/>
    <w:basedOn w:val="P00"/>
    <w:pPr>
      <w:tabs>
        <w:tab w:val="clear" w:pos="624"/>
        <w:tab w:val="clear" w:pos="1021"/>
        <w:tab w:val="clear" w:pos="1474"/>
      </w:tabs>
      <w:ind w:right="147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rFonts w:cs="FrankRuehl"/>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rFonts w:cs="FrankRuehl"/>
      <w:sz w:val="20"/>
      <w:szCs w:val="20"/>
    </w:rPr>
  </w:style>
  <w:style w:type="paragraph" w:styleId="a5">
    <w:name w:val="footnote text"/>
    <w:basedOn w:val="a"/>
    <w:semiHidden/>
    <w:rsid w:val="003D29C2"/>
    <w:rPr>
      <w:sz w:val="20"/>
      <w:szCs w:val="20"/>
    </w:rPr>
  </w:style>
  <w:style w:type="character" w:styleId="a6">
    <w:name w:val="footnote reference"/>
    <w:semiHidden/>
    <w:rsid w:val="003D29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7/PROP-0429.pdf" TargetMode="External"/><Relationship Id="rId2" Type="http://schemas.openxmlformats.org/officeDocument/2006/relationships/hyperlink" Target="http://www.nevo.co.il/Law_word/law14/LAW-0336.pdf" TargetMode="External"/><Relationship Id="rId1" Type="http://schemas.openxmlformats.org/officeDocument/2006/relationships/hyperlink" Target="http://www.nevo.co.il/Law_word/law06/TAK-077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פרק 309</vt:lpstr>
    </vt:vector>
  </TitlesOfParts>
  <Company> </Company>
  <LinksUpToDate>false</LinksUpToDate>
  <CharactersWithSpaces>7992</CharactersWithSpaces>
  <SharedDoc>false</SharedDoc>
  <HLinks>
    <vt:vector size="150" baseType="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262271</vt:i4>
      </vt:variant>
      <vt:variant>
        <vt:i4>6</vt:i4>
      </vt:variant>
      <vt:variant>
        <vt:i4>0</vt:i4>
      </vt:variant>
      <vt:variant>
        <vt:i4>5</vt:i4>
      </vt:variant>
      <vt:variant>
        <vt:lpwstr>http://www.nevo.co.il/Law_word/law17/PROP-0429.pdf</vt:lpwstr>
      </vt:variant>
      <vt:variant>
        <vt:lpwstr/>
      </vt:variant>
      <vt:variant>
        <vt:i4>8126476</vt:i4>
      </vt:variant>
      <vt:variant>
        <vt:i4>3</vt:i4>
      </vt:variant>
      <vt:variant>
        <vt:i4>0</vt:i4>
      </vt:variant>
      <vt:variant>
        <vt:i4>5</vt:i4>
      </vt:variant>
      <vt:variant>
        <vt:lpwstr>http://www.nevo.co.il/Law_word/law14/LAW-0336.pdf</vt:lpwstr>
      </vt:variant>
      <vt:variant>
        <vt:lpwstr/>
      </vt:variant>
      <vt:variant>
        <vt:i4>8257543</vt:i4>
      </vt:variant>
      <vt:variant>
        <vt:i4>0</vt:i4>
      </vt:variant>
      <vt:variant>
        <vt:i4>0</vt:i4>
      </vt:variant>
      <vt:variant>
        <vt:i4>5</vt:i4>
      </vt:variant>
      <vt:variant>
        <vt:lpwstr>http://www.nevo.co.il/Law_word/law06/TAK-0778.pdf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309</dc:title>
  <dc:subject/>
  <dc:creator> </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0309</vt:lpwstr>
  </property>
  <property fmtid="{D5CDD505-2E9C-101B-9397-08002B2CF9AE}" pid="3" name="CHNAME">
    <vt:lpwstr>ניקוז והגנה מפני שטפונות</vt:lpwstr>
  </property>
  <property fmtid="{D5CDD505-2E9C-101B-9397-08002B2CF9AE}" pid="4" name="LAWNAME">
    <vt:lpwstr>תקנות הניקוז וההגנה מפני שטפונות (סדרי הדין בבית הדין לעניני מים ובערעורים על החלטותיהם), תשי"ח-1958</vt:lpwstr>
  </property>
  <property fmtid="{D5CDD505-2E9C-101B-9397-08002B2CF9AE}" pid="5" name="LAWNUMBER">
    <vt:lpwstr>0002</vt:lpwstr>
  </property>
  <property fmtid="{D5CDD505-2E9C-101B-9397-08002B2CF9AE}" pid="6" name="TYPE">
    <vt:lpwstr>01</vt:lpwstr>
  </property>
  <property fmtid="{D5CDD505-2E9C-101B-9397-08002B2CF9AE}" pid="7" name="MEKOR_NAME1">
    <vt:lpwstr>חוק הניקוז וההגנה מפני שטפונות</vt:lpwstr>
  </property>
  <property fmtid="{D5CDD505-2E9C-101B-9397-08002B2CF9AE}" pid="8" name="MEKOR_SAIF1">
    <vt:lpwstr>57X</vt:lpwstr>
  </property>
  <property fmtid="{D5CDD505-2E9C-101B-9397-08002B2CF9AE}" pid="9" name="NOSE11">
    <vt:lpwstr>רשויות ומשפט מנהלי</vt:lpwstr>
  </property>
  <property fmtid="{D5CDD505-2E9C-101B-9397-08002B2CF9AE}" pid="10" name="NOSE21">
    <vt:lpwstr>רשויות מקומיות</vt:lpwstr>
  </property>
  <property fmtid="{D5CDD505-2E9C-101B-9397-08002B2CF9AE}" pid="11" name="NOSE31">
    <vt:lpwstr>ניקוז והגנה מפני שיטפונות</vt:lpwstr>
  </property>
  <property fmtid="{D5CDD505-2E9C-101B-9397-08002B2CF9AE}" pid="12" name="NOSE41">
    <vt:lpwstr>ועדות שפיטה וערעורים</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