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7B0" w:rsidRDefault="007C57B0" w:rsidP="00693206">
      <w:pPr>
        <w:pStyle w:val="big-header"/>
        <w:ind w:left="0" w:right="1134"/>
      </w:pPr>
      <w:r>
        <w:rPr>
          <w:rtl/>
        </w:rPr>
        <w:t>תקנות הנמלים (שימוש בעגורני חוף), תשכ"ד</w:t>
      </w:r>
      <w:r w:rsidR="00693206">
        <w:rPr>
          <w:rFonts w:hint="cs"/>
          <w:rtl/>
        </w:rPr>
        <w:t>-</w:t>
      </w:r>
      <w:r>
        <w:rPr>
          <w:rtl/>
        </w:rPr>
        <w:t>1964</w:t>
      </w:r>
    </w:p>
    <w:p w:rsidR="0004146A" w:rsidRPr="0004146A" w:rsidRDefault="0004146A" w:rsidP="0004146A">
      <w:pPr>
        <w:spacing w:line="320" w:lineRule="auto"/>
        <w:jc w:val="left"/>
        <w:rPr>
          <w:rFonts w:cs="FrankRuehl"/>
          <w:szCs w:val="26"/>
          <w:rtl/>
        </w:rPr>
      </w:pPr>
    </w:p>
    <w:p w:rsidR="0004146A" w:rsidRDefault="0004146A" w:rsidP="0004146A">
      <w:pPr>
        <w:spacing w:line="320" w:lineRule="auto"/>
        <w:jc w:val="left"/>
        <w:rPr>
          <w:rtl/>
        </w:rPr>
      </w:pPr>
    </w:p>
    <w:p w:rsidR="0004146A" w:rsidRPr="0004146A" w:rsidRDefault="0004146A" w:rsidP="0004146A">
      <w:pPr>
        <w:spacing w:line="320" w:lineRule="auto"/>
        <w:jc w:val="left"/>
        <w:rPr>
          <w:rFonts w:cs="Miriam"/>
          <w:szCs w:val="22"/>
          <w:rtl/>
        </w:rPr>
      </w:pPr>
      <w:r w:rsidRPr="0004146A">
        <w:rPr>
          <w:rFonts w:cs="Miriam"/>
          <w:szCs w:val="22"/>
          <w:rtl/>
        </w:rPr>
        <w:t>רשויות ומשפט מנהלי</w:t>
      </w:r>
      <w:r w:rsidRPr="0004146A">
        <w:rPr>
          <w:rFonts w:cs="FrankRuehl"/>
          <w:szCs w:val="26"/>
          <w:rtl/>
        </w:rPr>
        <w:t xml:space="preserve"> – תשתיות – ספנות ונמלים</w:t>
      </w:r>
    </w:p>
    <w:p w:rsidR="007C57B0" w:rsidRDefault="007C57B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C57B0">
        <w:tblPrEx>
          <w:tblCellMar>
            <w:top w:w="0" w:type="dxa"/>
            <w:bottom w:w="0" w:type="dxa"/>
          </w:tblCellMar>
        </w:tblPrEx>
        <w:tc>
          <w:tcPr>
            <w:tcW w:w="850" w:type="dxa"/>
          </w:tcPr>
          <w:p w:rsidR="007C57B0" w:rsidRDefault="007C57B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93206">
              <w:rPr>
                <w:noProof/>
                <w:sz w:val="24"/>
                <w:rtl/>
              </w:rPr>
              <w:t>2</w:t>
            </w:r>
            <w:r>
              <w:rPr>
                <w:sz w:val="24"/>
                <w:rtl/>
              </w:rPr>
              <w:fldChar w:fldCharType="end"/>
            </w:r>
          </w:p>
        </w:tc>
        <w:tc>
          <w:tcPr>
            <w:tcW w:w="567" w:type="dxa"/>
          </w:tcPr>
          <w:p w:rsidR="007C57B0" w:rsidRDefault="007C57B0">
            <w:pPr>
              <w:spacing w:line="240" w:lineRule="auto"/>
              <w:rPr>
                <w:sz w:val="24"/>
              </w:rPr>
            </w:pPr>
            <w:hyperlink w:anchor="Seif0" w:tooltip="שימוש בעגורני חוף" w:history="1">
              <w:r>
                <w:rPr>
                  <w:rStyle w:val="Hyperlink"/>
                </w:rPr>
                <w:t>Go</w:t>
              </w:r>
            </w:hyperlink>
          </w:p>
        </w:tc>
        <w:tc>
          <w:tcPr>
            <w:tcW w:w="5669" w:type="dxa"/>
          </w:tcPr>
          <w:p w:rsidR="007C57B0" w:rsidRDefault="007C57B0">
            <w:pPr>
              <w:spacing w:line="240" w:lineRule="auto"/>
              <w:rPr>
                <w:sz w:val="24"/>
                <w:rtl/>
              </w:rPr>
            </w:pPr>
            <w:r>
              <w:rPr>
                <w:sz w:val="24"/>
                <w:rtl/>
              </w:rPr>
              <w:t>שימוש בעגורני חוף</w:t>
            </w:r>
          </w:p>
        </w:tc>
        <w:tc>
          <w:tcPr>
            <w:tcW w:w="1247" w:type="dxa"/>
          </w:tcPr>
          <w:p w:rsidR="007C57B0" w:rsidRDefault="007C57B0">
            <w:pPr>
              <w:spacing w:line="240" w:lineRule="auto"/>
              <w:rPr>
                <w:sz w:val="24"/>
              </w:rPr>
            </w:pPr>
            <w:r>
              <w:rPr>
                <w:sz w:val="24"/>
                <w:rtl/>
              </w:rPr>
              <w:t xml:space="preserve">סעיף 1 </w:t>
            </w:r>
          </w:p>
        </w:tc>
      </w:tr>
      <w:tr w:rsidR="007C57B0">
        <w:tblPrEx>
          <w:tblCellMar>
            <w:top w:w="0" w:type="dxa"/>
            <w:bottom w:w="0" w:type="dxa"/>
          </w:tblCellMar>
        </w:tblPrEx>
        <w:tc>
          <w:tcPr>
            <w:tcW w:w="850" w:type="dxa"/>
          </w:tcPr>
          <w:p w:rsidR="007C57B0" w:rsidRDefault="007C57B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93206">
              <w:rPr>
                <w:noProof/>
                <w:sz w:val="24"/>
                <w:rtl/>
              </w:rPr>
              <w:t>2</w:t>
            </w:r>
            <w:r>
              <w:rPr>
                <w:sz w:val="24"/>
                <w:rtl/>
              </w:rPr>
              <w:fldChar w:fldCharType="end"/>
            </w:r>
          </w:p>
        </w:tc>
        <w:tc>
          <w:tcPr>
            <w:tcW w:w="567" w:type="dxa"/>
          </w:tcPr>
          <w:p w:rsidR="007C57B0" w:rsidRDefault="007C57B0">
            <w:pPr>
              <w:spacing w:line="240" w:lineRule="auto"/>
              <w:rPr>
                <w:sz w:val="24"/>
              </w:rPr>
            </w:pPr>
            <w:hyperlink w:anchor="Seif1" w:tooltip="חובת שימוש בעגורני חוף למטעני פחם" w:history="1">
              <w:r>
                <w:rPr>
                  <w:rStyle w:val="Hyperlink"/>
                </w:rPr>
                <w:t>Go</w:t>
              </w:r>
            </w:hyperlink>
          </w:p>
        </w:tc>
        <w:tc>
          <w:tcPr>
            <w:tcW w:w="5669" w:type="dxa"/>
          </w:tcPr>
          <w:p w:rsidR="007C57B0" w:rsidRDefault="007C57B0">
            <w:pPr>
              <w:spacing w:line="240" w:lineRule="auto"/>
              <w:rPr>
                <w:sz w:val="24"/>
                <w:rtl/>
              </w:rPr>
            </w:pPr>
            <w:r>
              <w:rPr>
                <w:sz w:val="24"/>
                <w:rtl/>
              </w:rPr>
              <w:t>חובת שימוש בעגורני חוף למטעני פחם</w:t>
            </w:r>
          </w:p>
        </w:tc>
        <w:tc>
          <w:tcPr>
            <w:tcW w:w="1247" w:type="dxa"/>
          </w:tcPr>
          <w:p w:rsidR="007C57B0" w:rsidRDefault="007C57B0">
            <w:pPr>
              <w:spacing w:line="240" w:lineRule="auto"/>
              <w:rPr>
                <w:sz w:val="24"/>
              </w:rPr>
            </w:pPr>
            <w:r>
              <w:rPr>
                <w:sz w:val="24"/>
                <w:rtl/>
              </w:rPr>
              <w:t xml:space="preserve">סעיף 2 </w:t>
            </w:r>
          </w:p>
        </w:tc>
      </w:tr>
      <w:tr w:rsidR="007C57B0">
        <w:tblPrEx>
          <w:tblCellMar>
            <w:top w:w="0" w:type="dxa"/>
            <w:bottom w:w="0" w:type="dxa"/>
          </w:tblCellMar>
        </w:tblPrEx>
        <w:tc>
          <w:tcPr>
            <w:tcW w:w="850" w:type="dxa"/>
          </w:tcPr>
          <w:p w:rsidR="007C57B0" w:rsidRDefault="007C57B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93206">
              <w:rPr>
                <w:noProof/>
                <w:sz w:val="24"/>
                <w:rtl/>
              </w:rPr>
              <w:t>2</w:t>
            </w:r>
            <w:r>
              <w:rPr>
                <w:sz w:val="24"/>
                <w:rtl/>
              </w:rPr>
              <w:fldChar w:fldCharType="end"/>
            </w:r>
          </w:p>
        </w:tc>
        <w:tc>
          <w:tcPr>
            <w:tcW w:w="567" w:type="dxa"/>
          </w:tcPr>
          <w:p w:rsidR="007C57B0" w:rsidRDefault="007C57B0">
            <w:pPr>
              <w:spacing w:line="240" w:lineRule="auto"/>
              <w:rPr>
                <w:sz w:val="24"/>
              </w:rPr>
            </w:pPr>
            <w:hyperlink w:anchor="Seif2" w:tooltip="ביטול" w:history="1">
              <w:r>
                <w:rPr>
                  <w:rStyle w:val="Hyperlink"/>
                </w:rPr>
                <w:t>Go</w:t>
              </w:r>
            </w:hyperlink>
          </w:p>
        </w:tc>
        <w:tc>
          <w:tcPr>
            <w:tcW w:w="5669" w:type="dxa"/>
          </w:tcPr>
          <w:p w:rsidR="007C57B0" w:rsidRDefault="007C57B0">
            <w:pPr>
              <w:spacing w:line="240" w:lineRule="auto"/>
              <w:rPr>
                <w:sz w:val="24"/>
                <w:rtl/>
              </w:rPr>
            </w:pPr>
            <w:r>
              <w:rPr>
                <w:sz w:val="24"/>
                <w:rtl/>
              </w:rPr>
              <w:t>ביטול</w:t>
            </w:r>
          </w:p>
        </w:tc>
        <w:tc>
          <w:tcPr>
            <w:tcW w:w="1247" w:type="dxa"/>
          </w:tcPr>
          <w:p w:rsidR="007C57B0" w:rsidRDefault="007C57B0">
            <w:pPr>
              <w:spacing w:line="240" w:lineRule="auto"/>
              <w:rPr>
                <w:sz w:val="24"/>
              </w:rPr>
            </w:pPr>
            <w:r>
              <w:rPr>
                <w:sz w:val="24"/>
                <w:rtl/>
              </w:rPr>
              <w:t xml:space="preserve">סעיף 3 </w:t>
            </w:r>
          </w:p>
        </w:tc>
      </w:tr>
      <w:tr w:rsidR="007C57B0">
        <w:tblPrEx>
          <w:tblCellMar>
            <w:top w:w="0" w:type="dxa"/>
            <w:bottom w:w="0" w:type="dxa"/>
          </w:tblCellMar>
        </w:tblPrEx>
        <w:tc>
          <w:tcPr>
            <w:tcW w:w="850" w:type="dxa"/>
          </w:tcPr>
          <w:p w:rsidR="007C57B0" w:rsidRDefault="007C57B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93206">
              <w:rPr>
                <w:noProof/>
                <w:sz w:val="24"/>
                <w:rtl/>
              </w:rPr>
              <w:t>2</w:t>
            </w:r>
            <w:r>
              <w:rPr>
                <w:sz w:val="24"/>
                <w:rtl/>
              </w:rPr>
              <w:fldChar w:fldCharType="end"/>
            </w:r>
          </w:p>
        </w:tc>
        <w:tc>
          <w:tcPr>
            <w:tcW w:w="567" w:type="dxa"/>
          </w:tcPr>
          <w:p w:rsidR="007C57B0" w:rsidRDefault="007C57B0">
            <w:pPr>
              <w:spacing w:line="240" w:lineRule="auto"/>
              <w:rPr>
                <w:sz w:val="24"/>
              </w:rPr>
            </w:pPr>
            <w:hyperlink w:anchor="Seif3" w:tooltip="השם" w:history="1">
              <w:r>
                <w:rPr>
                  <w:rStyle w:val="Hyperlink"/>
                </w:rPr>
                <w:t>Go</w:t>
              </w:r>
            </w:hyperlink>
          </w:p>
        </w:tc>
        <w:tc>
          <w:tcPr>
            <w:tcW w:w="5669" w:type="dxa"/>
          </w:tcPr>
          <w:p w:rsidR="007C57B0" w:rsidRDefault="007C57B0">
            <w:pPr>
              <w:spacing w:line="240" w:lineRule="auto"/>
              <w:rPr>
                <w:sz w:val="24"/>
                <w:rtl/>
              </w:rPr>
            </w:pPr>
            <w:r>
              <w:rPr>
                <w:sz w:val="24"/>
                <w:rtl/>
              </w:rPr>
              <w:t>השם</w:t>
            </w:r>
          </w:p>
        </w:tc>
        <w:tc>
          <w:tcPr>
            <w:tcW w:w="1247" w:type="dxa"/>
          </w:tcPr>
          <w:p w:rsidR="007C57B0" w:rsidRDefault="007C57B0">
            <w:pPr>
              <w:spacing w:line="240" w:lineRule="auto"/>
              <w:rPr>
                <w:sz w:val="24"/>
              </w:rPr>
            </w:pPr>
            <w:r>
              <w:rPr>
                <w:sz w:val="24"/>
                <w:rtl/>
              </w:rPr>
              <w:t xml:space="preserve">סעיף 4 </w:t>
            </w:r>
          </w:p>
        </w:tc>
      </w:tr>
    </w:tbl>
    <w:p w:rsidR="007C57B0" w:rsidRDefault="007C57B0">
      <w:pPr>
        <w:pStyle w:val="big-header"/>
        <w:ind w:left="0" w:right="1134"/>
        <w:rPr>
          <w:rtl/>
        </w:rPr>
      </w:pPr>
    </w:p>
    <w:p w:rsidR="007C57B0" w:rsidRDefault="007C57B0" w:rsidP="0004146A">
      <w:pPr>
        <w:pStyle w:val="big-header"/>
        <w:ind w:left="0" w:right="1134"/>
        <w:rPr>
          <w:rStyle w:val="default"/>
          <w:rFonts w:cs="FrankRuehl" w:hint="cs"/>
          <w:rtl/>
        </w:rPr>
      </w:pPr>
      <w:r>
        <w:rPr>
          <w:rtl/>
        </w:rPr>
        <w:br w:type="page"/>
      </w:r>
      <w:r>
        <w:rPr>
          <w:rtl/>
        </w:rPr>
        <w:lastRenderedPageBreak/>
        <w:t>ת</w:t>
      </w:r>
      <w:r>
        <w:rPr>
          <w:rFonts w:hint="cs"/>
          <w:rtl/>
        </w:rPr>
        <w:t>קנות הנמלים (שימוש בעגורני חוף), תשכ"ד</w:t>
      </w:r>
      <w:r w:rsidR="00693206">
        <w:rPr>
          <w:rFonts w:hint="cs"/>
          <w:rtl/>
        </w:rPr>
        <w:t>-</w:t>
      </w:r>
      <w:r>
        <w:rPr>
          <w:rFonts w:hint="cs"/>
          <w:rtl/>
        </w:rPr>
        <w:t>1964</w:t>
      </w:r>
      <w:r w:rsidR="00693206">
        <w:rPr>
          <w:rStyle w:val="a6"/>
          <w:rtl/>
        </w:rPr>
        <w:footnoteReference w:customMarkFollows="1" w:id="1"/>
        <w:t>*</w:t>
      </w:r>
    </w:p>
    <w:p w:rsidR="007C57B0" w:rsidRDefault="007C57B0" w:rsidP="0069320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הסעיפים 20(ב) ו-68(ב) לחוק רשות הנמלים, תשכ"א</w:t>
      </w:r>
      <w:r w:rsidR="00693206">
        <w:rPr>
          <w:rStyle w:val="default"/>
          <w:rFonts w:cs="FrankRuehl" w:hint="cs"/>
          <w:rtl/>
        </w:rPr>
        <w:t>-</w:t>
      </w:r>
      <w:r>
        <w:rPr>
          <w:rStyle w:val="default"/>
          <w:rFonts w:cs="FrankRuehl" w:hint="cs"/>
          <w:rtl/>
        </w:rPr>
        <w:t>1961, סעיף 17 לפקודת הנמלים, והסעיפים 14(א) ו-2(ד) לפקודת סדרי השלטון והמשפט, תש"ח</w:t>
      </w:r>
      <w:r w:rsidR="00693206">
        <w:rPr>
          <w:rStyle w:val="default"/>
          <w:rFonts w:cs="FrankRuehl" w:hint="cs"/>
          <w:rtl/>
        </w:rPr>
        <w:t>-</w:t>
      </w:r>
      <w:r>
        <w:rPr>
          <w:rStyle w:val="default"/>
          <w:rFonts w:cs="FrankRuehl" w:hint="cs"/>
          <w:rtl/>
        </w:rPr>
        <w:t>1948, אני מתקין תקנות אלה:</w:t>
      </w:r>
    </w:p>
    <w:p w:rsidR="007C57B0" w:rsidRDefault="007C57B0">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20pt;z-index:251656192" o:allowincell="f" filled="f" stroked="f" strokecolor="lime" strokeweight=".25pt">
            <v:textbox style="mso-next-textbox:#_x0000_s1026" inset="0,0,0,0">
              <w:txbxContent>
                <w:p w:rsidR="007C57B0" w:rsidRDefault="007C57B0" w:rsidP="00693206">
                  <w:pPr>
                    <w:spacing w:line="160" w:lineRule="exact"/>
                    <w:jc w:val="left"/>
                    <w:rPr>
                      <w:rFonts w:cs="Miriam"/>
                      <w:noProof/>
                      <w:szCs w:val="18"/>
                      <w:rtl/>
                    </w:rPr>
                  </w:pPr>
                  <w:r>
                    <w:rPr>
                      <w:rFonts w:cs="Miriam"/>
                      <w:szCs w:val="18"/>
                      <w:rtl/>
                    </w:rPr>
                    <w:t>ש</w:t>
                  </w:r>
                  <w:r>
                    <w:rPr>
                      <w:rFonts w:cs="Miriam" w:hint="cs"/>
                      <w:szCs w:val="18"/>
                      <w:rtl/>
                    </w:rPr>
                    <w:t>ימוש</w:t>
                  </w:r>
                  <w:r w:rsidR="00693206">
                    <w:rPr>
                      <w:rFonts w:cs="Miriam" w:hint="cs"/>
                      <w:szCs w:val="18"/>
                      <w:rtl/>
                    </w:rPr>
                    <w:t xml:space="preserve"> </w:t>
                  </w:r>
                  <w:r>
                    <w:rPr>
                      <w:rFonts w:cs="Miriam"/>
                      <w:szCs w:val="18"/>
                      <w:rtl/>
                    </w:rPr>
                    <w:t>ב</w:t>
                  </w:r>
                  <w:r>
                    <w:rPr>
                      <w:rFonts w:cs="Miriam" w:hint="cs"/>
                      <w:szCs w:val="18"/>
                      <w:rtl/>
                    </w:rPr>
                    <w:t xml:space="preserve">עגורני </w:t>
                  </w:r>
                  <w:r>
                    <w:rPr>
                      <w:rFonts w:cs="Miriam"/>
                      <w:szCs w:val="18"/>
                      <w:rtl/>
                    </w:rPr>
                    <w:t>ח</w:t>
                  </w:r>
                  <w:r>
                    <w:rPr>
                      <w:rFonts w:cs="Miriam" w:hint="cs"/>
                      <w:szCs w:val="18"/>
                      <w:rtl/>
                    </w:rPr>
                    <w:t>וף</w:t>
                  </w:r>
                </w:p>
              </w:txbxContent>
            </v:textbox>
            <w10:anchorlock/>
          </v:rect>
        </w:pict>
      </w:r>
      <w:r>
        <w:rPr>
          <w:rStyle w:val="big-number"/>
          <w:rFonts w:cs="Miriam"/>
          <w:rtl/>
        </w:rPr>
        <w:t>1.</w:t>
      </w:r>
      <w:r>
        <w:rPr>
          <w:rStyle w:val="big-number"/>
          <w:rFonts w:cs="Miriam"/>
          <w:rtl/>
        </w:rPr>
        <w:tab/>
      </w:r>
      <w:r>
        <w:rPr>
          <w:rStyle w:val="default"/>
          <w:rFonts w:cs="FrankRuehl"/>
          <w:rtl/>
        </w:rPr>
        <w:t>מ</w:t>
      </w:r>
      <w:r>
        <w:rPr>
          <w:rStyle w:val="default"/>
          <w:rFonts w:cs="FrankRuehl" w:hint="cs"/>
          <w:rtl/>
        </w:rPr>
        <w:t xml:space="preserve">נהל נמל רשאי להורות כי פריקת מטענים, או טעינתם, כולם או מקצתם, מאניה או לאניה העוגנת על יד רציף בנמל, תיעשה בעזרת עגורני חוף, אם, לדעתו, הפריקה או הטעינה בעזרת עגורני האניה עלולה לסכן את המטען או המטפלים בו או לגרום לצפיפות יתרה או להפריע בסדרי </w:t>
      </w:r>
      <w:r>
        <w:rPr>
          <w:rStyle w:val="default"/>
          <w:rFonts w:cs="FrankRuehl"/>
          <w:rtl/>
        </w:rPr>
        <w:t>ה</w:t>
      </w:r>
      <w:r>
        <w:rPr>
          <w:rStyle w:val="default"/>
          <w:rFonts w:cs="FrankRuehl" w:hint="cs"/>
          <w:rtl/>
        </w:rPr>
        <w:t>עבודה בנמל.</w:t>
      </w:r>
    </w:p>
    <w:p w:rsidR="007C57B0" w:rsidRDefault="007C57B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9pt;z-index:251657216" o:allowincell="f" filled="f" stroked="f" strokecolor="lime" strokeweight=".25pt">
            <v:textbox style="mso-next-textbox:#_x0000_s1027" inset="0,0,0,0">
              <w:txbxContent>
                <w:p w:rsidR="007C57B0" w:rsidRDefault="007C57B0" w:rsidP="00693206">
                  <w:pPr>
                    <w:spacing w:line="160" w:lineRule="exact"/>
                    <w:jc w:val="left"/>
                    <w:rPr>
                      <w:rFonts w:cs="Miriam"/>
                      <w:noProof/>
                      <w:szCs w:val="18"/>
                      <w:rtl/>
                    </w:rPr>
                  </w:pPr>
                  <w:r>
                    <w:rPr>
                      <w:rFonts w:cs="Miriam"/>
                      <w:szCs w:val="18"/>
                      <w:rtl/>
                    </w:rPr>
                    <w:t>ח</w:t>
                  </w:r>
                  <w:r>
                    <w:rPr>
                      <w:rFonts w:cs="Miriam" w:hint="cs"/>
                      <w:szCs w:val="18"/>
                      <w:rtl/>
                    </w:rPr>
                    <w:t>ובת שימוש</w:t>
                  </w:r>
                  <w:r w:rsidR="00693206">
                    <w:rPr>
                      <w:rFonts w:cs="Miriam" w:hint="cs"/>
                      <w:szCs w:val="18"/>
                      <w:rtl/>
                    </w:rPr>
                    <w:t xml:space="preserve"> </w:t>
                  </w:r>
                  <w:r>
                    <w:rPr>
                      <w:rFonts w:cs="Miriam"/>
                      <w:szCs w:val="18"/>
                      <w:rtl/>
                    </w:rPr>
                    <w:t>ב</w:t>
                  </w:r>
                  <w:r>
                    <w:rPr>
                      <w:rFonts w:cs="Miriam" w:hint="cs"/>
                      <w:szCs w:val="18"/>
                      <w:rtl/>
                    </w:rPr>
                    <w:t>עגורני חוף</w:t>
                  </w:r>
                  <w:r w:rsidR="00693206">
                    <w:rPr>
                      <w:rFonts w:cs="Miriam" w:hint="cs"/>
                      <w:noProof/>
                      <w:szCs w:val="18"/>
                      <w:rtl/>
                    </w:rPr>
                    <w:t xml:space="preserve"> </w:t>
                  </w:r>
                  <w:r>
                    <w:rPr>
                      <w:rFonts w:cs="Miriam"/>
                      <w:szCs w:val="18"/>
                      <w:rtl/>
                    </w:rPr>
                    <w:t>ל</w:t>
                  </w:r>
                  <w:r>
                    <w:rPr>
                      <w:rFonts w:cs="Miriam" w:hint="cs"/>
                      <w:szCs w:val="18"/>
                      <w:rtl/>
                    </w:rPr>
                    <w:t>מטעני פחם</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ל אף האמור בתקנה 1 יהא השימוש בעגורני החוף חובה לשם פריקת מטעני פחם, או טעינתם, מאניה או לאניה העוגנת על יד רציף בנמל, כל אימת שמצויים בו עגורנים.</w:t>
      </w:r>
    </w:p>
    <w:p w:rsidR="007C57B0" w:rsidRDefault="007C57B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58240" o:allowincell="f" filled="f" stroked="f" strokecolor="lime" strokeweight=".25pt">
            <v:textbox style="mso-next-textbox:#_x0000_s1028" inset="0,0,0,0">
              <w:txbxContent>
                <w:p w:rsidR="007C57B0" w:rsidRDefault="007C57B0">
                  <w:pPr>
                    <w:spacing w:line="160" w:lineRule="exact"/>
                    <w:jc w:val="left"/>
                    <w:rPr>
                      <w:rFonts w:cs="Miriam"/>
                      <w:noProof/>
                      <w:szCs w:val="18"/>
                      <w:rtl/>
                    </w:rPr>
                  </w:pPr>
                  <w:r>
                    <w:rPr>
                      <w:rFonts w:cs="Miriam"/>
                      <w:szCs w:val="18"/>
                      <w:rtl/>
                    </w:rPr>
                    <w:t>ב</w:t>
                  </w:r>
                  <w:r>
                    <w:rPr>
                      <w:rFonts w:cs="Miriam" w:hint="cs"/>
                      <w:szCs w:val="18"/>
                      <w:rtl/>
                    </w:rPr>
                    <w:t>יטו</w:t>
                  </w:r>
                  <w:r>
                    <w:rPr>
                      <w:rFonts w:cs="Miriam"/>
                      <w:szCs w:val="18"/>
                      <w:rtl/>
                    </w:rPr>
                    <w:t>ל</w:t>
                  </w:r>
                </w:p>
              </w:txbxContent>
            </v:textbox>
            <w10:anchorlock/>
          </v:rect>
        </w:pict>
      </w:r>
      <w:r>
        <w:rPr>
          <w:rStyle w:val="big-number"/>
          <w:rFonts w:cs="Miriam"/>
          <w:rtl/>
        </w:rPr>
        <w:t>3.</w:t>
      </w:r>
      <w:r>
        <w:rPr>
          <w:rStyle w:val="big-number"/>
          <w:rFonts w:cs="Miriam"/>
          <w:rtl/>
        </w:rPr>
        <w:tab/>
      </w:r>
      <w:r>
        <w:rPr>
          <w:rStyle w:val="default"/>
          <w:rFonts w:cs="FrankRuehl"/>
          <w:rtl/>
        </w:rPr>
        <w:t>ת</w:t>
      </w:r>
      <w:r>
        <w:rPr>
          <w:rStyle w:val="default"/>
          <w:rFonts w:cs="FrankRuehl" w:hint="cs"/>
          <w:rtl/>
        </w:rPr>
        <w:t>קנות נמל חיפה (שימוש חובה במנופים</w:t>
      </w:r>
      <w:r>
        <w:rPr>
          <w:rStyle w:val="default"/>
          <w:rFonts w:cs="FrankRuehl"/>
          <w:rtl/>
        </w:rPr>
        <w:t xml:space="preserve">), 1939 - </w:t>
      </w:r>
      <w:r>
        <w:rPr>
          <w:rStyle w:val="default"/>
          <w:rFonts w:cs="FrankRuehl" w:hint="cs"/>
          <w:rtl/>
        </w:rPr>
        <w:t>בטלות.</w:t>
      </w:r>
    </w:p>
    <w:p w:rsidR="007C57B0" w:rsidRDefault="007C57B0" w:rsidP="0069320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59264" o:allowincell="f" filled="f" stroked="f" strokecolor="lime" strokeweight=".25pt">
            <v:textbox style="mso-next-textbox:#_x0000_s1029" inset="0,0,0,0">
              <w:txbxContent>
                <w:p w:rsidR="007C57B0" w:rsidRDefault="007C57B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תקנות אלה ייקרא "תקנות הנמלים (שימוש בעגורני חוף), תשכ"ד</w:t>
      </w:r>
      <w:r w:rsidR="00693206">
        <w:rPr>
          <w:rStyle w:val="default"/>
          <w:rFonts w:cs="FrankRuehl" w:hint="cs"/>
          <w:rtl/>
        </w:rPr>
        <w:t>-</w:t>
      </w:r>
      <w:r>
        <w:rPr>
          <w:rStyle w:val="default"/>
          <w:rFonts w:cs="FrankRuehl" w:hint="cs"/>
          <w:rtl/>
        </w:rPr>
        <w:t>1964".</w:t>
      </w:r>
    </w:p>
    <w:p w:rsidR="007C57B0" w:rsidRDefault="007C57B0">
      <w:pPr>
        <w:pStyle w:val="P00"/>
        <w:spacing w:before="72"/>
        <w:ind w:left="0" w:right="1134"/>
        <w:rPr>
          <w:rStyle w:val="default"/>
          <w:rFonts w:cs="FrankRuehl" w:hint="cs"/>
          <w:rtl/>
        </w:rPr>
      </w:pPr>
    </w:p>
    <w:p w:rsidR="00693206" w:rsidRDefault="00693206">
      <w:pPr>
        <w:pStyle w:val="P00"/>
        <w:spacing w:before="72"/>
        <w:ind w:left="0" w:right="1134"/>
        <w:rPr>
          <w:rStyle w:val="default"/>
          <w:rFonts w:cs="FrankRuehl" w:hint="cs"/>
          <w:rtl/>
        </w:rPr>
      </w:pPr>
    </w:p>
    <w:p w:rsidR="007C57B0" w:rsidRDefault="007C57B0" w:rsidP="00693206">
      <w:pPr>
        <w:pStyle w:val="sig-0"/>
        <w:ind w:left="0" w:right="1134"/>
        <w:rPr>
          <w:rtl/>
        </w:rPr>
      </w:pPr>
      <w:r>
        <w:rPr>
          <w:rtl/>
        </w:rPr>
        <w:t>י</w:t>
      </w:r>
      <w:r>
        <w:rPr>
          <w:rFonts w:hint="cs"/>
          <w:rtl/>
        </w:rPr>
        <w:t>"ג בטבת תשכ"ד (29 בדצמבר 1963)</w:t>
      </w:r>
      <w:r>
        <w:rPr>
          <w:rtl/>
        </w:rPr>
        <w:tab/>
      </w:r>
      <w:r>
        <w:rPr>
          <w:rFonts w:hint="cs"/>
          <w:rtl/>
        </w:rPr>
        <w:t>ישראל בר-יהודה</w:t>
      </w:r>
    </w:p>
    <w:p w:rsidR="007C57B0" w:rsidRDefault="007C57B0">
      <w:pPr>
        <w:pStyle w:val="sig-1"/>
        <w:widowControl/>
        <w:ind w:left="0" w:right="1134"/>
        <w:rPr>
          <w:rFonts w:hint="cs"/>
          <w:rtl/>
        </w:rPr>
      </w:pPr>
      <w:r>
        <w:rPr>
          <w:rtl/>
        </w:rPr>
        <w:tab/>
      </w:r>
      <w:r>
        <w:rPr>
          <w:rtl/>
        </w:rPr>
        <w:tab/>
      </w:r>
      <w:r>
        <w:rPr>
          <w:rtl/>
        </w:rPr>
        <w:tab/>
      </w:r>
      <w:r>
        <w:rPr>
          <w:rFonts w:hint="cs"/>
          <w:rtl/>
        </w:rPr>
        <w:t>שר התחבורה</w:t>
      </w:r>
    </w:p>
    <w:p w:rsidR="00693206" w:rsidRPr="00693206" w:rsidRDefault="00693206" w:rsidP="00693206">
      <w:pPr>
        <w:pStyle w:val="P00"/>
        <w:spacing w:before="72"/>
        <w:ind w:left="0" w:right="1134"/>
        <w:rPr>
          <w:rStyle w:val="default"/>
          <w:rFonts w:cs="FrankRuehl" w:hint="cs"/>
          <w:rtl/>
        </w:rPr>
      </w:pPr>
    </w:p>
    <w:p w:rsidR="00693206" w:rsidRPr="00693206" w:rsidRDefault="00693206" w:rsidP="00693206">
      <w:pPr>
        <w:pStyle w:val="P00"/>
        <w:spacing w:before="72"/>
        <w:ind w:left="0" w:right="1134"/>
        <w:rPr>
          <w:rStyle w:val="default"/>
          <w:rFonts w:cs="FrankRuehl"/>
          <w:rtl/>
        </w:rPr>
      </w:pPr>
    </w:p>
    <w:p w:rsidR="007C57B0" w:rsidRPr="00693206" w:rsidRDefault="007C57B0" w:rsidP="00693206">
      <w:pPr>
        <w:pStyle w:val="P00"/>
        <w:spacing w:before="72"/>
        <w:ind w:left="0" w:right="1134"/>
        <w:rPr>
          <w:rStyle w:val="default"/>
          <w:rFonts w:cs="FrankRuehl"/>
          <w:rtl/>
        </w:rPr>
      </w:pPr>
      <w:bookmarkStart w:id="4" w:name="LawPartEnd"/>
    </w:p>
    <w:bookmarkEnd w:id="4"/>
    <w:p w:rsidR="007C57B0" w:rsidRPr="00693206" w:rsidRDefault="007C57B0" w:rsidP="00693206">
      <w:pPr>
        <w:pStyle w:val="P00"/>
        <w:spacing w:before="72"/>
        <w:ind w:left="0" w:right="1134"/>
        <w:rPr>
          <w:rStyle w:val="default"/>
          <w:rFonts w:cs="FrankRuehl"/>
          <w:rtl/>
        </w:rPr>
      </w:pPr>
    </w:p>
    <w:sectPr w:rsidR="007C57B0" w:rsidRPr="0069320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427" w:rsidRDefault="00620427">
      <w:r>
        <w:separator/>
      </w:r>
    </w:p>
  </w:endnote>
  <w:endnote w:type="continuationSeparator" w:id="0">
    <w:p w:rsidR="00620427" w:rsidRDefault="00620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7B0" w:rsidRDefault="007C57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C57B0" w:rsidRDefault="007C57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C57B0" w:rsidRDefault="007C57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3206">
      <w:rPr>
        <w:rFonts w:cs="TopType Jerushalmi"/>
        <w:noProof/>
        <w:color w:val="000000"/>
        <w:sz w:val="14"/>
        <w:szCs w:val="14"/>
      </w:rPr>
      <w:t>C:\Yael\hakika\Revadim\314_065.doc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7B0" w:rsidRDefault="007C57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146A">
      <w:rPr>
        <w:rFonts w:hAnsi="FrankRuehl" w:cs="FrankRuehl"/>
        <w:noProof/>
        <w:sz w:val="24"/>
        <w:szCs w:val="24"/>
        <w:rtl/>
      </w:rPr>
      <w:t>2</w:t>
    </w:r>
    <w:r>
      <w:rPr>
        <w:rFonts w:hAnsi="FrankRuehl" w:cs="FrankRuehl"/>
        <w:sz w:val="24"/>
        <w:szCs w:val="24"/>
        <w:rtl/>
      </w:rPr>
      <w:fldChar w:fldCharType="end"/>
    </w:r>
  </w:p>
  <w:p w:rsidR="007C57B0" w:rsidRDefault="007C57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C57B0" w:rsidRDefault="007C57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3206">
      <w:rPr>
        <w:rFonts w:cs="TopType Jerushalmi"/>
        <w:noProof/>
        <w:color w:val="000000"/>
        <w:sz w:val="14"/>
        <w:szCs w:val="14"/>
      </w:rPr>
      <w:t>C:\Yael\hakika\Revadim\314_065.doc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427" w:rsidRDefault="00620427" w:rsidP="00693206">
      <w:pPr>
        <w:spacing w:before="60" w:line="240" w:lineRule="auto"/>
        <w:ind w:right="1134"/>
      </w:pPr>
      <w:r>
        <w:separator/>
      </w:r>
    </w:p>
  </w:footnote>
  <w:footnote w:type="continuationSeparator" w:id="0">
    <w:p w:rsidR="00620427" w:rsidRDefault="00620427">
      <w:r>
        <w:continuationSeparator/>
      </w:r>
    </w:p>
  </w:footnote>
  <w:footnote w:id="1">
    <w:p w:rsidR="00693206" w:rsidRDefault="00693206" w:rsidP="006932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3206">
        <w:rPr>
          <w:sz w:val="20"/>
          <w:rtl/>
        </w:rPr>
        <w:t xml:space="preserve">* </w:t>
      </w:r>
      <w:r>
        <w:rPr>
          <w:sz w:val="20"/>
          <w:rtl/>
        </w:rPr>
        <w:t>פ</w:t>
      </w:r>
      <w:r>
        <w:rPr>
          <w:rFonts w:hint="cs"/>
          <w:sz w:val="20"/>
          <w:rtl/>
        </w:rPr>
        <w:t xml:space="preserve">ורסמו </w:t>
      </w:r>
      <w:hyperlink r:id="rId1" w:history="1">
        <w:r w:rsidRPr="00867854">
          <w:rPr>
            <w:rStyle w:val="Hyperlink"/>
            <w:rFonts w:hint="cs"/>
            <w:sz w:val="20"/>
            <w:rtl/>
          </w:rPr>
          <w:t>ק"ת תשכ"ד מס' 1532</w:t>
        </w:r>
      </w:hyperlink>
      <w:r>
        <w:rPr>
          <w:rFonts w:hint="cs"/>
          <w:sz w:val="20"/>
          <w:rtl/>
        </w:rPr>
        <w:t xml:space="preserve"> מיום 16.1.1964 עמ' 600.</w:t>
      </w:r>
    </w:p>
    <w:p w:rsidR="0005266E" w:rsidRPr="00693206" w:rsidRDefault="0005266E" w:rsidP="006932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בנמלי חיפה, אשדוד ואילת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7B0" w:rsidRDefault="007C57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(שימוש בעגורני חוף), תשכ"ד–1964</w:t>
    </w:r>
  </w:p>
  <w:p w:rsidR="007C57B0" w:rsidRDefault="007C57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C57B0" w:rsidRDefault="007C57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7B0" w:rsidRDefault="007C57B0" w:rsidP="006932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הנמלים (שימוש בעגורני חוף), תשכ"ד</w:t>
    </w:r>
    <w:r w:rsidR="00693206">
      <w:rPr>
        <w:rFonts w:hAnsi="FrankRuehl" w:cs="FrankRuehl" w:hint="cs"/>
        <w:color w:val="000000"/>
        <w:sz w:val="28"/>
        <w:szCs w:val="28"/>
        <w:rtl/>
      </w:rPr>
      <w:t>-</w:t>
    </w:r>
    <w:r>
      <w:rPr>
        <w:rFonts w:hAnsi="FrankRuehl" w:cs="FrankRuehl"/>
        <w:color w:val="000000"/>
        <w:sz w:val="28"/>
        <w:szCs w:val="28"/>
        <w:rtl/>
      </w:rPr>
      <w:t>1964</w:t>
    </w:r>
  </w:p>
  <w:p w:rsidR="007C57B0" w:rsidRDefault="007C57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C57B0" w:rsidRDefault="007C57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7854"/>
    <w:rsid w:val="0004146A"/>
    <w:rsid w:val="0005266E"/>
    <w:rsid w:val="000615B0"/>
    <w:rsid w:val="002E18AB"/>
    <w:rsid w:val="00620427"/>
    <w:rsid w:val="00693206"/>
    <w:rsid w:val="007C57B0"/>
    <w:rsid w:val="00867854"/>
    <w:rsid w:val="00983996"/>
    <w:rsid w:val="00DE2A13"/>
    <w:rsid w:val="00FC12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3277460-53F6-4C42-8661-44D47D83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3206"/>
    <w:rPr>
      <w:sz w:val="20"/>
      <w:szCs w:val="20"/>
    </w:rPr>
  </w:style>
  <w:style w:type="character" w:styleId="a6">
    <w:name w:val="footnote reference"/>
    <w:basedOn w:val="a0"/>
    <w:semiHidden/>
    <w:rsid w:val="006932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5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1310</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8060943</vt:i4>
      </vt:variant>
      <vt:variant>
        <vt:i4>0</vt:i4>
      </vt:variant>
      <vt:variant>
        <vt:i4>0</vt:i4>
      </vt:variant>
      <vt:variant>
        <vt:i4>5</vt:i4>
      </vt:variant>
      <vt:variant>
        <vt:lpwstr>http://www.nevo.co.il/Law_word/law06/TAK-1532.pdf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(שימוש בעגורני חוף), תשכ"ד-1964</vt:lpwstr>
  </property>
  <property fmtid="{D5CDD505-2E9C-101B-9397-08002B2CF9AE}" pid="5" name="LAWNUMBER">
    <vt:lpwstr>0065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