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CAD" w:rsidRDefault="00A97CAD" w:rsidP="002F5F7C">
      <w:pPr>
        <w:pStyle w:val="big-header"/>
        <w:ind w:left="0" w:right="1134"/>
        <w:rPr>
          <w:rFonts w:hint="cs"/>
          <w:rtl/>
        </w:rPr>
      </w:pPr>
      <w:r>
        <w:rPr>
          <w:rtl/>
        </w:rPr>
        <w:t>תקנות הסדר זכויות במקרקעין (הליכי הסדר וסדרי-דין), תשל"ג</w:t>
      </w:r>
      <w:r w:rsidR="002F5F7C">
        <w:rPr>
          <w:rFonts w:hint="cs"/>
          <w:rtl/>
        </w:rPr>
        <w:t>-</w:t>
      </w:r>
      <w:r>
        <w:rPr>
          <w:rtl/>
        </w:rPr>
        <w:t>1972</w:t>
      </w:r>
    </w:p>
    <w:p w:rsidR="00C03EF5" w:rsidRDefault="00C03EF5" w:rsidP="00C03EF5">
      <w:pPr>
        <w:spacing w:line="320" w:lineRule="auto"/>
        <w:jc w:val="left"/>
        <w:rPr>
          <w:rFonts w:cs="FrankRuehl" w:hint="cs"/>
          <w:szCs w:val="26"/>
          <w:rtl/>
        </w:rPr>
      </w:pPr>
    </w:p>
    <w:p w:rsidR="000B741F" w:rsidRPr="00C03EF5" w:rsidRDefault="000B741F" w:rsidP="00C03EF5">
      <w:pPr>
        <w:spacing w:line="320" w:lineRule="auto"/>
        <w:jc w:val="left"/>
        <w:rPr>
          <w:rFonts w:cs="FrankRuehl" w:hint="cs"/>
          <w:szCs w:val="26"/>
          <w:rtl/>
        </w:rPr>
      </w:pPr>
    </w:p>
    <w:p w:rsidR="00C03EF5" w:rsidRDefault="00C03EF5" w:rsidP="00C03EF5">
      <w:pPr>
        <w:spacing w:line="320" w:lineRule="auto"/>
        <w:jc w:val="left"/>
        <w:rPr>
          <w:rFonts w:cs="Miriam"/>
          <w:szCs w:val="22"/>
          <w:rtl/>
        </w:rPr>
      </w:pPr>
      <w:r w:rsidRPr="00C03EF5">
        <w:rPr>
          <w:rFonts w:cs="Miriam"/>
          <w:szCs w:val="22"/>
          <w:rtl/>
        </w:rPr>
        <w:t>משפט פרטי וכלכלה</w:t>
      </w:r>
      <w:r w:rsidRPr="00C03EF5">
        <w:rPr>
          <w:rFonts w:cs="FrankRuehl"/>
          <w:szCs w:val="26"/>
          <w:rtl/>
        </w:rPr>
        <w:t xml:space="preserve"> – קניין – מקרקעין</w:t>
      </w:r>
    </w:p>
    <w:p w:rsidR="00C03EF5" w:rsidRPr="00C03EF5" w:rsidRDefault="00C03EF5" w:rsidP="00C03EF5">
      <w:pPr>
        <w:spacing w:line="320" w:lineRule="auto"/>
        <w:jc w:val="left"/>
        <w:rPr>
          <w:rFonts w:cs="Miriam" w:hint="cs"/>
          <w:szCs w:val="22"/>
          <w:rtl/>
        </w:rPr>
      </w:pPr>
      <w:r w:rsidRPr="00C03EF5">
        <w:rPr>
          <w:rFonts w:cs="Miriam"/>
          <w:szCs w:val="22"/>
          <w:rtl/>
        </w:rPr>
        <w:t>בתי משפט וסדרי דין</w:t>
      </w:r>
      <w:r w:rsidRPr="00C03EF5">
        <w:rPr>
          <w:rFonts w:cs="FrankRuehl"/>
          <w:szCs w:val="26"/>
          <w:rtl/>
        </w:rPr>
        <w:t xml:space="preserve"> – סדר דין אזרחי</w:t>
      </w:r>
    </w:p>
    <w:p w:rsidR="00A97CAD" w:rsidRDefault="00A97CA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פרק א': הליכי הסדר</w:t>
            </w:r>
          </w:p>
        </w:tc>
        <w:tc>
          <w:tcPr>
            <w:tcW w:w="567" w:type="dxa"/>
          </w:tcPr>
          <w:p w:rsidR="00AB581E" w:rsidRPr="00AB581E" w:rsidRDefault="00AB581E" w:rsidP="00AB581E">
            <w:pPr>
              <w:spacing w:line="240" w:lineRule="auto"/>
              <w:jc w:val="left"/>
              <w:rPr>
                <w:rStyle w:val="Hyperlink"/>
                <w:rtl/>
              </w:rPr>
            </w:pPr>
            <w:hyperlink w:anchor="med0" w:tooltip="פרק א: הליכי הסדר"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הודעה מוקדמת על הסדר</w:t>
            </w:r>
          </w:p>
        </w:tc>
        <w:tc>
          <w:tcPr>
            <w:tcW w:w="567" w:type="dxa"/>
          </w:tcPr>
          <w:p w:rsidR="00AB581E" w:rsidRPr="00AB581E" w:rsidRDefault="00AB581E" w:rsidP="00AB581E">
            <w:pPr>
              <w:spacing w:line="240" w:lineRule="auto"/>
              <w:jc w:val="left"/>
              <w:rPr>
                <w:rStyle w:val="Hyperlink"/>
                <w:rtl/>
              </w:rPr>
            </w:pPr>
            <w:hyperlink w:anchor="Seif1" w:tooltip="הודעה מוקדמת על הסדר"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תזכיר תביעה</w:t>
            </w:r>
          </w:p>
        </w:tc>
        <w:tc>
          <w:tcPr>
            <w:tcW w:w="567" w:type="dxa"/>
          </w:tcPr>
          <w:p w:rsidR="00AB581E" w:rsidRPr="00AB581E" w:rsidRDefault="00AB581E" w:rsidP="00AB581E">
            <w:pPr>
              <w:spacing w:line="240" w:lineRule="auto"/>
              <w:jc w:val="left"/>
              <w:rPr>
                <w:rStyle w:val="Hyperlink"/>
                <w:rtl/>
              </w:rPr>
            </w:pPr>
            <w:hyperlink w:anchor="Seif2" w:tooltip="תזכיר תביע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שבועה או הצהרה</w:t>
            </w:r>
          </w:p>
        </w:tc>
        <w:tc>
          <w:tcPr>
            <w:tcW w:w="567" w:type="dxa"/>
          </w:tcPr>
          <w:p w:rsidR="00AB581E" w:rsidRPr="00AB581E" w:rsidRDefault="00AB581E" w:rsidP="00AB581E">
            <w:pPr>
              <w:spacing w:line="240" w:lineRule="auto"/>
              <w:jc w:val="left"/>
              <w:rPr>
                <w:rStyle w:val="Hyperlink"/>
                <w:rtl/>
              </w:rPr>
            </w:pPr>
            <w:hyperlink w:anchor="Seif3" w:tooltip="שבועה או הצהר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4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הודעת הסדר</w:t>
            </w:r>
          </w:p>
        </w:tc>
        <w:tc>
          <w:tcPr>
            <w:tcW w:w="567" w:type="dxa"/>
          </w:tcPr>
          <w:p w:rsidR="00AB581E" w:rsidRPr="00AB581E" w:rsidRDefault="00AB581E" w:rsidP="00AB581E">
            <w:pPr>
              <w:spacing w:line="240" w:lineRule="auto"/>
              <w:jc w:val="left"/>
              <w:rPr>
                <w:rStyle w:val="Hyperlink"/>
                <w:rtl/>
              </w:rPr>
            </w:pPr>
            <w:hyperlink w:anchor="Seif4" w:tooltip="הודעת הסדר"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5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לוח תביעות</w:t>
            </w:r>
          </w:p>
        </w:tc>
        <w:tc>
          <w:tcPr>
            <w:tcW w:w="567" w:type="dxa"/>
          </w:tcPr>
          <w:p w:rsidR="00AB581E" w:rsidRPr="00AB581E" w:rsidRDefault="00AB581E" w:rsidP="00AB581E">
            <w:pPr>
              <w:spacing w:line="240" w:lineRule="auto"/>
              <w:jc w:val="left"/>
              <w:rPr>
                <w:rStyle w:val="Hyperlink"/>
                <w:rtl/>
              </w:rPr>
            </w:pPr>
            <w:hyperlink w:anchor="Seif5" w:tooltip="לוח תביע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6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לוח זכויות</w:t>
            </w:r>
          </w:p>
        </w:tc>
        <w:tc>
          <w:tcPr>
            <w:tcW w:w="567" w:type="dxa"/>
          </w:tcPr>
          <w:p w:rsidR="00AB581E" w:rsidRPr="00AB581E" w:rsidRDefault="00AB581E" w:rsidP="00AB581E">
            <w:pPr>
              <w:spacing w:line="240" w:lineRule="auto"/>
              <w:jc w:val="left"/>
              <w:rPr>
                <w:rStyle w:val="Hyperlink"/>
                <w:rtl/>
              </w:rPr>
            </w:pPr>
            <w:hyperlink w:anchor="Seif6" w:tooltip="לוח זכוי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7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לוח חלוקה</w:t>
            </w:r>
          </w:p>
        </w:tc>
        <w:tc>
          <w:tcPr>
            <w:tcW w:w="567" w:type="dxa"/>
          </w:tcPr>
          <w:p w:rsidR="00AB581E" w:rsidRPr="00AB581E" w:rsidRDefault="00AB581E" w:rsidP="00AB581E">
            <w:pPr>
              <w:spacing w:line="240" w:lineRule="auto"/>
              <w:jc w:val="left"/>
              <w:rPr>
                <w:rStyle w:val="Hyperlink"/>
                <w:rtl/>
              </w:rPr>
            </w:pPr>
            <w:hyperlink w:anchor="Seif7" w:tooltip="לוח חלוק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8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שיטת החלוקה לפי סעיף 70 לפקודה</w:t>
            </w:r>
          </w:p>
        </w:tc>
        <w:tc>
          <w:tcPr>
            <w:tcW w:w="567" w:type="dxa"/>
          </w:tcPr>
          <w:p w:rsidR="00AB581E" w:rsidRPr="00AB581E" w:rsidRDefault="00AB581E" w:rsidP="00AB581E">
            <w:pPr>
              <w:spacing w:line="240" w:lineRule="auto"/>
              <w:jc w:val="left"/>
              <w:rPr>
                <w:rStyle w:val="Hyperlink"/>
                <w:rtl/>
              </w:rPr>
            </w:pPr>
            <w:hyperlink w:anchor="Seif8" w:tooltip="שיטת החלוקה לפי סעיף 70 לפקוד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9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הודעה על קריאת לוח זכויות או לוח חלוקה</w:t>
            </w:r>
          </w:p>
        </w:tc>
        <w:tc>
          <w:tcPr>
            <w:tcW w:w="567" w:type="dxa"/>
          </w:tcPr>
          <w:p w:rsidR="00AB581E" w:rsidRPr="00AB581E" w:rsidRDefault="00AB581E" w:rsidP="00AB581E">
            <w:pPr>
              <w:spacing w:line="240" w:lineRule="auto"/>
              <w:jc w:val="left"/>
              <w:rPr>
                <w:rStyle w:val="Hyperlink"/>
                <w:rtl/>
              </w:rPr>
            </w:pPr>
            <w:hyperlink w:anchor="Seif9" w:tooltip="הודעה על קריאת לוח זכויות או לוח חלוק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10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טופס הפנקס החדש</w:t>
            </w:r>
          </w:p>
        </w:tc>
        <w:tc>
          <w:tcPr>
            <w:tcW w:w="567" w:type="dxa"/>
          </w:tcPr>
          <w:p w:rsidR="00AB581E" w:rsidRPr="00AB581E" w:rsidRDefault="00AB581E" w:rsidP="00AB581E">
            <w:pPr>
              <w:spacing w:line="240" w:lineRule="auto"/>
              <w:jc w:val="left"/>
              <w:rPr>
                <w:rStyle w:val="Hyperlink"/>
                <w:rtl/>
              </w:rPr>
            </w:pPr>
            <w:hyperlink w:anchor="Seif10" w:tooltip="טופס הפנקס החדש"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11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טופס העתק מאושר של רישום</w:t>
            </w:r>
          </w:p>
        </w:tc>
        <w:tc>
          <w:tcPr>
            <w:tcW w:w="567" w:type="dxa"/>
          </w:tcPr>
          <w:p w:rsidR="00AB581E" w:rsidRPr="00AB581E" w:rsidRDefault="00AB581E" w:rsidP="00AB581E">
            <w:pPr>
              <w:spacing w:line="240" w:lineRule="auto"/>
              <w:jc w:val="left"/>
              <w:rPr>
                <w:rStyle w:val="Hyperlink"/>
                <w:rtl/>
              </w:rPr>
            </w:pPr>
            <w:hyperlink w:anchor="Seif11" w:tooltip="טופס העתק מאושר של רישו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פרק ב': סדרי-דין</w:t>
            </w:r>
          </w:p>
        </w:tc>
        <w:tc>
          <w:tcPr>
            <w:tcW w:w="567" w:type="dxa"/>
          </w:tcPr>
          <w:p w:rsidR="00AB581E" w:rsidRPr="00AB581E" w:rsidRDefault="00AB581E" w:rsidP="00AB581E">
            <w:pPr>
              <w:spacing w:line="240" w:lineRule="auto"/>
              <w:jc w:val="left"/>
              <w:rPr>
                <w:rStyle w:val="Hyperlink"/>
                <w:rtl/>
              </w:rPr>
            </w:pPr>
            <w:hyperlink w:anchor="med1" w:tooltip="פרק ב: סדרי-דין"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12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הגשת הודעת תביעה לפקיד ההסדר</w:t>
            </w:r>
          </w:p>
        </w:tc>
        <w:tc>
          <w:tcPr>
            <w:tcW w:w="567" w:type="dxa"/>
          </w:tcPr>
          <w:p w:rsidR="00AB581E" w:rsidRPr="00AB581E" w:rsidRDefault="00AB581E" w:rsidP="00AB581E">
            <w:pPr>
              <w:spacing w:line="240" w:lineRule="auto"/>
              <w:jc w:val="left"/>
              <w:rPr>
                <w:rStyle w:val="Hyperlink"/>
                <w:rtl/>
              </w:rPr>
            </w:pPr>
            <w:hyperlink w:anchor="Seif12" w:tooltip="הגשת הודעת תביעה לפקיד ההסדר"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הודעה שבעל פה</w:t>
            </w:r>
          </w:p>
        </w:tc>
        <w:tc>
          <w:tcPr>
            <w:tcW w:w="567" w:type="dxa"/>
          </w:tcPr>
          <w:p w:rsidR="00AB581E" w:rsidRPr="00AB581E" w:rsidRDefault="00AB581E" w:rsidP="00AB581E">
            <w:pPr>
              <w:spacing w:line="240" w:lineRule="auto"/>
              <w:jc w:val="left"/>
              <w:rPr>
                <w:rStyle w:val="Hyperlink"/>
                <w:rtl/>
              </w:rPr>
            </w:pPr>
            <w:hyperlink w:anchor="Seif13" w:tooltip="הודעה שבעל פ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14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העברת הודעות לבית המשפט</w:t>
            </w:r>
          </w:p>
        </w:tc>
        <w:tc>
          <w:tcPr>
            <w:tcW w:w="567" w:type="dxa"/>
          </w:tcPr>
          <w:p w:rsidR="00AB581E" w:rsidRPr="00AB581E" w:rsidRDefault="00AB581E" w:rsidP="00AB581E">
            <w:pPr>
              <w:spacing w:line="240" w:lineRule="auto"/>
              <w:jc w:val="left"/>
              <w:rPr>
                <w:rStyle w:val="Hyperlink"/>
                <w:rtl/>
              </w:rPr>
            </w:pPr>
            <w:hyperlink w:anchor="Seif14" w:tooltip="העברת הודעות לבית המשפט"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15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הזמנת בעלי_דין ועדים</w:t>
            </w:r>
          </w:p>
        </w:tc>
        <w:tc>
          <w:tcPr>
            <w:tcW w:w="567" w:type="dxa"/>
          </w:tcPr>
          <w:p w:rsidR="00AB581E" w:rsidRPr="00AB581E" w:rsidRDefault="00AB581E" w:rsidP="00AB581E">
            <w:pPr>
              <w:spacing w:line="240" w:lineRule="auto"/>
              <w:jc w:val="left"/>
              <w:rPr>
                <w:rStyle w:val="Hyperlink"/>
                <w:rtl/>
              </w:rPr>
            </w:pPr>
            <w:hyperlink w:anchor="Seif15" w:tooltip="הזמנת בעלי_דין ועדי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16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התובע והנתבע</w:t>
            </w:r>
          </w:p>
        </w:tc>
        <w:tc>
          <w:tcPr>
            <w:tcW w:w="567" w:type="dxa"/>
          </w:tcPr>
          <w:p w:rsidR="00AB581E" w:rsidRPr="00AB581E" w:rsidRDefault="00AB581E" w:rsidP="00AB581E">
            <w:pPr>
              <w:spacing w:line="240" w:lineRule="auto"/>
              <w:jc w:val="left"/>
              <w:rPr>
                <w:rStyle w:val="Hyperlink"/>
                <w:rtl/>
              </w:rPr>
            </w:pPr>
            <w:hyperlink w:anchor="Seif16" w:tooltip="התובע והנתבע"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17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התובע תביעה חדשה</w:t>
            </w:r>
          </w:p>
        </w:tc>
        <w:tc>
          <w:tcPr>
            <w:tcW w:w="567" w:type="dxa"/>
          </w:tcPr>
          <w:p w:rsidR="00AB581E" w:rsidRPr="00AB581E" w:rsidRDefault="00AB581E" w:rsidP="00AB581E">
            <w:pPr>
              <w:spacing w:line="240" w:lineRule="auto"/>
              <w:jc w:val="left"/>
              <w:rPr>
                <w:rStyle w:val="Hyperlink"/>
                <w:rtl/>
              </w:rPr>
            </w:pPr>
            <w:hyperlink w:anchor="Seif17" w:tooltip="התובע תביעה חדש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18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מאימתי אין מוסיפים תביעה חדשה</w:t>
            </w:r>
          </w:p>
        </w:tc>
        <w:tc>
          <w:tcPr>
            <w:tcW w:w="567" w:type="dxa"/>
          </w:tcPr>
          <w:p w:rsidR="00AB581E" w:rsidRPr="00AB581E" w:rsidRDefault="00AB581E" w:rsidP="00AB581E">
            <w:pPr>
              <w:spacing w:line="240" w:lineRule="auto"/>
              <w:jc w:val="left"/>
              <w:rPr>
                <w:rStyle w:val="Hyperlink"/>
                <w:rtl/>
              </w:rPr>
            </w:pPr>
            <w:hyperlink w:anchor="Seif18" w:tooltip="מאימתי אין מוסיפים תביעה חדש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19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מחיקה בהודעה ובתזכיר התביעה</w:t>
            </w:r>
          </w:p>
        </w:tc>
        <w:tc>
          <w:tcPr>
            <w:tcW w:w="567" w:type="dxa"/>
          </w:tcPr>
          <w:p w:rsidR="00AB581E" w:rsidRPr="00AB581E" w:rsidRDefault="00AB581E" w:rsidP="00AB581E">
            <w:pPr>
              <w:spacing w:line="240" w:lineRule="auto"/>
              <w:jc w:val="left"/>
              <w:rPr>
                <w:rStyle w:val="Hyperlink"/>
                <w:rtl/>
              </w:rPr>
            </w:pPr>
            <w:hyperlink w:anchor="Seif19" w:tooltip="מחיקה בהודעה ובתזכיר התביע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20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דחיה על הסף</w:t>
            </w:r>
          </w:p>
        </w:tc>
        <w:tc>
          <w:tcPr>
            <w:tcW w:w="567" w:type="dxa"/>
          </w:tcPr>
          <w:p w:rsidR="00AB581E" w:rsidRPr="00AB581E" w:rsidRDefault="00AB581E" w:rsidP="00AB581E">
            <w:pPr>
              <w:spacing w:line="240" w:lineRule="auto"/>
              <w:jc w:val="left"/>
              <w:rPr>
                <w:rStyle w:val="Hyperlink"/>
                <w:rtl/>
              </w:rPr>
            </w:pPr>
            <w:hyperlink w:anchor="Seif20" w:tooltip="דחיה על הסף"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21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תיקון הודעה ותזכיר תביעה</w:t>
            </w:r>
          </w:p>
        </w:tc>
        <w:tc>
          <w:tcPr>
            <w:tcW w:w="567" w:type="dxa"/>
          </w:tcPr>
          <w:p w:rsidR="00AB581E" w:rsidRPr="00AB581E" w:rsidRDefault="00AB581E" w:rsidP="00AB581E">
            <w:pPr>
              <w:spacing w:line="240" w:lineRule="auto"/>
              <w:jc w:val="left"/>
              <w:rPr>
                <w:rStyle w:val="Hyperlink"/>
                <w:rtl/>
              </w:rPr>
            </w:pPr>
            <w:hyperlink w:anchor="Seif21" w:tooltip="תיקון הודעה ותזכיר תביע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22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הגשת הודעה ותזכיר תביעה מתוקנים</w:t>
            </w:r>
          </w:p>
        </w:tc>
        <w:tc>
          <w:tcPr>
            <w:tcW w:w="567" w:type="dxa"/>
          </w:tcPr>
          <w:p w:rsidR="00AB581E" w:rsidRPr="00AB581E" w:rsidRDefault="00AB581E" w:rsidP="00AB581E">
            <w:pPr>
              <w:spacing w:line="240" w:lineRule="auto"/>
              <w:jc w:val="left"/>
              <w:rPr>
                <w:rStyle w:val="Hyperlink"/>
                <w:rtl/>
              </w:rPr>
            </w:pPr>
            <w:hyperlink w:anchor="Seif22" w:tooltip="הגשת הודעה ותזכיר תביעה מתוקני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איחוד דיון בתביעות</w:t>
            </w:r>
          </w:p>
        </w:tc>
        <w:tc>
          <w:tcPr>
            <w:tcW w:w="567" w:type="dxa"/>
          </w:tcPr>
          <w:p w:rsidR="00AB581E" w:rsidRPr="00AB581E" w:rsidRDefault="00AB581E" w:rsidP="00AB581E">
            <w:pPr>
              <w:spacing w:line="240" w:lineRule="auto"/>
              <w:jc w:val="left"/>
              <w:rPr>
                <w:rStyle w:val="Hyperlink"/>
                <w:rtl/>
              </w:rPr>
            </w:pPr>
            <w:hyperlink w:anchor="Seif23" w:tooltip="איחוד דיון בתביע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24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התייצבות בעלים משותפים ויורשים שענינם אחד</w:t>
            </w:r>
          </w:p>
        </w:tc>
        <w:tc>
          <w:tcPr>
            <w:tcW w:w="567" w:type="dxa"/>
          </w:tcPr>
          <w:p w:rsidR="00AB581E" w:rsidRPr="00AB581E" w:rsidRDefault="00AB581E" w:rsidP="00AB581E">
            <w:pPr>
              <w:spacing w:line="240" w:lineRule="auto"/>
              <w:jc w:val="left"/>
              <w:rPr>
                <w:rStyle w:val="Hyperlink"/>
                <w:rtl/>
              </w:rPr>
            </w:pPr>
            <w:hyperlink w:anchor="Seif24" w:tooltip="התייצבות בעלים משותפים ויורשים שענינם אחד"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25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בחינת ראיות ושמיעת עדים</w:t>
            </w:r>
          </w:p>
        </w:tc>
        <w:tc>
          <w:tcPr>
            <w:tcW w:w="567" w:type="dxa"/>
          </w:tcPr>
          <w:p w:rsidR="00AB581E" w:rsidRPr="00AB581E" w:rsidRDefault="00AB581E" w:rsidP="00AB581E">
            <w:pPr>
              <w:spacing w:line="240" w:lineRule="auto"/>
              <w:jc w:val="left"/>
              <w:rPr>
                <w:rStyle w:val="Hyperlink"/>
                <w:rtl/>
              </w:rPr>
            </w:pPr>
            <w:hyperlink w:anchor="Seif25" w:tooltip="בחינת ראיות ושמיעת עדי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26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הליכים שלא בפני תובע</w:t>
            </w:r>
          </w:p>
        </w:tc>
        <w:tc>
          <w:tcPr>
            <w:tcW w:w="567" w:type="dxa"/>
          </w:tcPr>
          <w:p w:rsidR="00AB581E" w:rsidRPr="00AB581E" w:rsidRDefault="00AB581E" w:rsidP="00AB581E">
            <w:pPr>
              <w:spacing w:line="240" w:lineRule="auto"/>
              <w:jc w:val="left"/>
              <w:rPr>
                <w:rStyle w:val="Hyperlink"/>
                <w:rtl/>
              </w:rPr>
            </w:pPr>
            <w:hyperlink w:anchor="Seif26" w:tooltip="הליכים שלא בפני תובע"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27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ראיה שלא הוגשה על ידי תובע</w:t>
            </w:r>
          </w:p>
        </w:tc>
        <w:tc>
          <w:tcPr>
            <w:tcW w:w="567" w:type="dxa"/>
          </w:tcPr>
          <w:p w:rsidR="00AB581E" w:rsidRPr="00AB581E" w:rsidRDefault="00AB581E" w:rsidP="00AB581E">
            <w:pPr>
              <w:spacing w:line="240" w:lineRule="auto"/>
              <w:jc w:val="left"/>
              <w:rPr>
                <w:rStyle w:val="Hyperlink"/>
                <w:rtl/>
              </w:rPr>
            </w:pPr>
            <w:hyperlink w:anchor="Seif27" w:tooltip="ראיה שלא הוגשה על ידי תובע"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28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הודאה בתעודה</w:t>
            </w:r>
          </w:p>
        </w:tc>
        <w:tc>
          <w:tcPr>
            <w:tcW w:w="567" w:type="dxa"/>
          </w:tcPr>
          <w:p w:rsidR="00AB581E" w:rsidRPr="00AB581E" w:rsidRDefault="00AB581E" w:rsidP="00AB581E">
            <w:pPr>
              <w:spacing w:line="240" w:lineRule="auto"/>
              <w:jc w:val="left"/>
              <w:rPr>
                <w:rStyle w:val="Hyperlink"/>
                <w:rtl/>
              </w:rPr>
            </w:pPr>
            <w:hyperlink w:anchor="Seif28" w:tooltip="הודאה בתעוד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29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חתימה וכתב יד הטעונים הוכחה</w:t>
            </w:r>
          </w:p>
        </w:tc>
        <w:tc>
          <w:tcPr>
            <w:tcW w:w="567" w:type="dxa"/>
          </w:tcPr>
          <w:p w:rsidR="00AB581E" w:rsidRPr="00AB581E" w:rsidRDefault="00AB581E" w:rsidP="00AB581E">
            <w:pPr>
              <w:spacing w:line="240" w:lineRule="auto"/>
              <w:jc w:val="left"/>
              <w:rPr>
                <w:rStyle w:val="Hyperlink"/>
                <w:rtl/>
              </w:rPr>
            </w:pPr>
            <w:hyperlink w:anchor="Seif29" w:tooltip="חתימה וכתב יד הטעונים הוכח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30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בקשה לביטול החלטה שניתנה  על פי צד אחד</w:t>
            </w:r>
          </w:p>
        </w:tc>
        <w:tc>
          <w:tcPr>
            <w:tcW w:w="567" w:type="dxa"/>
          </w:tcPr>
          <w:p w:rsidR="00AB581E" w:rsidRPr="00AB581E" w:rsidRDefault="00AB581E" w:rsidP="00AB581E">
            <w:pPr>
              <w:spacing w:line="240" w:lineRule="auto"/>
              <w:jc w:val="left"/>
              <w:rPr>
                <w:rStyle w:val="Hyperlink"/>
                <w:rtl/>
              </w:rPr>
            </w:pPr>
            <w:hyperlink w:anchor="Seif30" w:tooltip="בקשה לביטול החלטה שניתנה  על פי צד אחד"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31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ביטול החלטה שניתנה על פי צד אחד</w:t>
            </w:r>
          </w:p>
        </w:tc>
        <w:tc>
          <w:tcPr>
            <w:tcW w:w="567" w:type="dxa"/>
          </w:tcPr>
          <w:p w:rsidR="00AB581E" w:rsidRPr="00AB581E" w:rsidRDefault="00AB581E" w:rsidP="00AB581E">
            <w:pPr>
              <w:spacing w:line="240" w:lineRule="auto"/>
              <w:jc w:val="left"/>
              <w:rPr>
                <w:rStyle w:val="Hyperlink"/>
                <w:rtl/>
              </w:rPr>
            </w:pPr>
            <w:hyperlink w:anchor="Seif31" w:tooltip="ביטול החלטה שניתנה על פי צד אחד"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32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אדם העלול להיפגע על ידי ביטול החלטה</w:t>
            </w:r>
          </w:p>
        </w:tc>
        <w:tc>
          <w:tcPr>
            <w:tcW w:w="567" w:type="dxa"/>
          </w:tcPr>
          <w:p w:rsidR="00AB581E" w:rsidRPr="00AB581E" w:rsidRDefault="00AB581E" w:rsidP="00AB581E">
            <w:pPr>
              <w:spacing w:line="240" w:lineRule="auto"/>
              <w:jc w:val="left"/>
              <w:rPr>
                <w:rStyle w:val="Hyperlink"/>
                <w:rtl/>
              </w:rPr>
            </w:pPr>
            <w:hyperlink w:anchor="Seif32" w:tooltip="אדם העלול להיפגע על ידי ביטול החלט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העברת תעודות בבירור ערעור</w:t>
            </w:r>
          </w:p>
        </w:tc>
        <w:tc>
          <w:tcPr>
            <w:tcW w:w="567" w:type="dxa"/>
          </w:tcPr>
          <w:p w:rsidR="00AB581E" w:rsidRPr="00AB581E" w:rsidRDefault="00AB581E" w:rsidP="00AB581E">
            <w:pPr>
              <w:spacing w:line="240" w:lineRule="auto"/>
              <w:jc w:val="left"/>
              <w:rPr>
                <w:rStyle w:val="Hyperlink"/>
                <w:rtl/>
              </w:rPr>
            </w:pPr>
            <w:hyperlink w:anchor="Seif33" w:tooltip="העברת תעודות בבירור ערעור"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34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מסירת הודעה לפי סעיף 77 לפקודה</w:t>
            </w:r>
          </w:p>
        </w:tc>
        <w:tc>
          <w:tcPr>
            <w:tcW w:w="567" w:type="dxa"/>
          </w:tcPr>
          <w:p w:rsidR="00AB581E" w:rsidRPr="00AB581E" w:rsidRDefault="00AB581E" w:rsidP="00AB581E">
            <w:pPr>
              <w:spacing w:line="240" w:lineRule="auto"/>
              <w:jc w:val="left"/>
              <w:rPr>
                <w:rStyle w:val="Hyperlink"/>
                <w:rtl/>
              </w:rPr>
            </w:pPr>
            <w:hyperlink w:anchor="Seif34" w:tooltip="מסירת הודעה לפי סעיף 77 לפקוד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35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רישום הערות בלוח הזכויות ובפנקס החדש</w:t>
            </w:r>
          </w:p>
        </w:tc>
        <w:tc>
          <w:tcPr>
            <w:tcW w:w="567" w:type="dxa"/>
          </w:tcPr>
          <w:p w:rsidR="00AB581E" w:rsidRPr="00AB581E" w:rsidRDefault="00AB581E" w:rsidP="00AB581E">
            <w:pPr>
              <w:spacing w:line="240" w:lineRule="auto"/>
              <w:jc w:val="left"/>
              <w:rPr>
                <w:rStyle w:val="Hyperlink"/>
                <w:rtl/>
              </w:rPr>
            </w:pPr>
            <w:hyperlink w:anchor="Seif35" w:tooltip="רישום הערות בלוח הזכויות ובפנקס החדש"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lastRenderedPageBreak/>
              <w:t xml:space="preserve">סעיף 36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תחולתן של תקנות סדר הדין האזרחי</w:t>
            </w:r>
          </w:p>
        </w:tc>
        <w:tc>
          <w:tcPr>
            <w:tcW w:w="567" w:type="dxa"/>
          </w:tcPr>
          <w:p w:rsidR="00AB581E" w:rsidRPr="00AB581E" w:rsidRDefault="00AB581E" w:rsidP="00AB581E">
            <w:pPr>
              <w:spacing w:line="240" w:lineRule="auto"/>
              <w:jc w:val="left"/>
              <w:rPr>
                <w:rStyle w:val="Hyperlink"/>
                <w:rtl/>
              </w:rPr>
            </w:pPr>
            <w:hyperlink w:anchor="Seif36" w:tooltip="תחולתן של תקנות סדר הדין האזרחי"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פרק ג': אגרות</w:t>
            </w:r>
          </w:p>
        </w:tc>
        <w:tc>
          <w:tcPr>
            <w:tcW w:w="567" w:type="dxa"/>
          </w:tcPr>
          <w:p w:rsidR="00AB581E" w:rsidRPr="00AB581E" w:rsidRDefault="00AB581E" w:rsidP="00AB581E">
            <w:pPr>
              <w:spacing w:line="240" w:lineRule="auto"/>
              <w:jc w:val="left"/>
              <w:rPr>
                <w:rStyle w:val="Hyperlink"/>
                <w:rtl/>
              </w:rPr>
            </w:pPr>
            <w:hyperlink w:anchor="med2" w:tooltip="פרק ג: אגר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37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גביית אגרות</w:t>
            </w:r>
          </w:p>
        </w:tc>
        <w:tc>
          <w:tcPr>
            <w:tcW w:w="567" w:type="dxa"/>
          </w:tcPr>
          <w:p w:rsidR="00AB581E" w:rsidRPr="00AB581E" w:rsidRDefault="00AB581E" w:rsidP="00AB581E">
            <w:pPr>
              <w:spacing w:line="240" w:lineRule="auto"/>
              <w:jc w:val="left"/>
              <w:rPr>
                <w:rStyle w:val="Hyperlink"/>
                <w:rtl/>
              </w:rPr>
            </w:pPr>
            <w:hyperlink w:anchor="Seif37" w:tooltip="גביית אגר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38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סמכות למחול אגרות</w:t>
            </w:r>
          </w:p>
        </w:tc>
        <w:tc>
          <w:tcPr>
            <w:tcW w:w="567" w:type="dxa"/>
          </w:tcPr>
          <w:p w:rsidR="00AB581E" w:rsidRPr="00AB581E" w:rsidRDefault="00AB581E" w:rsidP="00AB581E">
            <w:pPr>
              <w:spacing w:line="240" w:lineRule="auto"/>
              <w:jc w:val="left"/>
              <w:rPr>
                <w:rStyle w:val="Hyperlink"/>
                <w:rtl/>
              </w:rPr>
            </w:pPr>
            <w:hyperlink w:anchor="Seif38" w:tooltip="סמכות למחול אגר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פרק ד': הוראות שונות</w:t>
            </w:r>
          </w:p>
        </w:tc>
        <w:tc>
          <w:tcPr>
            <w:tcW w:w="567" w:type="dxa"/>
          </w:tcPr>
          <w:p w:rsidR="00AB581E" w:rsidRPr="00AB581E" w:rsidRDefault="00AB581E" w:rsidP="00AB581E">
            <w:pPr>
              <w:spacing w:line="240" w:lineRule="auto"/>
              <w:jc w:val="left"/>
              <w:rPr>
                <w:rStyle w:val="Hyperlink"/>
                <w:rtl/>
              </w:rPr>
            </w:pPr>
            <w:hyperlink w:anchor="med3" w:tooltip="פרק ד: הוראות שונו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42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תחילה</w:t>
            </w:r>
          </w:p>
        </w:tc>
        <w:tc>
          <w:tcPr>
            <w:tcW w:w="567" w:type="dxa"/>
          </w:tcPr>
          <w:p w:rsidR="00AB581E" w:rsidRPr="00AB581E" w:rsidRDefault="00AB581E" w:rsidP="00AB581E">
            <w:pPr>
              <w:spacing w:line="240" w:lineRule="auto"/>
              <w:jc w:val="left"/>
              <w:rPr>
                <w:rStyle w:val="Hyperlink"/>
                <w:rtl/>
              </w:rPr>
            </w:pPr>
            <w:hyperlink w:anchor="Seif39" w:tooltip="תחיל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43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ביטולים</w:t>
            </w:r>
          </w:p>
        </w:tc>
        <w:tc>
          <w:tcPr>
            <w:tcW w:w="567" w:type="dxa"/>
          </w:tcPr>
          <w:p w:rsidR="00AB581E" w:rsidRPr="00AB581E" w:rsidRDefault="00AB581E" w:rsidP="00AB581E">
            <w:pPr>
              <w:spacing w:line="240" w:lineRule="auto"/>
              <w:jc w:val="left"/>
              <w:rPr>
                <w:rStyle w:val="Hyperlink"/>
                <w:rtl/>
              </w:rPr>
            </w:pPr>
            <w:hyperlink w:anchor="Seif40" w:tooltip="ביטולי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44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השם</w:t>
            </w:r>
          </w:p>
        </w:tc>
        <w:tc>
          <w:tcPr>
            <w:tcW w:w="567" w:type="dxa"/>
          </w:tcPr>
          <w:p w:rsidR="00AB581E" w:rsidRPr="00AB581E" w:rsidRDefault="00AB581E" w:rsidP="00AB581E">
            <w:pPr>
              <w:spacing w:line="240" w:lineRule="auto"/>
              <w:jc w:val="left"/>
              <w:rPr>
                <w:rStyle w:val="Hyperlink"/>
                <w:rtl/>
              </w:rPr>
            </w:pPr>
            <w:hyperlink w:anchor="Seif41" w:tooltip="השם"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תוספת ראשונה</w:t>
            </w:r>
          </w:p>
        </w:tc>
        <w:tc>
          <w:tcPr>
            <w:tcW w:w="567" w:type="dxa"/>
          </w:tcPr>
          <w:p w:rsidR="00AB581E" w:rsidRPr="00AB581E" w:rsidRDefault="00AB581E" w:rsidP="00AB581E">
            <w:pPr>
              <w:spacing w:line="240" w:lineRule="auto"/>
              <w:jc w:val="left"/>
              <w:rPr>
                <w:rStyle w:val="Hyperlink"/>
                <w:rtl/>
              </w:rPr>
            </w:pPr>
            <w:hyperlink w:anchor="med4" w:tooltip="תוספת ראשונ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תוספת שניה</w:t>
            </w:r>
          </w:p>
        </w:tc>
        <w:tc>
          <w:tcPr>
            <w:tcW w:w="567" w:type="dxa"/>
          </w:tcPr>
          <w:p w:rsidR="00AB581E" w:rsidRPr="00AB581E" w:rsidRDefault="00AB581E" w:rsidP="00AB581E">
            <w:pPr>
              <w:spacing w:line="240" w:lineRule="auto"/>
              <w:jc w:val="left"/>
              <w:rPr>
                <w:rStyle w:val="Hyperlink"/>
                <w:rtl/>
              </w:rPr>
            </w:pPr>
            <w:hyperlink w:anchor="med5" w:tooltip="תוספת שניה"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r>
              <w:rPr>
                <w:rFonts w:cs="Times New Roman"/>
                <w:sz w:val="24"/>
                <w:rtl/>
              </w:rPr>
              <w:t xml:space="preserve">סעיף 3 </w:t>
            </w: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ת"ט תשמ"ב 1982</w:t>
            </w:r>
          </w:p>
        </w:tc>
        <w:tc>
          <w:tcPr>
            <w:tcW w:w="567" w:type="dxa"/>
          </w:tcPr>
          <w:p w:rsidR="00AB581E" w:rsidRPr="00AB581E" w:rsidRDefault="00AB581E" w:rsidP="00AB581E">
            <w:pPr>
              <w:spacing w:line="240" w:lineRule="auto"/>
              <w:jc w:val="left"/>
              <w:rPr>
                <w:rStyle w:val="Hyperlink"/>
                <w:rtl/>
              </w:rPr>
            </w:pPr>
            <w:hyperlink w:anchor="Seif42" w:tooltip="תט תשמב 1982"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B581E" w:rsidRPr="00AB581E" w:rsidTr="00AB581E">
        <w:tblPrEx>
          <w:tblCellMar>
            <w:top w:w="0" w:type="dxa"/>
            <w:bottom w:w="0" w:type="dxa"/>
          </w:tblCellMar>
        </w:tblPrEx>
        <w:tc>
          <w:tcPr>
            <w:tcW w:w="1247" w:type="dxa"/>
          </w:tcPr>
          <w:p w:rsidR="00AB581E" w:rsidRPr="00AB581E" w:rsidRDefault="00AB581E" w:rsidP="00AB581E">
            <w:pPr>
              <w:spacing w:line="240" w:lineRule="auto"/>
              <w:jc w:val="left"/>
              <w:rPr>
                <w:rFonts w:cs="Frankruhel"/>
                <w:sz w:val="24"/>
                <w:rtl/>
              </w:rPr>
            </w:pPr>
          </w:p>
        </w:tc>
        <w:tc>
          <w:tcPr>
            <w:tcW w:w="5669" w:type="dxa"/>
          </w:tcPr>
          <w:p w:rsidR="00AB581E" w:rsidRPr="00AB581E" w:rsidRDefault="00AB581E" w:rsidP="00AB581E">
            <w:pPr>
              <w:spacing w:line="240" w:lineRule="auto"/>
              <w:jc w:val="left"/>
              <w:rPr>
                <w:rFonts w:cs="Frankruhel"/>
                <w:sz w:val="24"/>
                <w:rtl/>
              </w:rPr>
            </w:pPr>
            <w:r>
              <w:rPr>
                <w:rFonts w:cs="Times New Roman"/>
                <w:sz w:val="24"/>
                <w:rtl/>
              </w:rPr>
              <w:t>תוספת שלישית</w:t>
            </w:r>
          </w:p>
        </w:tc>
        <w:tc>
          <w:tcPr>
            <w:tcW w:w="567" w:type="dxa"/>
          </w:tcPr>
          <w:p w:rsidR="00AB581E" w:rsidRPr="00AB581E" w:rsidRDefault="00AB581E" w:rsidP="00AB581E">
            <w:pPr>
              <w:spacing w:line="240" w:lineRule="auto"/>
              <w:jc w:val="left"/>
              <w:rPr>
                <w:rStyle w:val="Hyperlink"/>
                <w:rtl/>
              </w:rPr>
            </w:pPr>
            <w:hyperlink w:anchor="med6" w:tooltip="תוספת שלישית" w:history="1">
              <w:r w:rsidRPr="00AB581E">
                <w:rPr>
                  <w:rStyle w:val="Hyperlink"/>
                </w:rPr>
                <w:t>Go</w:t>
              </w:r>
            </w:hyperlink>
          </w:p>
        </w:tc>
        <w:tc>
          <w:tcPr>
            <w:tcW w:w="850" w:type="dxa"/>
          </w:tcPr>
          <w:p w:rsidR="00AB581E" w:rsidRPr="00AB581E" w:rsidRDefault="00AB581E" w:rsidP="00AB58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A97CAD" w:rsidRDefault="00A97CAD">
      <w:pPr>
        <w:pStyle w:val="big-header"/>
        <w:ind w:left="0" w:right="1134"/>
        <w:rPr>
          <w:rtl/>
        </w:rPr>
      </w:pPr>
    </w:p>
    <w:p w:rsidR="00A97CAD" w:rsidRPr="00C03EF5" w:rsidRDefault="00A97CAD" w:rsidP="00C03EF5">
      <w:pPr>
        <w:pStyle w:val="big-header"/>
        <w:ind w:left="0" w:right="1134"/>
        <w:rPr>
          <w:rStyle w:val="default"/>
          <w:rFonts w:cs="FrankRuehl" w:hint="cs"/>
          <w:szCs w:val="32"/>
          <w:rtl/>
        </w:rPr>
      </w:pPr>
      <w:r>
        <w:rPr>
          <w:rtl/>
        </w:rPr>
        <w:br w:type="page"/>
      </w:r>
      <w:r>
        <w:rPr>
          <w:rtl/>
        </w:rPr>
        <w:lastRenderedPageBreak/>
        <w:t>ת</w:t>
      </w:r>
      <w:r>
        <w:rPr>
          <w:rFonts w:hint="cs"/>
          <w:rtl/>
        </w:rPr>
        <w:t>קנות הסדר זכויות במקרקעין (הליכי הסדר וסדרי-דין), תשל"ג</w:t>
      </w:r>
      <w:r w:rsidR="002F5F7C">
        <w:rPr>
          <w:rFonts w:hint="cs"/>
          <w:rtl/>
        </w:rPr>
        <w:t>-</w:t>
      </w:r>
      <w:r>
        <w:rPr>
          <w:rFonts w:hint="cs"/>
          <w:rtl/>
        </w:rPr>
        <w:t>1972</w:t>
      </w:r>
      <w:r w:rsidR="002F5F7C">
        <w:rPr>
          <w:rStyle w:val="a7"/>
          <w:rtl/>
        </w:rPr>
        <w:footnoteReference w:customMarkFollows="1" w:id="1"/>
        <w:t>*</w:t>
      </w:r>
    </w:p>
    <w:p w:rsidR="00A97CAD" w:rsidRDefault="00A97CAD" w:rsidP="00A730E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98 ו-114 לפקודת הסדר זכויות</w:t>
      </w:r>
      <w:r>
        <w:rPr>
          <w:rStyle w:val="default"/>
          <w:rFonts w:cs="FrankRuehl"/>
          <w:rtl/>
        </w:rPr>
        <w:t xml:space="preserve"> </w:t>
      </w:r>
      <w:r>
        <w:rPr>
          <w:rStyle w:val="default"/>
          <w:rFonts w:cs="FrankRuehl" w:hint="cs"/>
          <w:rtl/>
        </w:rPr>
        <w:t>במקרקעין [</w:t>
      </w:r>
      <w:r>
        <w:rPr>
          <w:rStyle w:val="default"/>
          <w:rFonts w:cs="FrankRuehl"/>
          <w:rtl/>
        </w:rPr>
        <w:t>נ</w:t>
      </w:r>
      <w:r>
        <w:rPr>
          <w:rStyle w:val="default"/>
          <w:rFonts w:cs="FrankRuehl" w:hint="cs"/>
          <w:rtl/>
        </w:rPr>
        <w:t>וסח חדש], תשכ"ט</w:t>
      </w:r>
      <w:r w:rsidR="00A730E5">
        <w:rPr>
          <w:rStyle w:val="default"/>
          <w:rFonts w:cs="FrankRuehl" w:hint="cs"/>
          <w:rtl/>
        </w:rPr>
        <w:t>-</w:t>
      </w:r>
      <w:r>
        <w:rPr>
          <w:rStyle w:val="default"/>
          <w:rFonts w:cs="FrankRuehl" w:hint="cs"/>
          <w:rtl/>
        </w:rPr>
        <w:t>1969, אני מתקין תקנות אלה:</w:t>
      </w:r>
    </w:p>
    <w:p w:rsidR="00A97CAD" w:rsidRDefault="00A97CA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הליכי הסדר</w:t>
      </w:r>
    </w:p>
    <w:p w:rsidR="00A97CAD" w:rsidRDefault="00A97CAD" w:rsidP="00A730E5">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4.4pt;z-index:251634176" o:allowincell="f" filled="f" stroked="f" strokecolor="lime" strokeweight=".25pt">
            <v:textbox style="mso-next-textbox:#_x0000_s1026"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ודעה מוקדמת</w:t>
                  </w:r>
                  <w:r w:rsidR="00A730E5">
                    <w:rPr>
                      <w:rFonts w:cs="Miriam" w:hint="cs"/>
                      <w:szCs w:val="18"/>
                      <w:rtl/>
                    </w:rPr>
                    <w:t xml:space="preserve"> </w:t>
                  </w:r>
                  <w:r>
                    <w:rPr>
                      <w:rFonts w:cs="Miriam"/>
                      <w:szCs w:val="18"/>
                      <w:rtl/>
                    </w:rPr>
                    <w:t>ע</w:t>
                  </w:r>
                  <w:r>
                    <w:rPr>
                      <w:rFonts w:cs="Miriam" w:hint="cs"/>
                      <w:szCs w:val="18"/>
                      <w:rtl/>
                    </w:rPr>
                    <w:t>ל הסדר</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 xml:space="preserve">ודעה מוקדמת לפי סעיף 5 לפקודה תהא ערוכה לפי טופס א' לתוספת הראשונה (להלן בפרק זה </w:t>
      </w:r>
      <w:r w:rsidR="000B741F">
        <w:rPr>
          <w:rStyle w:val="default"/>
          <w:rFonts w:cs="FrankRuehl"/>
          <w:rtl/>
        </w:rPr>
        <w:t>–</w:t>
      </w:r>
      <w:r>
        <w:rPr>
          <w:rStyle w:val="default"/>
          <w:rFonts w:cs="FrankRuehl" w:hint="cs"/>
          <w:rtl/>
        </w:rPr>
        <w:t xml:space="preserve"> התוספת).</w:t>
      </w:r>
    </w:p>
    <w:p w:rsidR="00A97CAD" w:rsidRDefault="00A97CAD">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1.95pt;z-index:251635200" o:allowincell="f" filled="f" stroked="f" strokecolor="lime" strokeweight=".25pt">
            <v:textbox style="mso-next-textbox:#_x0000_s1027" inset="0,0,0,0">
              <w:txbxContent>
                <w:p w:rsidR="00A97CAD" w:rsidRDefault="00A97CAD">
                  <w:pPr>
                    <w:spacing w:line="160" w:lineRule="exact"/>
                    <w:jc w:val="left"/>
                    <w:rPr>
                      <w:rFonts w:cs="Miriam"/>
                      <w:noProof/>
                      <w:szCs w:val="18"/>
                      <w:rtl/>
                    </w:rPr>
                  </w:pPr>
                  <w:r>
                    <w:rPr>
                      <w:rFonts w:cs="Miriam"/>
                      <w:szCs w:val="18"/>
                      <w:rtl/>
                    </w:rPr>
                    <w:t>ת</w:t>
                  </w:r>
                  <w:r>
                    <w:rPr>
                      <w:rFonts w:cs="Miriam" w:hint="cs"/>
                      <w:szCs w:val="18"/>
                      <w:rtl/>
                    </w:rPr>
                    <w:t>זכיר תביעה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זכיר תביעה לפי סעיף 17 לפקודה יהא ערוך לפי טופס ב' לתו</w:t>
      </w:r>
      <w:r>
        <w:rPr>
          <w:rStyle w:val="default"/>
          <w:rFonts w:cs="FrankRuehl"/>
          <w:rtl/>
        </w:rPr>
        <w:t>ס</w:t>
      </w:r>
      <w:r>
        <w:rPr>
          <w:rStyle w:val="default"/>
          <w:rFonts w:cs="FrankRuehl" w:hint="cs"/>
          <w:rtl/>
        </w:rPr>
        <w:t>פת.</w:t>
      </w:r>
    </w:p>
    <w:p w:rsidR="00A97CAD" w:rsidRDefault="00A97CAD">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6pt;z-index:251636224" o:allowincell="f" filled="f" stroked="f" strokecolor="lime" strokeweight=".25pt">
            <v:textbox style="mso-next-textbox:#_x0000_s1028" inset="0,0,0,0">
              <w:txbxContent>
                <w:p w:rsidR="00A97CAD" w:rsidRDefault="00A97CAD" w:rsidP="00A730E5">
                  <w:pPr>
                    <w:spacing w:line="160" w:lineRule="exact"/>
                    <w:jc w:val="left"/>
                    <w:rPr>
                      <w:rFonts w:cs="Miriam"/>
                      <w:noProof/>
                      <w:szCs w:val="18"/>
                      <w:rtl/>
                    </w:rPr>
                  </w:pPr>
                  <w:r>
                    <w:rPr>
                      <w:rFonts w:cs="Miriam"/>
                      <w:szCs w:val="18"/>
                      <w:rtl/>
                    </w:rPr>
                    <w:t>ש</w:t>
                  </w:r>
                  <w:r>
                    <w:rPr>
                      <w:rFonts w:cs="Miriam" w:hint="cs"/>
                      <w:szCs w:val="18"/>
                      <w:rtl/>
                    </w:rPr>
                    <w:t>בועה או</w:t>
                  </w:r>
                  <w:r w:rsidR="00A730E5">
                    <w:rPr>
                      <w:rFonts w:cs="Miriam" w:hint="cs"/>
                      <w:szCs w:val="18"/>
                      <w:rtl/>
                    </w:rPr>
                    <w:t xml:space="preserve"> </w:t>
                  </w:r>
                  <w:r>
                    <w:rPr>
                      <w:rFonts w:cs="Miriam"/>
                      <w:szCs w:val="18"/>
                      <w:rtl/>
                    </w:rPr>
                    <w:t>ה</w:t>
                  </w:r>
                  <w:r>
                    <w:rPr>
                      <w:rFonts w:cs="Miriam" w:hint="cs"/>
                      <w:szCs w:val="18"/>
                      <w:rtl/>
                    </w:rPr>
                    <w:t>צהרה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פי דרישת פקיד ההסדר, חייב התובע להישבע או להצהיר בהן צדק כי הפרטים שמסר בתזכיר תביעתו, לרבות הידיעות שמסר בענין חוקיות תביעתו, הם אמיתיים ונכונים.</w:t>
      </w:r>
    </w:p>
    <w:p w:rsidR="00A97CAD" w:rsidRDefault="00A97CAD">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5.1pt;z-index:251637248" o:allowincell="f" filled="f" stroked="f" strokecolor="lime" strokeweight=".25pt">
            <v:textbox style="mso-next-textbox:#_x0000_s1029"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ודעת הסדר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ודעת הסדר לפי סעיף 9 לפקודה תהא ערוכה לפי טופס ג' לתוספת.</w:t>
      </w:r>
    </w:p>
    <w:p w:rsidR="00A97CAD" w:rsidRDefault="00A97CAD">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2pt;z-index:251638272" o:allowincell="f" filled="f" stroked="f" strokecolor="lime" strokeweight=".25pt">
            <v:textbox style="mso-next-textbox:#_x0000_s1030" inset="0,0,0,0">
              <w:txbxContent>
                <w:p w:rsidR="00A97CAD" w:rsidRDefault="00A97CAD">
                  <w:pPr>
                    <w:spacing w:line="160" w:lineRule="exact"/>
                    <w:jc w:val="left"/>
                    <w:rPr>
                      <w:rFonts w:cs="Miriam"/>
                      <w:noProof/>
                      <w:szCs w:val="18"/>
                      <w:rtl/>
                    </w:rPr>
                  </w:pPr>
                  <w:r>
                    <w:rPr>
                      <w:rFonts w:cs="Miriam"/>
                      <w:szCs w:val="18"/>
                      <w:rtl/>
                    </w:rPr>
                    <w:t>ל</w:t>
                  </w:r>
                  <w:r>
                    <w:rPr>
                      <w:rFonts w:cs="Miriam" w:hint="cs"/>
                      <w:szCs w:val="18"/>
                      <w:rtl/>
                    </w:rPr>
                    <w:t>וח תב</w:t>
                  </w:r>
                  <w:r>
                    <w:rPr>
                      <w:rFonts w:cs="Miriam"/>
                      <w:szCs w:val="18"/>
                      <w:rtl/>
                    </w:rPr>
                    <w:t>י</w:t>
                  </w:r>
                  <w:r>
                    <w:rPr>
                      <w:rFonts w:cs="Miriam" w:hint="cs"/>
                      <w:szCs w:val="18"/>
                      <w:rtl/>
                    </w:rPr>
                    <w:t>עות</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וח תביעות לפי סעיף 34 לפקודה יהא ערוך לפי טופס ד' לתוספת לענין תביעות מקרקעין בבעלות מחולקת, ולפי טופס ה' לתוספת לענין תביעות מקרקעין בבעלות בלתי מחולקת.</w:t>
      </w:r>
    </w:p>
    <w:p w:rsidR="00A97CAD" w:rsidRDefault="00A97CAD">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12.65pt;z-index:251639296" o:allowincell="f" filled="f" stroked="f" strokecolor="lime" strokeweight=".25pt">
            <v:textbox style="mso-next-textbox:#_x0000_s1031" inset="0,0,0,0">
              <w:txbxContent>
                <w:p w:rsidR="00A97CAD" w:rsidRDefault="00A97CAD">
                  <w:pPr>
                    <w:spacing w:line="160" w:lineRule="exact"/>
                    <w:jc w:val="left"/>
                    <w:rPr>
                      <w:rFonts w:cs="Miriam"/>
                      <w:noProof/>
                      <w:szCs w:val="18"/>
                      <w:rtl/>
                    </w:rPr>
                  </w:pPr>
                  <w:r>
                    <w:rPr>
                      <w:rFonts w:cs="Miriam"/>
                      <w:szCs w:val="18"/>
                      <w:rtl/>
                    </w:rPr>
                    <w:t>ל</w:t>
                  </w:r>
                  <w:r>
                    <w:rPr>
                      <w:rFonts w:cs="Miriam" w:hint="cs"/>
                      <w:szCs w:val="18"/>
                      <w:rtl/>
                    </w:rPr>
                    <w:t>וח זכויות</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וח זכויות לפי סעיף 55 לפקודה יהא ערוך לפי טופס ו' לתוספת לענין מקרקעין ב</w:t>
      </w:r>
      <w:r>
        <w:rPr>
          <w:rStyle w:val="default"/>
          <w:rFonts w:cs="FrankRuehl"/>
          <w:rtl/>
        </w:rPr>
        <w:t>ב</w:t>
      </w:r>
      <w:r>
        <w:rPr>
          <w:rStyle w:val="default"/>
          <w:rFonts w:cs="FrankRuehl" w:hint="cs"/>
          <w:rtl/>
        </w:rPr>
        <w:t>עלות מחולקת, ולפי טופס ז' לתוספת לענין מקרקעין בבעלות בלתי מחולקת.</w:t>
      </w:r>
    </w:p>
    <w:p w:rsidR="00A97CAD" w:rsidRDefault="00A97CAD">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3.35pt;z-index:251640320" o:allowincell="f" filled="f" stroked="f" strokecolor="lime" strokeweight=".25pt">
            <v:textbox style="mso-next-textbox:#_x0000_s1032" inset="0,0,0,0">
              <w:txbxContent>
                <w:p w:rsidR="00A97CAD" w:rsidRDefault="00A97CAD">
                  <w:pPr>
                    <w:spacing w:line="160" w:lineRule="exact"/>
                    <w:jc w:val="left"/>
                    <w:rPr>
                      <w:rFonts w:cs="Miriam"/>
                      <w:noProof/>
                      <w:szCs w:val="18"/>
                      <w:rtl/>
                    </w:rPr>
                  </w:pPr>
                  <w:r>
                    <w:rPr>
                      <w:rFonts w:cs="Miriam"/>
                      <w:szCs w:val="18"/>
                      <w:rtl/>
                    </w:rPr>
                    <w:t>ל</w:t>
                  </w:r>
                  <w:r>
                    <w:rPr>
                      <w:rFonts w:cs="Miriam" w:hint="cs"/>
                      <w:szCs w:val="18"/>
                      <w:rtl/>
                    </w:rPr>
                    <w:t>וח חלוקה</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וח חלוקה לפי סעיף 71 לפקודה יהא ערוך לפי טפסים ו' או ז' לתוספת, לפי הענין, בתוספת המלים "לוח חלוקה".</w:t>
      </w:r>
    </w:p>
    <w:p w:rsidR="00A97CAD" w:rsidRDefault="00A97CAD">
      <w:pPr>
        <w:pStyle w:val="P00"/>
        <w:spacing w:before="72"/>
        <w:ind w:left="0" w:right="1134"/>
        <w:rPr>
          <w:rStyle w:val="default"/>
          <w:rFonts w:cs="FrankRuehl" w:hint="cs"/>
          <w:rtl/>
        </w:rPr>
      </w:pPr>
      <w:bookmarkStart w:id="8" w:name="Seif8"/>
      <w:bookmarkEnd w:id="8"/>
      <w:r>
        <w:rPr>
          <w:lang w:val="he-IL"/>
        </w:rPr>
        <w:pict>
          <v:rect id="_x0000_s1033" style="position:absolute;left:0;text-align:left;margin-left:464.5pt;margin-top:8.05pt;width:75.05pt;height:25.2pt;z-index:251641344" o:allowincell="f" filled="f" stroked="f" strokecolor="lime" strokeweight=".25pt">
            <v:textbox style="mso-next-textbox:#_x0000_s1033" inset="0,0,0,0">
              <w:txbxContent>
                <w:p w:rsidR="00A97CAD" w:rsidRDefault="00A97CAD">
                  <w:pPr>
                    <w:spacing w:line="160" w:lineRule="exact"/>
                    <w:jc w:val="left"/>
                    <w:rPr>
                      <w:rFonts w:cs="Miriam"/>
                      <w:noProof/>
                      <w:szCs w:val="18"/>
                      <w:rtl/>
                    </w:rPr>
                  </w:pPr>
                  <w:r>
                    <w:rPr>
                      <w:rFonts w:cs="Miriam"/>
                      <w:szCs w:val="18"/>
                      <w:rtl/>
                    </w:rPr>
                    <w:t>ש</w:t>
                  </w:r>
                  <w:r>
                    <w:rPr>
                      <w:rFonts w:cs="Miriam" w:hint="cs"/>
                      <w:szCs w:val="18"/>
                      <w:rtl/>
                    </w:rPr>
                    <w:t>יטת החלוקה לפי סעיף 70 לפקוד</w:t>
                  </w:r>
                  <w:r>
                    <w:rPr>
                      <w:rFonts w:cs="Miriam"/>
                      <w:szCs w:val="18"/>
                      <w:rtl/>
                    </w:rPr>
                    <w:t>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חלוקת מקרקעין הבלתי מחולקים של ישוב תב</w:t>
      </w:r>
      <w:r>
        <w:rPr>
          <w:rStyle w:val="default"/>
          <w:rFonts w:cs="FrankRuehl"/>
          <w:rtl/>
        </w:rPr>
        <w:t>ו</w:t>
      </w:r>
      <w:r>
        <w:rPr>
          <w:rStyle w:val="default"/>
          <w:rFonts w:cs="FrankRuehl" w:hint="cs"/>
          <w:rtl/>
        </w:rPr>
        <w:t xml:space="preserve">צע על יסוד </w:t>
      </w:r>
      <w:r w:rsidR="00A730E5">
        <w:rPr>
          <w:rStyle w:val="default"/>
          <w:rFonts w:cs="FrankRuehl"/>
          <w:rtl/>
        </w:rPr>
        <w:t>–</w:t>
      </w:r>
    </w:p>
    <w:p w:rsidR="00A97CAD" w:rsidRDefault="00A97C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השטח של כל מקרקעי הישוב;</w:t>
      </w:r>
    </w:p>
    <w:p w:rsidR="00A97CAD" w:rsidRDefault="00A97C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שטח אותם המקרקעין שסודרו לקבוצות לצורך חלוקתם לחטיבות מקרקעין השוות באיכותן פחות או יותר;</w:t>
      </w:r>
    </w:p>
    <w:p w:rsidR="00A97CAD" w:rsidRDefault="00A97C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שווי מקרקעי הישוב.</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אפשר לחלק מקצת המקרקעין על יסוד שטח ומקצתם על יסוד שווי.</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w:t>
      </w:r>
      <w:r>
        <w:rPr>
          <w:rStyle w:val="default"/>
          <w:rFonts w:cs="FrankRuehl"/>
          <w:rtl/>
        </w:rPr>
        <w:t>ל</w:t>
      </w:r>
      <w:r>
        <w:rPr>
          <w:rStyle w:val="default"/>
          <w:rFonts w:cs="FrankRuehl" w:hint="cs"/>
          <w:rtl/>
        </w:rPr>
        <w:t>ל החלוקה הכללית לפי תקנה זו אפשר להוציא שטחים מסויימים ולחלק אותם בין כל בעלי החלקים הבלתי מחולקים או בין כל חלק או קבוצה של בעלים כאלה, ובלבד שכל חלק או קבוצה יקבלו את חלקם היחסי בכלל המקרקעין הבלתי מחולקים בישוב.</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הקצאת חלקות לבעלי החלקים תיעשה בהפל</w:t>
      </w:r>
      <w:r>
        <w:rPr>
          <w:rStyle w:val="default"/>
          <w:rFonts w:cs="FrankRuehl"/>
          <w:rtl/>
        </w:rPr>
        <w:t>ת</w:t>
      </w:r>
      <w:r>
        <w:rPr>
          <w:rStyle w:val="default"/>
          <w:rFonts w:cs="FrankRuehl" w:hint="cs"/>
          <w:rtl/>
        </w:rPr>
        <w:t xml:space="preserve"> גורל בין בעלי חלקים יחידים או בין קבוצות של בעלי חלקים; ובלבד שאם לא באו חברים של קבוצת בעלי חלקים לידי הסכם בנוגע למקום החלקים שיקצו להם בתוך השטח שהוקצה לקבוצה, יופל גורל שנית כדי לקבוע את מקומו של כל חלק וחלק.</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הפלת הגורל תיעשה בפומבי ובמקום ובזמן</w:t>
      </w:r>
      <w:r>
        <w:rPr>
          <w:rStyle w:val="default"/>
          <w:rFonts w:cs="FrankRuehl"/>
          <w:rtl/>
        </w:rPr>
        <w:t xml:space="preserve"> </w:t>
      </w:r>
      <w:r>
        <w:rPr>
          <w:rStyle w:val="default"/>
          <w:rFonts w:cs="FrankRuehl" w:hint="cs"/>
          <w:rtl/>
        </w:rPr>
        <w:t>שפקיד ההסדר הודיע עליהם בהודעה שפורסמה בישוב לא פחות משבעה ימים מראש.</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מודד מטעם מחלקת המדידות יסמן במפה את תחומי החלקות שחולקו ויציין אותם על האדמה במעמד ועדת ההסדר של הישוב ובעלי החלקות.</w:t>
      </w:r>
    </w:p>
    <w:p w:rsidR="00A97CAD" w:rsidRDefault="00A97CAD">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28.2pt;z-index:251642368" o:allowincell="f" filled="f" stroked="f" strokecolor="lime" strokeweight=".25pt">
            <v:textbox style="mso-next-textbox:#_x0000_s1034"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ודעה על קרי</w:t>
                  </w:r>
                  <w:r>
                    <w:rPr>
                      <w:rFonts w:cs="Miriam"/>
                      <w:szCs w:val="18"/>
                      <w:rtl/>
                    </w:rPr>
                    <w:t>א</w:t>
                  </w:r>
                  <w:r>
                    <w:rPr>
                      <w:rFonts w:cs="Miriam" w:hint="cs"/>
                      <w:szCs w:val="18"/>
                      <w:rtl/>
                    </w:rPr>
                    <w:t>ת לוח זכויות או</w:t>
                  </w:r>
                  <w:r w:rsidR="00A730E5">
                    <w:rPr>
                      <w:rFonts w:cs="Miriam" w:hint="cs"/>
                      <w:szCs w:val="18"/>
                      <w:rtl/>
                    </w:rPr>
                    <w:t xml:space="preserve"> </w:t>
                  </w:r>
                  <w:r>
                    <w:rPr>
                      <w:rFonts w:cs="Miriam"/>
                      <w:szCs w:val="18"/>
                      <w:rtl/>
                    </w:rPr>
                    <w:t>ל</w:t>
                  </w:r>
                  <w:r>
                    <w:rPr>
                      <w:rFonts w:cs="Miriam" w:hint="cs"/>
                      <w:szCs w:val="18"/>
                      <w:rtl/>
                    </w:rPr>
                    <w:t>וח חלוקה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בהודעה לפי סע</w:t>
      </w:r>
      <w:r>
        <w:rPr>
          <w:rStyle w:val="default"/>
          <w:rFonts w:cs="FrankRuehl"/>
          <w:rtl/>
        </w:rPr>
        <w:t>י</w:t>
      </w:r>
      <w:r>
        <w:rPr>
          <w:rStyle w:val="default"/>
          <w:rFonts w:cs="FrankRuehl" w:hint="cs"/>
          <w:rtl/>
        </w:rPr>
        <w:t>פים 56 או 72(א) לפקודה, על קריאת לוח זכויות או לוח חלוקה, יצויינו היום והשעה, ומקום המשרד או המחנה של פקיד ההסדר, שבהם ייקרא הלוח; ההודעה תפורסם לפחות ארבעה עשר יום מראש.</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לפי תקנה זו תפורסם במשרדי מינהל הנפה, בישוב שבו מבוצע ההסדר ובמשרדו או במ</w:t>
      </w:r>
      <w:r>
        <w:rPr>
          <w:rStyle w:val="default"/>
          <w:rFonts w:cs="FrankRuehl"/>
          <w:rtl/>
        </w:rPr>
        <w:t>ח</w:t>
      </w:r>
      <w:r>
        <w:rPr>
          <w:rStyle w:val="default"/>
          <w:rFonts w:cs="FrankRuehl" w:hint="cs"/>
          <w:rtl/>
        </w:rPr>
        <w:t>נהו של פקיד ההסדר.</w:t>
      </w:r>
    </w:p>
    <w:p w:rsidR="00A97CAD" w:rsidRDefault="00A97CAD" w:rsidP="00A730E5">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4.25pt;z-index:251643392" o:allowincell="f" filled="f" stroked="f" strokecolor="lime" strokeweight=".25pt">
            <v:textbox style="mso-next-textbox:#_x0000_s1035" inset="0,0,0,0">
              <w:txbxContent>
                <w:p w:rsidR="00A97CAD" w:rsidRDefault="00A97CAD">
                  <w:pPr>
                    <w:spacing w:line="160" w:lineRule="exact"/>
                    <w:jc w:val="left"/>
                    <w:rPr>
                      <w:rFonts w:cs="Miriam"/>
                      <w:noProof/>
                      <w:szCs w:val="18"/>
                      <w:rtl/>
                    </w:rPr>
                  </w:pPr>
                  <w:r>
                    <w:rPr>
                      <w:rFonts w:cs="Miriam"/>
                      <w:szCs w:val="18"/>
                      <w:rtl/>
                    </w:rPr>
                    <w:t>ט</w:t>
                  </w:r>
                  <w:r>
                    <w:rPr>
                      <w:rFonts w:cs="Miriam" w:hint="cs"/>
                      <w:szCs w:val="18"/>
                      <w:rtl/>
                    </w:rPr>
                    <w:t>ופס הפנקס החדש</w:t>
                  </w:r>
                </w:p>
              </w:txbxContent>
            </v:textbox>
            <w10:anchorlock/>
          </v:rect>
        </w:pict>
      </w:r>
      <w:r>
        <w:rPr>
          <w:rStyle w:val="big-number"/>
          <w:rtl/>
        </w:rPr>
        <w:t>10.</w:t>
      </w:r>
      <w:r>
        <w:rPr>
          <w:rStyle w:val="big-number"/>
          <w:rtl/>
        </w:rPr>
        <w:tab/>
      </w:r>
      <w:r>
        <w:rPr>
          <w:rStyle w:val="default"/>
          <w:rFonts w:cs="FrankRuehl"/>
          <w:rtl/>
        </w:rPr>
        <w:t>צ</w:t>
      </w:r>
      <w:r>
        <w:rPr>
          <w:rStyle w:val="default"/>
          <w:rFonts w:cs="FrankRuehl" w:hint="cs"/>
          <w:rtl/>
        </w:rPr>
        <w:t>ורת העמוד בפנקס החדש שלפי סעיף 76 לפקודה תהא כדוגמת טפסים 1 ו-3 לתוספת לתקנות המקרקעין (ניהול ורישום), תש"ל</w:t>
      </w:r>
      <w:r w:rsidR="00A730E5">
        <w:rPr>
          <w:rStyle w:val="default"/>
          <w:rFonts w:cs="FrankRuehl" w:hint="cs"/>
          <w:rtl/>
        </w:rPr>
        <w:t>-</w:t>
      </w:r>
      <w:r>
        <w:rPr>
          <w:rStyle w:val="default"/>
          <w:rFonts w:cs="FrankRuehl" w:hint="cs"/>
          <w:rtl/>
        </w:rPr>
        <w:t>1969; כל חלקה הכלולה בלוח זכויות או בלוח חלוקה תירשם בפנקס החדש בעמוד נפרד.</w:t>
      </w:r>
    </w:p>
    <w:p w:rsidR="00A97CAD" w:rsidRDefault="00A97CAD">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24.35pt;z-index:251644416" o:allowincell="f" filled="f" stroked="f" strokecolor="lime" strokeweight=".25pt">
            <v:textbox style="mso-next-textbox:#_x0000_s1036" inset="0,0,0,0">
              <w:txbxContent>
                <w:p w:rsidR="00A97CAD" w:rsidRDefault="00A97CAD">
                  <w:pPr>
                    <w:spacing w:line="160" w:lineRule="exact"/>
                    <w:jc w:val="left"/>
                    <w:rPr>
                      <w:rFonts w:cs="Miriam"/>
                      <w:noProof/>
                      <w:szCs w:val="18"/>
                      <w:rtl/>
                    </w:rPr>
                  </w:pPr>
                  <w:r>
                    <w:rPr>
                      <w:rFonts w:cs="Miriam"/>
                      <w:szCs w:val="18"/>
                      <w:rtl/>
                    </w:rPr>
                    <w:t>טו</w:t>
                  </w:r>
                  <w:r>
                    <w:rPr>
                      <w:rFonts w:cs="Miriam" w:hint="cs"/>
                      <w:szCs w:val="18"/>
                      <w:rtl/>
                    </w:rPr>
                    <w:t>פס העתק מאושר של רישום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עתק מאושר של רישום, כאמור בסעיף 78(א) לפקודה, יהא ערוך לפי טופס ח' לתוספת.</w:t>
      </w:r>
    </w:p>
    <w:p w:rsidR="00A97CAD" w:rsidRDefault="00A97CAD">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ב': סדרי-דין</w:t>
      </w:r>
    </w:p>
    <w:p w:rsidR="00A97CAD" w:rsidRDefault="00A97CAD">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2.45pt;z-index:251645440" o:allowincell="f" filled="f" stroked="f" strokecolor="lime" strokeweight=".25pt">
            <v:textbox style="mso-next-textbox:#_x0000_s1037"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ש</w:t>
                  </w:r>
                  <w:r>
                    <w:rPr>
                      <w:rFonts w:cs="Miriam" w:hint="cs"/>
                      <w:szCs w:val="18"/>
                      <w:rtl/>
                    </w:rPr>
                    <w:t>ת הודעת תביעה לפקיד ההסדר</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 תביעות סותרות בין שני תובעים או יותר, יגיש כל תובע לפקיד ההסדר הודעת תביעה, בכתב או בעל-</w:t>
      </w:r>
      <w:r>
        <w:rPr>
          <w:rStyle w:val="default"/>
          <w:rFonts w:cs="FrankRuehl"/>
          <w:rtl/>
        </w:rPr>
        <w:t>פ</w:t>
      </w:r>
      <w:r>
        <w:rPr>
          <w:rStyle w:val="default"/>
          <w:rFonts w:cs="FrankRuehl" w:hint="cs"/>
          <w:rtl/>
        </w:rPr>
        <w:t>ה, שבה ינקוב בשמותיהם של העדים אשר בדעתו להזמינם, ויגיש לפקיד ההסדר את התעודות שבדעתו להגישן לביסוס תביעתו או העתקים מהן; לא הגיש התובע הודעת התביעה כאמור, יהא בית המשפט רשאי לראות את תזכיר התביעה שהוגש לפי סעיף 17(א) לפקודה כהודעה על התביעה.</w:t>
      </w:r>
    </w:p>
    <w:p w:rsidR="00A97CAD" w:rsidRDefault="00A97C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הודעת ת</w:t>
      </w:r>
      <w:r>
        <w:rPr>
          <w:rStyle w:val="default"/>
          <w:rFonts w:cs="FrankRuehl"/>
          <w:rtl/>
        </w:rPr>
        <w:t>ב</w:t>
      </w:r>
      <w:r>
        <w:rPr>
          <w:rStyle w:val="default"/>
          <w:rFonts w:cs="FrankRuehl" w:hint="cs"/>
          <w:rtl/>
        </w:rPr>
        <w:t>יעה שהוגשה כאמור תהיה נתונה לעיונם של כל אחד מהתובעים ונציגיהם, במשרדו של פקיד ההסדר, כל עוד לא הועברה לבית-המשפט לפי תקנה 14 או כל עוד לא הועבר הסכסוך לבוררות.</w:t>
      </w:r>
    </w:p>
    <w:p w:rsidR="00A97CAD" w:rsidRDefault="00A97CAD">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4.3pt;z-index:251646464" o:allowincell="f" filled="f" stroked="f" strokecolor="lime" strokeweight=".25pt">
            <v:textbox style="mso-next-textbox:#_x0000_s1038"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ודע</w:t>
                  </w:r>
                  <w:r>
                    <w:rPr>
                      <w:rFonts w:cs="Miriam"/>
                      <w:szCs w:val="18"/>
                      <w:rtl/>
                    </w:rPr>
                    <w:t>ה</w:t>
                  </w:r>
                  <w:r>
                    <w:rPr>
                      <w:rFonts w:cs="Miriam" w:hint="cs"/>
                      <w:szCs w:val="18"/>
                      <w:rtl/>
                    </w:rPr>
                    <w:t xml:space="preserve"> שבעל-פה</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וגשה הודעת התביעה בעל-פה, ירשום אותה פקיד ההסדר, יקרא אותה בפני התובעים,</w:t>
      </w:r>
      <w:r>
        <w:rPr>
          <w:rStyle w:val="default"/>
          <w:rFonts w:cs="FrankRuehl"/>
          <w:rtl/>
        </w:rPr>
        <w:t xml:space="preserve"> </w:t>
      </w:r>
      <w:r>
        <w:rPr>
          <w:rStyle w:val="default"/>
          <w:rFonts w:cs="FrankRuehl" w:hint="cs"/>
          <w:rtl/>
        </w:rPr>
        <w:t>יחתים עליה את התובע ויאשר על גביה שהתובע חתם עליה בפניו.</w:t>
      </w:r>
    </w:p>
    <w:p w:rsidR="00A97CAD" w:rsidRDefault="00A97CAD">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20.6pt;z-index:251647488" o:allowincell="f" filled="f" stroked="f" strokecolor="lime" strokeweight=".25pt">
            <v:textbox style="mso-next-textbox:#_x0000_s1039"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עברת הודעות לבית-המשפט</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ועבר הסכסוך לבית-המשפט, יעביר פקיד ההסדר את הודעות התביעה או תזכירי התביעה, לפי הענין, לבית-המשפט.</w:t>
      </w:r>
    </w:p>
    <w:p w:rsidR="00A97CAD" w:rsidRDefault="00A97CAD">
      <w:pPr>
        <w:pStyle w:val="P00"/>
        <w:spacing w:before="72"/>
        <w:ind w:left="0" w:right="1134"/>
        <w:rPr>
          <w:rStyle w:val="default"/>
          <w:rFonts w:cs="FrankRuehl"/>
          <w:rtl/>
        </w:rPr>
      </w:pPr>
      <w:bookmarkStart w:id="16" w:name="Seif15"/>
      <w:bookmarkEnd w:id="16"/>
      <w:r>
        <w:rPr>
          <w:lang w:val="he-IL"/>
        </w:rPr>
        <w:pict>
          <v:rect id="_x0000_s1040" style="position:absolute;left:0;text-align:left;margin-left:464.5pt;margin-top:8.05pt;width:75.05pt;height:21.25pt;z-index:251648512" o:allowincell="f" filled="f" stroked="f" strokecolor="lime" strokeweight=".25pt">
            <v:textbox style="mso-next-textbox:#_x0000_s1040"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זמנת בעלי_דין וע</w:t>
                  </w:r>
                  <w:r>
                    <w:rPr>
                      <w:rFonts w:cs="Miriam"/>
                      <w:szCs w:val="18"/>
                      <w:rtl/>
                    </w:rPr>
                    <w:t>ד</w:t>
                  </w:r>
                  <w:r>
                    <w:rPr>
                      <w:rFonts w:cs="Miriam" w:hint="cs"/>
                      <w:szCs w:val="18"/>
                      <w:rtl/>
                    </w:rPr>
                    <w:t>ים</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טעם בית המשפט תימסר הזמנה לכל אדם שהגי</w:t>
      </w:r>
      <w:r>
        <w:rPr>
          <w:rStyle w:val="default"/>
          <w:rFonts w:cs="FrankRuehl"/>
          <w:rtl/>
        </w:rPr>
        <w:t>ש</w:t>
      </w:r>
      <w:r>
        <w:rPr>
          <w:rStyle w:val="default"/>
          <w:rFonts w:cs="FrankRuehl" w:hint="cs"/>
          <w:rtl/>
        </w:rPr>
        <w:t xml:space="preserve"> הודעה או תזכיר תביעה, כאמור בתקנה 12, ולכל עד שהתובע ביקש להזמינו, בין שנקב בשמו בהודעה על התביעה ובין אם לאו, ארבעים ושמונה שעות לפחות לפני הזמן שנקבע לבירור בבית-המשפט.</w:t>
      </w:r>
    </w:p>
    <w:p w:rsidR="00A97CAD" w:rsidRDefault="00A97CAD">
      <w:pPr>
        <w:pStyle w:val="P00"/>
        <w:spacing w:before="72"/>
        <w:ind w:left="0" w:right="1134"/>
        <w:rPr>
          <w:rStyle w:val="default"/>
          <w:rFonts w:cs="FrankRuehl"/>
          <w:rtl/>
        </w:rPr>
      </w:pPr>
      <w:bookmarkStart w:id="17" w:name="Seif16"/>
      <w:bookmarkEnd w:id="17"/>
      <w:r>
        <w:rPr>
          <w:lang w:val="he-IL"/>
        </w:rPr>
        <w:pict>
          <v:rect id="_x0000_s1041" style="position:absolute;left:0;text-align:left;margin-left:464.5pt;margin-top:8.05pt;width:75.05pt;height:14.55pt;z-index:251649536" o:allowincell="f" filled="f" stroked="f" strokecolor="lime" strokeweight=".25pt">
            <v:textbox style="mso-next-textbox:#_x0000_s1041"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תובע והנתבע</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י שאינו המחזיק במקרקעין יהיה התובע, והמחזיק יהיה הנתבע; לא היה</w:t>
      </w:r>
      <w:r>
        <w:rPr>
          <w:rStyle w:val="default"/>
          <w:rFonts w:cs="FrankRuehl"/>
          <w:rtl/>
        </w:rPr>
        <w:t xml:space="preserve"> </w:t>
      </w:r>
      <w:r>
        <w:rPr>
          <w:rStyle w:val="default"/>
          <w:rFonts w:cs="FrankRuehl" w:hint="cs"/>
          <w:rtl/>
        </w:rPr>
        <w:t>אדם מחזיק במקרקעין, או היה ספק מי הוא המחזיק בהם, יחליט בית-המשפט מי מבין בעלי התביעות יהיה תובע ומי הנתבע.</w:t>
      </w:r>
    </w:p>
    <w:p w:rsidR="00A97CAD" w:rsidRDefault="00A97CAD">
      <w:pPr>
        <w:pStyle w:val="P00"/>
        <w:spacing w:before="72"/>
        <w:ind w:left="0" w:right="1134"/>
        <w:rPr>
          <w:rStyle w:val="default"/>
          <w:rFonts w:cs="FrankRuehl"/>
          <w:rtl/>
        </w:rPr>
      </w:pPr>
      <w:bookmarkStart w:id="18" w:name="Seif17"/>
      <w:bookmarkEnd w:id="18"/>
      <w:r>
        <w:rPr>
          <w:lang w:val="he-IL"/>
        </w:rPr>
        <w:pict>
          <v:rect id="_x0000_s1042" style="position:absolute;left:0;text-align:left;margin-left:464.5pt;margin-top:8.05pt;width:75.05pt;height:19pt;z-index:251650560" o:allowincell="f" filled="f" stroked="f" strokecolor="lime" strokeweight=".25pt">
            <v:textbox style="mso-next-textbox:#_x0000_s1042"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תובע תביעה חדשה</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וסיף פקיד ההסדר תביעה חדשה ללוח התביעות בהתאם להוראות סעיף 37(א) לפקודה, יעביר את התביעה החדשה לבית-המשפט, ובית-המשפט יחלי</w:t>
      </w:r>
      <w:r>
        <w:rPr>
          <w:rStyle w:val="default"/>
          <w:rFonts w:cs="FrankRuehl"/>
          <w:rtl/>
        </w:rPr>
        <w:t>ט</w:t>
      </w:r>
      <w:r>
        <w:rPr>
          <w:rStyle w:val="default"/>
          <w:rFonts w:cs="FrankRuehl" w:hint="cs"/>
          <w:rtl/>
        </w:rPr>
        <w:t xml:space="preserve"> אם בעל התביעה יהיה תובע או נתבע.</w:t>
      </w:r>
    </w:p>
    <w:p w:rsidR="00A97CAD" w:rsidRDefault="00A97CAD">
      <w:pPr>
        <w:pStyle w:val="P00"/>
        <w:spacing w:before="72"/>
        <w:ind w:left="0" w:right="1134"/>
        <w:rPr>
          <w:rStyle w:val="default"/>
          <w:rFonts w:cs="FrankRuehl"/>
          <w:rtl/>
        </w:rPr>
      </w:pPr>
      <w:bookmarkStart w:id="19" w:name="Seif18"/>
      <w:bookmarkEnd w:id="19"/>
      <w:r>
        <w:rPr>
          <w:lang w:val="he-IL"/>
        </w:rPr>
        <w:pict>
          <v:rect id="_x0000_s1043" style="position:absolute;left:0;text-align:left;margin-left:464.5pt;margin-top:8.05pt;width:75.05pt;height:24pt;z-index:251651584" o:allowincell="f" filled="f" stroked="f" strokecolor="lime" strokeweight=".25pt">
            <v:textbox style="mso-next-textbox:#_x0000_s1043" inset="0,0,0,0">
              <w:txbxContent>
                <w:p w:rsidR="00A97CAD" w:rsidRDefault="00A97CAD" w:rsidP="00A730E5">
                  <w:pPr>
                    <w:spacing w:line="160" w:lineRule="exact"/>
                    <w:jc w:val="left"/>
                    <w:rPr>
                      <w:rFonts w:cs="Miriam"/>
                      <w:noProof/>
                      <w:szCs w:val="18"/>
                      <w:rtl/>
                    </w:rPr>
                  </w:pPr>
                  <w:r>
                    <w:rPr>
                      <w:rFonts w:cs="Miriam"/>
                      <w:szCs w:val="18"/>
                      <w:rtl/>
                    </w:rPr>
                    <w:t>מ</w:t>
                  </w:r>
                  <w:r>
                    <w:rPr>
                      <w:rFonts w:cs="Miriam" w:hint="cs"/>
                      <w:szCs w:val="18"/>
                      <w:rtl/>
                    </w:rPr>
                    <w:t>אי</w:t>
                  </w:r>
                  <w:r>
                    <w:rPr>
                      <w:rFonts w:cs="Miriam"/>
                      <w:szCs w:val="18"/>
                      <w:rtl/>
                    </w:rPr>
                    <w:t>מ</w:t>
                  </w:r>
                  <w:r>
                    <w:rPr>
                      <w:rFonts w:cs="Miriam" w:hint="cs"/>
                      <w:szCs w:val="18"/>
                      <w:rtl/>
                    </w:rPr>
                    <w:t>תי אין</w:t>
                  </w:r>
                  <w:r w:rsidR="00A730E5">
                    <w:rPr>
                      <w:rFonts w:cs="Miriam" w:hint="cs"/>
                      <w:szCs w:val="18"/>
                      <w:rtl/>
                    </w:rPr>
                    <w:t xml:space="preserve"> </w:t>
                  </w:r>
                  <w:r>
                    <w:rPr>
                      <w:rFonts w:cs="Miriam"/>
                      <w:szCs w:val="18"/>
                      <w:rtl/>
                    </w:rPr>
                    <w:t>מ</w:t>
                  </w:r>
                  <w:r>
                    <w:rPr>
                      <w:rFonts w:cs="Miriam" w:hint="cs"/>
                      <w:szCs w:val="18"/>
                      <w:rtl/>
                    </w:rPr>
                    <w:t>וסיפים</w:t>
                  </w:r>
                  <w:r w:rsidR="00A730E5">
                    <w:rPr>
                      <w:rFonts w:cs="Miriam" w:hint="cs"/>
                      <w:szCs w:val="18"/>
                      <w:rtl/>
                    </w:rPr>
                    <w:t xml:space="preserve"> </w:t>
                  </w:r>
                  <w:r>
                    <w:rPr>
                      <w:rFonts w:cs="Miriam"/>
                      <w:szCs w:val="18"/>
                      <w:rtl/>
                    </w:rPr>
                    <w:t>ת</w:t>
                  </w:r>
                  <w:r>
                    <w:rPr>
                      <w:rFonts w:cs="Miriam" w:hint="cs"/>
                      <w:szCs w:val="18"/>
                      <w:rtl/>
                    </w:rPr>
                    <w:t>ביעה חדשה</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תוסף תביעה חדשה לחלקה לאחר שהחליט פקיד ההסדר מה הן הזכויות באותה חלקה שייכללו בלוח הזכויות.</w:t>
      </w:r>
    </w:p>
    <w:p w:rsidR="00A97CAD" w:rsidRDefault="00A97CAD">
      <w:pPr>
        <w:pStyle w:val="P00"/>
        <w:spacing w:before="72"/>
        <w:ind w:left="0" w:right="1134"/>
        <w:rPr>
          <w:rStyle w:val="default"/>
          <w:rFonts w:cs="FrankRuehl"/>
          <w:rtl/>
        </w:rPr>
      </w:pPr>
      <w:bookmarkStart w:id="20" w:name="Seif19"/>
      <w:bookmarkEnd w:id="20"/>
      <w:r>
        <w:rPr>
          <w:lang w:val="he-IL"/>
        </w:rPr>
        <w:pict>
          <v:rect id="_x0000_s1044" style="position:absolute;left:0;text-align:left;margin-left:464.5pt;margin-top:8.05pt;width:75.05pt;height:18.8pt;z-index:251652608" o:allowincell="f" filled="f" stroked="f" strokecolor="lime" strokeweight=".25pt">
            <v:textbox style="mso-next-textbox:#_x0000_s1044" inset="0,0,0,0">
              <w:txbxContent>
                <w:p w:rsidR="00A97CAD" w:rsidRDefault="00A97CAD" w:rsidP="00A730E5">
                  <w:pPr>
                    <w:spacing w:line="160" w:lineRule="exact"/>
                    <w:jc w:val="left"/>
                    <w:rPr>
                      <w:rFonts w:cs="Miriam"/>
                      <w:noProof/>
                      <w:szCs w:val="18"/>
                      <w:rtl/>
                    </w:rPr>
                  </w:pPr>
                  <w:r>
                    <w:rPr>
                      <w:rFonts w:cs="Miriam"/>
                      <w:szCs w:val="18"/>
                      <w:rtl/>
                    </w:rPr>
                    <w:t>מ</w:t>
                  </w:r>
                  <w:r>
                    <w:rPr>
                      <w:rFonts w:cs="Miriam" w:hint="cs"/>
                      <w:szCs w:val="18"/>
                      <w:rtl/>
                    </w:rPr>
                    <w:t>חיקה בהודעה</w:t>
                  </w:r>
                  <w:r w:rsidR="00A730E5">
                    <w:rPr>
                      <w:rFonts w:cs="Miriam" w:hint="cs"/>
                      <w:szCs w:val="18"/>
                      <w:rtl/>
                    </w:rPr>
                    <w:t xml:space="preserve"> </w:t>
                  </w:r>
                  <w:r>
                    <w:rPr>
                      <w:rFonts w:cs="Miriam"/>
                      <w:szCs w:val="18"/>
                      <w:rtl/>
                    </w:rPr>
                    <w:t>ו</w:t>
                  </w:r>
                  <w:r>
                    <w:rPr>
                      <w:rFonts w:cs="Miriam" w:hint="cs"/>
                      <w:szCs w:val="18"/>
                      <w:rtl/>
                    </w:rPr>
                    <w:t>בתזכיר התביעה</w:t>
                  </w:r>
                </w:p>
              </w:txbxContent>
            </v:textbox>
            <w10:anchorlock/>
          </v:rect>
        </w:pict>
      </w:r>
      <w:r>
        <w:rPr>
          <w:rStyle w:val="big-number"/>
          <w:rtl/>
        </w:rPr>
        <w:t>19.</w:t>
      </w:r>
      <w:r>
        <w:rPr>
          <w:rStyle w:val="big-number"/>
          <w:rtl/>
        </w:rPr>
        <w:tab/>
      </w:r>
      <w:r>
        <w:rPr>
          <w:rStyle w:val="default"/>
          <w:rFonts w:cs="FrankRuehl"/>
          <w:rtl/>
        </w:rPr>
        <w:t>ר</w:t>
      </w:r>
      <w:r>
        <w:rPr>
          <w:rStyle w:val="default"/>
          <w:rFonts w:cs="FrankRuehl" w:hint="cs"/>
          <w:rtl/>
        </w:rPr>
        <w:t>שאי בית-המשפט בכל שלב משלב</w:t>
      </w:r>
      <w:r>
        <w:rPr>
          <w:rStyle w:val="default"/>
          <w:rFonts w:cs="FrankRuehl"/>
          <w:rtl/>
        </w:rPr>
        <w:t>י</w:t>
      </w:r>
      <w:r>
        <w:rPr>
          <w:rStyle w:val="default"/>
          <w:rFonts w:cs="FrankRuehl" w:hint="cs"/>
          <w:rtl/>
        </w:rPr>
        <w:t xml:space="preserve"> ההליכים לפניו לצוות כי יימחק או יתוקן כל ענין בהודעת תביעה או בתזכיר תביעה, שאין בו צורך או שהוא מביש או עלול להפריע לדיון הוגן בתביעה, לסבכו או להשהותו.</w:t>
      </w:r>
    </w:p>
    <w:p w:rsidR="00A97CAD" w:rsidRDefault="00A97CAD" w:rsidP="00A730E5">
      <w:pPr>
        <w:pStyle w:val="P00"/>
        <w:spacing w:before="72"/>
        <w:ind w:left="0" w:right="1134"/>
        <w:rPr>
          <w:rStyle w:val="default"/>
          <w:rFonts w:cs="FrankRuehl"/>
          <w:rtl/>
        </w:rPr>
      </w:pPr>
      <w:bookmarkStart w:id="21" w:name="Seif20"/>
      <w:bookmarkEnd w:id="21"/>
      <w:r>
        <w:rPr>
          <w:lang w:val="he-IL"/>
        </w:rPr>
        <w:pict>
          <v:rect id="_x0000_s1045" style="position:absolute;left:0;text-align:left;margin-left:464.5pt;margin-top:8.05pt;width:75.05pt;height:12.05pt;z-index:251653632" o:allowincell="f" filled="f" stroked="f" strokecolor="lime" strokeweight=".25pt">
            <v:textbox style="mso-next-textbox:#_x0000_s1045" inset="0,0,0,0">
              <w:txbxContent>
                <w:p w:rsidR="00A97CAD" w:rsidRDefault="00A97CAD">
                  <w:pPr>
                    <w:spacing w:line="160" w:lineRule="exact"/>
                    <w:jc w:val="left"/>
                    <w:rPr>
                      <w:rFonts w:cs="Miriam"/>
                      <w:noProof/>
                      <w:szCs w:val="18"/>
                      <w:rtl/>
                    </w:rPr>
                  </w:pPr>
                  <w:r>
                    <w:rPr>
                      <w:rFonts w:cs="Miriam"/>
                      <w:szCs w:val="18"/>
                      <w:rtl/>
                    </w:rPr>
                    <w:t>ד</w:t>
                  </w:r>
                  <w:r>
                    <w:rPr>
                      <w:rFonts w:cs="Miriam" w:hint="cs"/>
                      <w:szCs w:val="18"/>
                      <w:rtl/>
                    </w:rPr>
                    <w:t>חיה על הס</w:t>
                  </w:r>
                  <w:r>
                    <w:rPr>
                      <w:rFonts w:cs="Miriam"/>
                      <w:szCs w:val="18"/>
                      <w:rtl/>
                    </w:rPr>
                    <w:t>ף</w:t>
                  </w:r>
                </w:p>
              </w:txbxContent>
            </v:textbox>
            <w10:anchorlock/>
          </v:rect>
        </w:pict>
      </w:r>
      <w:r>
        <w:rPr>
          <w:rStyle w:val="big-number"/>
          <w:rtl/>
        </w:rPr>
        <w:t>20.</w:t>
      </w:r>
      <w:r>
        <w:rPr>
          <w:rStyle w:val="big-number"/>
          <w:rtl/>
        </w:rPr>
        <w:tab/>
      </w:r>
      <w:r>
        <w:rPr>
          <w:rStyle w:val="default"/>
          <w:rFonts w:cs="FrankRuehl"/>
          <w:rtl/>
        </w:rPr>
        <w:t>ר</w:t>
      </w:r>
      <w:r>
        <w:rPr>
          <w:rStyle w:val="default"/>
          <w:rFonts w:cs="FrankRuehl" w:hint="cs"/>
          <w:rtl/>
        </w:rPr>
        <w:t>אה בית-המשפט כי משום מעשה בית-דין שהיה או משום חוסר סמכות לא תוכל תביעה שלפניו ל</w:t>
      </w:r>
      <w:r>
        <w:rPr>
          <w:rStyle w:val="default"/>
          <w:rFonts w:cs="FrankRuehl"/>
          <w:rtl/>
        </w:rPr>
        <w:t>ה</w:t>
      </w:r>
      <w:r>
        <w:rPr>
          <w:rStyle w:val="default"/>
          <w:rFonts w:cs="FrankRuehl" w:hint="cs"/>
          <w:rtl/>
        </w:rPr>
        <w:t xml:space="preserve">תקבל </w:t>
      </w:r>
      <w:r w:rsidR="00A730E5">
        <w:rPr>
          <w:rStyle w:val="default"/>
          <w:rFonts w:cs="FrankRuehl" w:hint="cs"/>
          <w:rtl/>
        </w:rPr>
        <w:t>-</w:t>
      </w:r>
      <w:r>
        <w:rPr>
          <w:rStyle w:val="default"/>
          <w:rFonts w:cs="FrankRuehl" w:hint="cs"/>
          <w:rtl/>
        </w:rPr>
        <w:t xml:space="preserve"> ידחה אותה על הסף, ורשאי בית-המשפט לדחות תביעה על הסף על יסוד כל נימוק אחר הנראה לו מספיק לדבר.</w:t>
      </w:r>
    </w:p>
    <w:p w:rsidR="00A97CAD" w:rsidRDefault="00A97CAD">
      <w:pPr>
        <w:pStyle w:val="P00"/>
        <w:spacing w:before="72"/>
        <w:ind w:left="0" w:right="1134"/>
        <w:rPr>
          <w:rStyle w:val="default"/>
          <w:rFonts w:cs="FrankRuehl"/>
          <w:rtl/>
        </w:rPr>
      </w:pPr>
      <w:bookmarkStart w:id="22" w:name="Seif21"/>
      <w:bookmarkEnd w:id="22"/>
      <w:r>
        <w:rPr>
          <w:lang w:val="he-IL"/>
        </w:rPr>
        <w:pict>
          <v:rect id="_x0000_s1046" style="position:absolute;left:0;text-align:left;margin-left:464.5pt;margin-top:8.05pt;width:75.05pt;height:20.2pt;z-index:251654656" o:allowincell="f" filled="f" stroked="f" strokecolor="lime" strokeweight=".25pt">
            <v:textbox style="mso-next-textbox:#_x0000_s1046" inset="0,0,0,0">
              <w:txbxContent>
                <w:p w:rsidR="00A97CAD" w:rsidRDefault="00A97CAD" w:rsidP="00A730E5">
                  <w:pPr>
                    <w:spacing w:line="160" w:lineRule="exact"/>
                    <w:jc w:val="left"/>
                    <w:rPr>
                      <w:rFonts w:cs="Miriam"/>
                      <w:noProof/>
                      <w:szCs w:val="18"/>
                      <w:rtl/>
                    </w:rPr>
                  </w:pPr>
                  <w:r>
                    <w:rPr>
                      <w:rFonts w:cs="Miriam"/>
                      <w:szCs w:val="18"/>
                      <w:rtl/>
                    </w:rPr>
                    <w:t>ת</w:t>
                  </w:r>
                  <w:r>
                    <w:rPr>
                      <w:rFonts w:cs="Miriam" w:hint="cs"/>
                      <w:szCs w:val="18"/>
                      <w:rtl/>
                    </w:rPr>
                    <w:t>יקון הודעה</w:t>
                  </w:r>
                  <w:r w:rsidR="00A730E5">
                    <w:rPr>
                      <w:rFonts w:cs="Miriam" w:hint="cs"/>
                      <w:szCs w:val="18"/>
                      <w:rtl/>
                    </w:rPr>
                    <w:t xml:space="preserve"> </w:t>
                  </w:r>
                  <w:r>
                    <w:rPr>
                      <w:rFonts w:cs="Miriam"/>
                      <w:szCs w:val="18"/>
                      <w:rtl/>
                    </w:rPr>
                    <w:t>ו</w:t>
                  </w:r>
                  <w:r>
                    <w:rPr>
                      <w:rFonts w:cs="Miriam" w:hint="cs"/>
                      <w:szCs w:val="18"/>
                      <w:rtl/>
                    </w:rPr>
                    <w:t>תזכיר תביעה</w:t>
                  </w:r>
                </w:p>
              </w:txbxContent>
            </v:textbox>
            <w10:anchorlock/>
          </v:rect>
        </w:pict>
      </w:r>
      <w:r>
        <w:rPr>
          <w:rStyle w:val="big-number"/>
          <w:rtl/>
        </w:rPr>
        <w:t>21.</w:t>
      </w:r>
      <w:r>
        <w:rPr>
          <w:rStyle w:val="big-number"/>
          <w:rtl/>
        </w:rPr>
        <w:tab/>
      </w:r>
      <w:r>
        <w:rPr>
          <w:rStyle w:val="default"/>
          <w:rFonts w:cs="FrankRuehl"/>
          <w:rtl/>
        </w:rPr>
        <w:t>ר</w:t>
      </w:r>
      <w:r>
        <w:rPr>
          <w:rStyle w:val="default"/>
          <w:rFonts w:cs="FrankRuehl" w:hint="cs"/>
          <w:rtl/>
        </w:rPr>
        <w:t>שאי בית-המשפט להרשות לתובע, בכל שלב משלבי ההליכים לפניו, לתקן הודעת תביעה או תזכיר תביעה, אם נראה לו כי מן הצדק לעשות כן</w:t>
      </w:r>
      <w:r>
        <w:rPr>
          <w:rStyle w:val="default"/>
          <w:rFonts w:cs="FrankRuehl"/>
          <w:rtl/>
        </w:rPr>
        <w:t>.</w:t>
      </w:r>
    </w:p>
    <w:p w:rsidR="00A97CAD" w:rsidRDefault="00A97CAD">
      <w:pPr>
        <w:pStyle w:val="P00"/>
        <w:spacing w:before="72"/>
        <w:ind w:left="0" w:right="1134"/>
        <w:rPr>
          <w:rStyle w:val="default"/>
          <w:rFonts w:cs="FrankRuehl"/>
          <w:rtl/>
        </w:rPr>
      </w:pPr>
      <w:bookmarkStart w:id="23" w:name="Seif22"/>
      <w:bookmarkEnd w:id="23"/>
      <w:r>
        <w:rPr>
          <w:lang w:val="he-IL"/>
        </w:rPr>
        <w:pict>
          <v:rect id="_x0000_s1047" style="position:absolute;left:0;text-align:left;margin-left:464.5pt;margin-top:8.05pt;width:75.05pt;height:24pt;z-index:251655680" o:allowincell="f" filled="f" stroked="f" strokecolor="lime" strokeweight=".25pt">
            <v:textbox style="mso-next-textbox:#_x0000_s1047"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גשת ה</w:t>
                  </w:r>
                  <w:r>
                    <w:rPr>
                      <w:rFonts w:cs="Miriam"/>
                      <w:szCs w:val="18"/>
                      <w:rtl/>
                    </w:rPr>
                    <w:t>ו</w:t>
                  </w:r>
                  <w:r>
                    <w:rPr>
                      <w:rFonts w:cs="Miriam" w:hint="cs"/>
                      <w:szCs w:val="18"/>
                      <w:rtl/>
                    </w:rPr>
                    <w:t>דעה</w:t>
                  </w:r>
                  <w:r w:rsidR="00A730E5">
                    <w:rPr>
                      <w:rFonts w:cs="Miriam" w:hint="cs"/>
                      <w:szCs w:val="18"/>
                      <w:rtl/>
                    </w:rPr>
                    <w:t xml:space="preserve"> </w:t>
                  </w:r>
                  <w:r>
                    <w:rPr>
                      <w:rFonts w:cs="Miriam"/>
                      <w:szCs w:val="18"/>
                      <w:rtl/>
                    </w:rPr>
                    <w:t>ו</w:t>
                  </w:r>
                  <w:r>
                    <w:rPr>
                      <w:rFonts w:cs="Miriam" w:hint="cs"/>
                      <w:szCs w:val="18"/>
                      <w:rtl/>
                    </w:rPr>
                    <w:t>תזכיר תביעה</w:t>
                  </w:r>
                  <w:r w:rsidR="00A730E5">
                    <w:rPr>
                      <w:rFonts w:cs="Miriam" w:hint="cs"/>
                      <w:noProof/>
                      <w:szCs w:val="18"/>
                      <w:rtl/>
                    </w:rPr>
                    <w:t xml:space="preserve"> </w:t>
                  </w:r>
                  <w:r>
                    <w:rPr>
                      <w:rFonts w:cs="Miriam"/>
                      <w:szCs w:val="18"/>
                      <w:rtl/>
                    </w:rPr>
                    <w:t>מ</w:t>
                  </w:r>
                  <w:r>
                    <w:rPr>
                      <w:rFonts w:cs="Miriam" w:hint="cs"/>
                      <w:szCs w:val="18"/>
                      <w:rtl/>
                    </w:rPr>
                    <w:t>תוקנים</w:t>
                  </w:r>
                </w:p>
              </w:txbxContent>
            </v:textbox>
            <w10:anchorlock/>
          </v:rect>
        </w:pict>
      </w:r>
      <w:r>
        <w:rPr>
          <w:rStyle w:val="big-number"/>
          <w:rtl/>
        </w:rPr>
        <w:t>22.</w:t>
      </w:r>
      <w:r>
        <w:rPr>
          <w:rStyle w:val="big-number"/>
          <w:rtl/>
        </w:rPr>
        <w:tab/>
      </w:r>
      <w:r>
        <w:rPr>
          <w:rStyle w:val="default"/>
          <w:rFonts w:cs="FrankRuehl"/>
          <w:rtl/>
        </w:rPr>
        <w:t>כ</w:t>
      </w:r>
      <w:r>
        <w:rPr>
          <w:rStyle w:val="default"/>
          <w:rFonts w:cs="FrankRuehl" w:hint="cs"/>
          <w:rtl/>
        </w:rPr>
        <w:t>ל אימת שציווה בית-המשפט למחוק או לתקן ענין בהודעת תביעה או בתזכיר תביעה, או שהרשה תיקון כאמור, יוגשו לבית-המשפט הודעה מתוקנת או תזכיר תביעה מתוקן, הכל לפי הענין.</w:t>
      </w:r>
    </w:p>
    <w:p w:rsidR="00A97CAD" w:rsidRDefault="00A97CAD">
      <w:pPr>
        <w:pStyle w:val="P00"/>
        <w:spacing w:before="72"/>
        <w:ind w:left="0" w:right="1134"/>
        <w:rPr>
          <w:rStyle w:val="default"/>
          <w:rFonts w:cs="FrankRuehl"/>
          <w:rtl/>
        </w:rPr>
      </w:pPr>
      <w:bookmarkStart w:id="24" w:name="Seif23"/>
      <w:bookmarkEnd w:id="24"/>
      <w:r>
        <w:rPr>
          <w:lang w:val="he-IL"/>
        </w:rPr>
        <w:pict>
          <v:rect id="_x0000_s1048" style="position:absolute;left:0;text-align:left;margin-left:464.5pt;margin-top:8.05pt;width:75.05pt;height:16pt;z-index:251656704" o:allowincell="f" filled="f" stroked="f" strokecolor="lime" strokeweight=".25pt">
            <v:textbox style="mso-next-textbox:#_x0000_s1048" inset="0,0,0,0">
              <w:txbxContent>
                <w:p w:rsidR="00A97CAD" w:rsidRDefault="00A97CAD" w:rsidP="00A730E5">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ח</w:t>
                  </w:r>
                  <w:r>
                    <w:rPr>
                      <w:rFonts w:cs="Miriam" w:hint="cs"/>
                      <w:szCs w:val="18"/>
                      <w:rtl/>
                    </w:rPr>
                    <w:t>וד דיון</w:t>
                  </w:r>
                  <w:r w:rsidR="00A730E5">
                    <w:rPr>
                      <w:rFonts w:cs="Miriam" w:hint="cs"/>
                      <w:szCs w:val="18"/>
                      <w:rtl/>
                    </w:rPr>
                    <w:t xml:space="preserve"> </w:t>
                  </w:r>
                  <w:r>
                    <w:rPr>
                      <w:rFonts w:cs="Miriam"/>
                      <w:szCs w:val="18"/>
                      <w:rtl/>
                    </w:rPr>
                    <w:t>ב</w:t>
                  </w:r>
                  <w:r>
                    <w:rPr>
                      <w:rFonts w:cs="Miriam" w:hint="cs"/>
                      <w:szCs w:val="18"/>
                      <w:rtl/>
                    </w:rPr>
                    <w:t>תביעות</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כל שלב משלבי ההליכים לפני</w:t>
      </w:r>
      <w:r>
        <w:rPr>
          <w:rStyle w:val="default"/>
          <w:rFonts w:cs="FrankRuehl"/>
          <w:rtl/>
        </w:rPr>
        <w:t>ו</w:t>
      </w:r>
      <w:r>
        <w:rPr>
          <w:rStyle w:val="default"/>
          <w:rFonts w:cs="FrankRuehl" w:hint="cs"/>
          <w:rtl/>
        </w:rPr>
        <w:t xml:space="preserve"> רשאי בית-המשפט, על-פי בקשת בעל-דין או על דעת עצמו, לאחד את הדיון במספר תביעות אם נראה לו שאפשר בדרך נוחה לדון בהן או לפסוק בהן ביחד.</w:t>
      </w:r>
    </w:p>
    <w:p w:rsidR="00A97CAD" w:rsidRDefault="00A97CAD" w:rsidP="00A730E5">
      <w:pPr>
        <w:pStyle w:val="P00"/>
        <w:spacing w:before="72"/>
        <w:ind w:left="0" w:right="1134"/>
        <w:rPr>
          <w:rStyle w:val="default"/>
          <w:rFonts w:cs="FrankRuehl"/>
          <w:rtl/>
        </w:rPr>
      </w:pPr>
      <w:bookmarkStart w:id="25" w:name="Seif24"/>
      <w:bookmarkEnd w:id="25"/>
      <w:r>
        <w:rPr>
          <w:lang w:val="he-IL"/>
        </w:rPr>
        <w:pict>
          <v:rect id="_x0000_s1049" style="position:absolute;left:0;text-align:left;margin-left:464.5pt;margin-top:8.05pt;width:75.05pt;height:31.35pt;z-index:251657728" o:allowincell="f" filled="f" stroked="f" strokecolor="lime" strokeweight=".25pt">
            <v:textbox style="mso-next-textbox:#_x0000_s1049"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תייצבות בעלים</w:t>
                  </w:r>
                  <w:r w:rsidR="00A730E5">
                    <w:rPr>
                      <w:rFonts w:cs="Miriam" w:hint="cs"/>
                      <w:szCs w:val="18"/>
                      <w:rtl/>
                    </w:rPr>
                    <w:t xml:space="preserve"> </w:t>
                  </w:r>
                  <w:r>
                    <w:rPr>
                      <w:rFonts w:cs="Miriam"/>
                      <w:szCs w:val="18"/>
                      <w:rtl/>
                    </w:rPr>
                    <w:t>מ</w:t>
                  </w:r>
                  <w:r>
                    <w:rPr>
                      <w:rFonts w:cs="Miriam" w:hint="cs"/>
                      <w:szCs w:val="18"/>
                      <w:rtl/>
                    </w:rPr>
                    <w:t>שותפים ויורשים שענינם אחד</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 xml:space="preserve">תייצבותו של אחד הבעלים המשותפים בחלקה אחת </w:t>
      </w:r>
      <w:r w:rsidR="000B741F">
        <w:rPr>
          <w:rStyle w:val="default"/>
          <w:rFonts w:cs="FrankRuehl"/>
          <w:rtl/>
        </w:rPr>
        <w:t>–</w:t>
      </w:r>
      <w:r>
        <w:rPr>
          <w:rStyle w:val="default"/>
          <w:rFonts w:cs="FrankRuehl" w:hint="cs"/>
          <w:rtl/>
        </w:rPr>
        <w:t xml:space="preserve"> כמוה כהתייצבות כולם, אם לא </w:t>
      </w:r>
      <w:r>
        <w:rPr>
          <w:rStyle w:val="default"/>
          <w:rFonts w:cs="FrankRuehl"/>
          <w:rtl/>
        </w:rPr>
        <w:t>ה</w:t>
      </w:r>
      <w:r>
        <w:rPr>
          <w:rStyle w:val="default"/>
          <w:rFonts w:cs="FrankRuehl" w:hint="cs"/>
          <w:rtl/>
        </w:rPr>
        <w:t>ורה בית המשפט הוראה אחרת; והוא הדין בהתייצבותו של אחד מיורשי תובע או מיורשי בעלים, או של אחד מקבוצת יורשים שיש לה ענין נפרד משל קבוצת יורשים אחרת.</w:t>
      </w:r>
    </w:p>
    <w:p w:rsidR="00A97CAD" w:rsidRDefault="00A97CAD">
      <w:pPr>
        <w:pStyle w:val="P00"/>
        <w:spacing w:before="72"/>
        <w:ind w:left="0" w:right="1134"/>
        <w:rPr>
          <w:rStyle w:val="default"/>
          <w:rFonts w:cs="FrankRuehl"/>
          <w:rtl/>
        </w:rPr>
      </w:pPr>
      <w:bookmarkStart w:id="26" w:name="Seif25"/>
      <w:bookmarkEnd w:id="26"/>
      <w:r>
        <w:rPr>
          <w:lang w:val="he-IL"/>
        </w:rPr>
        <w:pict>
          <v:rect id="_x0000_s1050" style="position:absolute;left:0;text-align:left;margin-left:464.5pt;margin-top:8.05pt;width:75.05pt;height:19.05pt;z-index:251658752" o:allowincell="f" filled="f" stroked="f" strokecolor="lime" strokeweight=".25pt">
            <v:textbox style="mso-next-textbox:#_x0000_s1050" inset="0,0,0,0">
              <w:txbxContent>
                <w:p w:rsidR="00A97CAD" w:rsidRDefault="00A97CAD">
                  <w:pPr>
                    <w:spacing w:line="160" w:lineRule="exact"/>
                    <w:jc w:val="left"/>
                    <w:rPr>
                      <w:rFonts w:cs="Miriam"/>
                      <w:noProof/>
                      <w:szCs w:val="18"/>
                      <w:rtl/>
                    </w:rPr>
                  </w:pPr>
                  <w:r>
                    <w:rPr>
                      <w:rFonts w:cs="Miriam"/>
                      <w:szCs w:val="18"/>
                      <w:rtl/>
                    </w:rPr>
                    <w:t>ב</w:t>
                  </w:r>
                  <w:r>
                    <w:rPr>
                      <w:rFonts w:cs="Miriam" w:hint="cs"/>
                      <w:szCs w:val="18"/>
                      <w:rtl/>
                    </w:rPr>
                    <w:t>חינת ראיות ושמיעת</w:t>
                  </w:r>
                  <w:r>
                    <w:rPr>
                      <w:rFonts w:cs="Miriam"/>
                      <w:szCs w:val="18"/>
                      <w:rtl/>
                    </w:rPr>
                    <w:t xml:space="preserve"> </w:t>
                  </w:r>
                  <w:r>
                    <w:rPr>
                      <w:rFonts w:cs="Miriam" w:hint="cs"/>
                      <w:szCs w:val="18"/>
                      <w:rtl/>
                    </w:rPr>
                    <w:t>עדים</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ית המשפט יבחן תחילה את ראיותיו של התובע וישמע את עדיו ואחר-כך יבחן את ראיותי</w:t>
      </w:r>
      <w:r>
        <w:rPr>
          <w:rStyle w:val="default"/>
          <w:rFonts w:cs="FrankRuehl"/>
          <w:rtl/>
        </w:rPr>
        <w:t>ו</w:t>
      </w:r>
      <w:r>
        <w:rPr>
          <w:rStyle w:val="default"/>
          <w:rFonts w:cs="FrankRuehl" w:hint="cs"/>
          <w:rtl/>
        </w:rPr>
        <w:t xml:space="preserve"> של הנתבע וישמע את עדיו; אולם רשאי בית המשפט לבחון ראיות ולשמוע עדים גם אחר הבחינה והשמיעה כאמור, אם נראה לו כי מן הצדק לעשות כן, ומטעמים שיירשמו.</w:t>
      </w:r>
    </w:p>
    <w:p w:rsidR="00A97CAD" w:rsidRDefault="00A97CAD">
      <w:pPr>
        <w:pStyle w:val="P00"/>
        <w:spacing w:before="72"/>
        <w:ind w:left="0" w:right="1134"/>
        <w:rPr>
          <w:rStyle w:val="default"/>
          <w:rFonts w:cs="FrankRuehl"/>
          <w:rtl/>
        </w:rPr>
      </w:pPr>
      <w:bookmarkStart w:id="27" w:name="Seif26"/>
      <w:bookmarkEnd w:id="27"/>
      <w:r>
        <w:rPr>
          <w:lang w:val="he-IL"/>
        </w:rPr>
        <w:pict>
          <v:rect id="_x0000_s1051" style="position:absolute;left:0;text-align:left;margin-left:464.5pt;margin-top:8.05pt;width:75.05pt;height:23.5pt;z-index:251659776" o:allowincell="f" filled="f" stroked="f" strokecolor="lime" strokeweight=".25pt">
            <v:textbox style="mso-next-textbox:#_x0000_s1051"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ליכים שלא</w:t>
                  </w:r>
                  <w:r w:rsidR="00A730E5">
                    <w:rPr>
                      <w:rFonts w:cs="Miriam" w:hint="cs"/>
                      <w:szCs w:val="18"/>
                      <w:rtl/>
                    </w:rPr>
                    <w:t xml:space="preserve"> </w:t>
                  </w:r>
                  <w:r>
                    <w:rPr>
                      <w:rFonts w:cs="Miriam"/>
                      <w:szCs w:val="18"/>
                      <w:rtl/>
                    </w:rPr>
                    <w:t>ב</w:t>
                  </w:r>
                  <w:r>
                    <w:rPr>
                      <w:rFonts w:cs="Miriam" w:hint="cs"/>
                      <w:szCs w:val="18"/>
                      <w:rtl/>
                    </w:rPr>
                    <w:t>פני תובע</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א התייצב תובע בשלב משלבי ההליכים לישיבת בית המשפט לאחר שהוזמן כדין, ימשיך בית-ה</w:t>
      </w:r>
      <w:r>
        <w:rPr>
          <w:rStyle w:val="default"/>
          <w:rFonts w:cs="FrankRuehl"/>
          <w:rtl/>
        </w:rPr>
        <w:t>מ</w:t>
      </w:r>
      <w:r>
        <w:rPr>
          <w:rStyle w:val="default"/>
          <w:rFonts w:cs="FrankRuehl" w:hint="cs"/>
          <w:rtl/>
        </w:rPr>
        <w:t>שפט בבירור המשפט, יזמין כל עד מבין אלה שהתובע נקב בשמם שעדותו נראית לבית המשפט חשובה להסדר הזכויות, יגבה את עדותו אף בהעדר אותו תובע, ובמתן החלטתו בענין התביעות יביא בחשבון את הראיות שהגיש אותו תובע ואת הטענות שנטענו מטעמו.</w:t>
      </w:r>
    </w:p>
    <w:p w:rsidR="00A97CAD" w:rsidRDefault="00A97CAD">
      <w:pPr>
        <w:pStyle w:val="P00"/>
        <w:spacing w:before="72"/>
        <w:ind w:left="0" w:right="1134"/>
        <w:rPr>
          <w:rStyle w:val="default"/>
          <w:rFonts w:cs="FrankRuehl"/>
          <w:rtl/>
        </w:rPr>
      </w:pPr>
      <w:bookmarkStart w:id="28" w:name="Seif27"/>
      <w:bookmarkEnd w:id="28"/>
      <w:r>
        <w:rPr>
          <w:lang w:val="he-IL"/>
        </w:rPr>
        <w:pict>
          <v:rect id="_x0000_s1052" style="position:absolute;left:0;text-align:left;margin-left:464.5pt;margin-top:8.05pt;width:75.05pt;height:20.8pt;z-index:251660800" o:allowincell="f" filled="f" stroked="f" strokecolor="lime" strokeweight=".25pt">
            <v:textbox style="mso-next-textbox:#_x0000_s1052" inset="0,0,0,0">
              <w:txbxContent>
                <w:p w:rsidR="00A97CAD" w:rsidRDefault="00A97CAD">
                  <w:pPr>
                    <w:spacing w:line="160" w:lineRule="exact"/>
                    <w:jc w:val="left"/>
                    <w:rPr>
                      <w:rFonts w:cs="Miriam"/>
                      <w:noProof/>
                      <w:szCs w:val="18"/>
                      <w:rtl/>
                    </w:rPr>
                  </w:pPr>
                  <w:r>
                    <w:rPr>
                      <w:rFonts w:cs="Miriam"/>
                      <w:szCs w:val="18"/>
                      <w:rtl/>
                    </w:rPr>
                    <w:t>ר</w:t>
                  </w:r>
                  <w:r>
                    <w:rPr>
                      <w:rFonts w:cs="Miriam" w:hint="cs"/>
                      <w:szCs w:val="18"/>
                      <w:rtl/>
                    </w:rPr>
                    <w:t>איה</w:t>
                  </w:r>
                  <w:r>
                    <w:rPr>
                      <w:rFonts w:cs="Miriam"/>
                      <w:szCs w:val="18"/>
                      <w:rtl/>
                    </w:rPr>
                    <w:t xml:space="preserve"> </w:t>
                  </w:r>
                  <w:r>
                    <w:rPr>
                      <w:rFonts w:cs="Miriam" w:hint="cs"/>
                      <w:szCs w:val="18"/>
                      <w:rtl/>
                    </w:rPr>
                    <w:t>שלא הוגשה על-ידי תובע</w:t>
                  </w:r>
                </w:p>
              </w:txbxContent>
            </v:textbox>
            <w10:anchorlock/>
          </v:rect>
        </w:pict>
      </w:r>
      <w:r>
        <w:rPr>
          <w:rStyle w:val="big-number"/>
          <w:rtl/>
        </w:rPr>
        <w:t>27.</w:t>
      </w:r>
      <w:r>
        <w:rPr>
          <w:rStyle w:val="big-number"/>
          <w:rtl/>
        </w:rPr>
        <w:tab/>
      </w:r>
      <w:r>
        <w:rPr>
          <w:rStyle w:val="default"/>
          <w:rFonts w:cs="FrankRuehl"/>
          <w:rtl/>
        </w:rPr>
        <w:t>נ</w:t>
      </w:r>
      <w:r>
        <w:rPr>
          <w:rStyle w:val="default"/>
          <w:rFonts w:cs="FrankRuehl" w:hint="cs"/>
          <w:rtl/>
        </w:rPr>
        <w:t>תברר לבית המשפט תוך כדי ההליכים כי יש או יכולה להיות חשיבות, לגבי הסדר הזכויות, לעדותו של אדם שהתובע לא נקב בשמו או שלא ביקש להזמינו, או לתעודה שלא הוגשה לפקיד ההסדר, רשאי בית-המשפט לצוות מיזמתו על הזמנת אדם להתייצב כדי להעיד</w:t>
      </w:r>
      <w:r>
        <w:rPr>
          <w:rStyle w:val="default"/>
          <w:rFonts w:cs="FrankRuehl"/>
          <w:rtl/>
        </w:rPr>
        <w:t xml:space="preserve"> </w:t>
      </w:r>
      <w:r>
        <w:rPr>
          <w:rStyle w:val="default"/>
          <w:rFonts w:cs="FrankRuehl" w:hint="cs"/>
          <w:rtl/>
        </w:rPr>
        <w:t>או כדי להציג תעודה שברשותו.</w:t>
      </w:r>
    </w:p>
    <w:p w:rsidR="00A97CAD" w:rsidRDefault="00A97CAD" w:rsidP="00A730E5">
      <w:pPr>
        <w:pStyle w:val="P00"/>
        <w:spacing w:before="72"/>
        <w:ind w:left="0" w:right="1134"/>
        <w:rPr>
          <w:rStyle w:val="default"/>
          <w:rFonts w:cs="FrankRuehl"/>
          <w:rtl/>
        </w:rPr>
      </w:pPr>
      <w:bookmarkStart w:id="29" w:name="Seif28"/>
      <w:bookmarkEnd w:id="29"/>
      <w:r>
        <w:rPr>
          <w:lang w:val="he-IL"/>
        </w:rPr>
        <w:pict>
          <v:rect id="_x0000_s1053" style="position:absolute;left:0;text-align:left;margin-left:464.5pt;margin-top:8.05pt;width:75.05pt;height:12.25pt;z-index:251661824" o:allowincell="f" filled="f" stroked="f" strokecolor="lime" strokeweight=".25pt">
            <v:textbox style="mso-next-textbox:#_x0000_s1053" inset="0,0,0,0">
              <w:txbxContent>
                <w:p w:rsidR="00A97CAD" w:rsidRDefault="00A97CAD">
                  <w:pPr>
                    <w:spacing w:line="160" w:lineRule="exact"/>
                    <w:jc w:val="left"/>
                    <w:rPr>
                      <w:rFonts w:cs="Miriam"/>
                      <w:noProof/>
                      <w:szCs w:val="18"/>
                      <w:rtl/>
                    </w:rPr>
                  </w:pPr>
                  <w:r>
                    <w:rPr>
                      <w:rFonts w:cs="Miriam"/>
                      <w:szCs w:val="18"/>
                      <w:rtl/>
                    </w:rPr>
                    <w:t>ה</w:t>
                  </w:r>
                  <w:r>
                    <w:rPr>
                      <w:rFonts w:cs="Miriam" w:hint="cs"/>
                      <w:szCs w:val="18"/>
                      <w:rtl/>
                    </w:rPr>
                    <w:t>ודאה בת</w:t>
                  </w:r>
                  <w:r>
                    <w:rPr>
                      <w:rFonts w:cs="Miriam"/>
                      <w:szCs w:val="18"/>
                      <w:rtl/>
                    </w:rPr>
                    <w:t>ע</w:t>
                  </w:r>
                  <w:r>
                    <w:rPr>
                      <w:rFonts w:cs="Miriam" w:hint="cs"/>
                      <w:szCs w:val="18"/>
                      <w:rtl/>
                    </w:rPr>
                    <w:t>ודה</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וגשה תעודה כראיה, והיא אינה תעודה ציבורית כמשמעותה בסעיף 29 לפקודת הראיות [נוסח חדש], תשל"א</w:t>
      </w:r>
      <w:r w:rsidR="00A730E5">
        <w:rPr>
          <w:rStyle w:val="default"/>
          <w:rFonts w:cs="FrankRuehl" w:hint="cs"/>
          <w:rtl/>
        </w:rPr>
        <w:t>-</w:t>
      </w:r>
      <w:r>
        <w:rPr>
          <w:rStyle w:val="default"/>
          <w:rFonts w:cs="FrankRuehl" w:hint="cs"/>
          <w:rtl/>
        </w:rPr>
        <w:t>1971, ואינה מאומתת על-ידי נוטריון ציבורי או רשות כיוצא בזה, ידרוש בית-המשפט מבעל הדין שנגדו הוגשה התעודה להודיע אם</w:t>
      </w:r>
      <w:r>
        <w:rPr>
          <w:rStyle w:val="default"/>
          <w:rFonts w:cs="FrankRuehl"/>
          <w:rtl/>
        </w:rPr>
        <w:t xml:space="preserve"> </w:t>
      </w:r>
      <w:r>
        <w:rPr>
          <w:rStyle w:val="default"/>
          <w:rFonts w:cs="FrankRuehl" w:hint="cs"/>
          <w:rtl/>
        </w:rPr>
        <w:t>הוא מודה בתעודה או כופר בה, ודין שתיקת בעל הדין כדין הודאה אם נחזית התעודה להיות חתומה בידו או כתובה בידו.</w:t>
      </w:r>
    </w:p>
    <w:p w:rsidR="00A97CAD" w:rsidRDefault="00A97CAD">
      <w:pPr>
        <w:pStyle w:val="P00"/>
        <w:spacing w:before="72"/>
        <w:ind w:left="0" w:right="1134"/>
        <w:rPr>
          <w:rStyle w:val="default"/>
          <w:rFonts w:cs="FrankRuehl"/>
          <w:rtl/>
        </w:rPr>
      </w:pPr>
      <w:bookmarkStart w:id="30" w:name="Seif29"/>
      <w:bookmarkEnd w:id="30"/>
      <w:r>
        <w:rPr>
          <w:lang w:val="he-IL"/>
        </w:rPr>
        <w:pict>
          <v:rect id="_x0000_s1054" style="position:absolute;left:0;text-align:left;margin-left:464.5pt;margin-top:8.05pt;width:75.05pt;height:20.55pt;z-index:251662848" o:allowincell="f" filled="f" stroked="f" strokecolor="lime" strokeweight=".25pt">
            <v:textbox style="mso-next-textbox:#_x0000_s1054" inset="0,0,0,0">
              <w:txbxContent>
                <w:p w:rsidR="00A97CAD" w:rsidRDefault="00A97CAD">
                  <w:pPr>
                    <w:spacing w:line="160" w:lineRule="exact"/>
                    <w:jc w:val="left"/>
                    <w:rPr>
                      <w:rFonts w:cs="Miriam"/>
                      <w:noProof/>
                      <w:szCs w:val="18"/>
                      <w:rtl/>
                    </w:rPr>
                  </w:pPr>
                  <w:r>
                    <w:rPr>
                      <w:rFonts w:cs="Miriam"/>
                      <w:szCs w:val="18"/>
                      <w:rtl/>
                    </w:rPr>
                    <w:t>ח</w:t>
                  </w:r>
                  <w:r>
                    <w:rPr>
                      <w:rFonts w:cs="Miriam" w:hint="cs"/>
                      <w:szCs w:val="18"/>
                      <w:rtl/>
                    </w:rPr>
                    <w:t>תימה וכתב יד הטעו</w:t>
                  </w:r>
                  <w:r>
                    <w:rPr>
                      <w:rFonts w:cs="Miriam"/>
                      <w:szCs w:val="18"/>
                      <w:rtl/>
                    </w:rPr>
                    <w:t>נ</w:t>
                  </w:r>
                  <w:r>
                    <w:rPr>
                      <w:rFonts w:cs="Miriam" w:hint="cs"/>
                      <w:szCs w:val="18"/>
                      <w:rtl/>
                    </w:rPr>
                    <w:t>ים הוכחה</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יו חתימה על תעודה, או כתב היד שבו נכתבה התעודה, או החותם שבו נחתמה, טעונים הוכחה, יבדוק וישווה בית-המשפט בעצמו א</w:t>
      </w:r>
      <w:r>
        <w:rPr>
          <w:rStyle w:val="default"/>
          <w:rFonts w:cs="FrankRuehl"/>
          <w:rtl/>
        </w:rPr>
        <w:t>ת</w:t>
      </w:r>
      <w:r>
        <w:rPr>
          <w:rStyle w:val="default"/>
          <w:rFonts w:cs="FrankRuehl" w:hint="cs"/>
          <w:rtl/>
        </w:rPr>
        <w:t xml:space="preserve"> החתימה, החותם או כתב היד, או ימנה מומחה או מומחים לכך, כפי שימצא לנכון; היה כתב ידו של אדם טעון הוכחה, חייב הוא, לפי דרישת בית-המשפט, להראות דוגמא מכתב ידו, ובכפוף לצו בית המשפט בדבר הוצאות המשפט לשלם את שכר המומחה או המומחים.</w:t>
      </w:r>
    </w:p>
    <w:p w:rsidR="00A97CAD" w:rsidRDefault="00A97CAD">
      <w:pPr>
        <w:pStyle w:val="P00"/>
        <w:spacing w:before="72"/>
        <w:ind w:left="0" w:right="1134"/>
        <w:rPr>
          <w:rStyle w:val="default"/>
          <w:rFonts w:cs="FrankRuehl"/>
          <w:rtl/>
        </w:rPr>
      </w:pPr>
      <w:bookmarkStart w:id="31" w:name="Seif30"/>
      <w:bookmarkEnd w:id="31"/>
      <w:r>
        <w:rPr>
          <w:lang w:val="he-IL"/>
        </w:rPr>
        <w:pict>
          <v:rect id="_x0000_s1055" style="position:absolute;left:0;text-align:left;margin-left:464.5pt;margin-top:8.05pt;width:75.05pt;height:32.6pt;z-index:251663872" o:allowincell="f" filled="f" stroked="f" strokecolor="lime" strokeweight=".25pt">
            <v:textbox style="mso-next-textbox:#_x0000_s1055" inset="0,0,0,0">
              <w:txbxContent>
                <w:p w:rsidR="00A97CAD" w:rsidRDefault="00A97CAD">
                  <w:pPr>
                    <w:spacing w:line="160" w:lineRule="exact"/>
                    <w:jc w:val="left"/>
                    <w:rPr>
                      <w:rFonts w:cs="Miriam"/>
                      <w:noProof/>
                      <w:szCs w:val="18"/>
                      <w:rtl/>
                    </w:rPr>
                  </w:pPr>
                  <w:r>
                    <w:rPr>
                      <w:rFonts w:cs="Miriam"/>
                      <w:szCs w:val="18"/>
                      <w:rtl/>
                    </w:rPr>
                    <w:t>ב</w:t>
                  </w:r>
                  <w:r>
                    <w:rPr>
                      <w:rFonts w:cs="Miriam" w:hint="cs"/>
                      <w:szCs w:val="18"/>
                      <w:rtl/>
                    </w:rPr>
                    <w:t xml:space="preserve">קשה לביטול החלטה שניתנה </w:t>
                  </w:r>
                  <w:r w:rsidR="00A730E5">
                    <w:rPr>
                      <w:rFonts w:cs="Miriam"/>
                      <w:szCs w:val="18"/>
                      <w:rtl/>
                    </w:rPr>
                    <w:br/>
                  </w:r>
                  <w:r>
                    <w:rPr>
                      <w:rFonts w:cs="Miriam" w:hint="cs"/>
                      <w:szCs w:val="18"/>
                      <w:rtl/>
                    </w:rPr>
                    <w:t>על</w:t>
                  </w:r>
                  <w:r>
                    <w:rPr>
                      <w:rFonts w:cs="Miriam"/>
                      <w:szCs w:val="18"/>
                      <w:rtl/>
                    </w:rPr>
                    <w:t>-</w:t>
                  </w:r>
                  <w:r>
                    <w:rPr>
                      <w:rFonts w:cs="Miriam" w:hint="cs"/>
                      <w:szCs w:val="18"/>
                      <w:rtl/>
                    </w:rPr>
                    <w:t>פי צד אחד</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חליט בית-המשפט בנוגע לזכות במקרקעין על-פי צד אחד, רשאי בעל-דין, תוך שלושים יום מהיום שבו נמסרה לו הודעה בכתב על ההחלטה, להגיש לבית המשפט בקשה מנומקת בכתב ונתמכת בתצהיר לבטל את ההחלטה.</w:t>
      </w:r>
    </w:p>
    <w:p w:rsidR="00A97CAD" w:rsidRDefault="00A97CAD">
      <w:pPr>
        <w:pStyle w:val="P00"/>
        <w:spacing w:before="72"/>
        <w:ind w:left="0" w:right="1134"/>
        <w:rPr>
          <w:rStyle w:val="default"/>
          <w:rFonts w:cs="FrankRuehl"/>
          <w:rtl/>
        </w:rPr>
      </w:pPr>
      <w:bookmarkStart w:id="32" w:name="Seif31"/>
      <w:bookmarkEnd w:id="32"/>
      <w:r>
        <w:rPr>
          <w:lang w:val="he-IL"/>
        </w:rPr>
        <w:pict>
          <v:rect id="_x0000_s1056" style="position:absolute;left:0;text-align:left;margin-left:464.5pt;margin-top:8.05pt;width:75.05pt;height:31.5pt;z-index:251664896" o:allowincell="f" filled="f" stroked="f" strokecolor="lime" strokeweight=".25pt">
            <v:textbox style="mso-next-textbox:#_x0000_s1056" inset="0,0,0,0">
              <w:txbxContent>
                <w:p w:rsidR="00A97CAD" w:rsidRDefault="00A97CAD" w:rsidP="00A730E5">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 החלטה שניתנה על-פי</w:t>
                  </w:r>
                  <w:r w:rsidR="00A730E5">
                    <w:rPr>
                      <w:rFonts w:cs="Miriam" w:hint="cs"/>
                      <w:szCs w:val="18"/>
                      <w:rtl/>
                    </w:rPr>
                    <w:t xml:space="preserve"> </w:t>
                  </w:r>
                  <w:r>
                    <w:rPr>
                      <w:rFonts w:cs="Miriam"/>
                      <w:szCs w:val="18"/>
                      <w:rtl/>
                    </w:rPr>
                    <w:t>צ</w:t>
                  </w:r>
                  <w:r>
                    <w:rPr>
                      <w:rFonts w:cs="Miriam" w:hint="cs"/>
                      <w:szCs w:val="18"/>
                      <w:rtl/>
                    </w:rPr>
                    <w:t>ד אחד</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וגשה בקשה כאמ</w:t>
      </w:r>
      <w:r>
        <w:rPr>
          <w:rStyle w:val="default"/>
          <w:rFonts w:cs="FrankRuehl"/>
          <w:rtl/>
        </w:rPr>
        <w:t>ו</w:t>
      </w:r>
      <w:r>
        <w:rPr>
          <w:rStyle w:val="default"/>
          <w:rFonts w:cs="FrankRuehl" w:hint="cs"/>
          <w:rtl/>
        </w:rPr>
        <w:t>ר בתקנה 30, רשאי בית-המשפט לבטל את ההחלטה בתנאים שייראו לו בדבר הוצאות או כל ענין אחר; לא היתה ההחלטה ניתנת לביטול לגבי המבקש בלבד, מותר לבטלה גם לגבי שאר התובעים, כולם או מקצתם.</w:t>
      </w:r>
    </w:p>
    <w:p w:rsidR="00A97CAD" w:rsidRDefault="00A97CAD">
      <w:pPr>
        <w:pStyle w:val="P00"/>
        <w:spacing w:before="72"/>
        <w:ind w:left="0" w:right="1134"/>
        <w:rPr>
          <w:rStyle w:val="default"/>
          <w:rFonts w:cs="FrankRuehl"/>
          <w:rtl/>
        </w:rPr>
      </w:pPr>
      <w:bookmarkStart w:id="33" w:name="Seif32"/>
      <w:bookmarkEnd w:id="33"/>
      <w:r>
        <w:rPr>
          <w:lang w:val="he-IL"/>
        </w:rPr>
        <w:pict>
          <v:rect id="_x0000_s1057" style="position:absolute;left:0;text-align:left;margin-left:464.5pt;margin-top:8.05pt;width:75.05pt;height:19.2pt;z-index:251665920" o:allowincell="f" filled="f" stroked="f" strokecolor="lime" strokeweight=".25pt">
            <v:textbox style="mso-next-textbox:#_x0000_s1057" inset="0,0,0,0">
              <w:txbxContent>
                <w:p w:rsidR="00A97CAD" w:rsidRDefault="00A97CAD">
                  <w:pPr>
                    <w:spacing w:line="160" w:lineRule="exact"/>
                    <w:jc w:val="left"/>
                    <w:rPr>
                      <w:rFonts w:cs="Miriam"/>
                      <w:noProof/>
                      <w:szCs w:val="18"/>
                      <w:rtl/>
                    </w:rPr>
                  </w:pPr>
                  <w:r>
                    <w:rPr>
                      <w:rFonts w:cs="Miriam"/>
                      <w:szCs w:val="18"/>
                      <w:rtl/>
                    </w:rPr>
                    <w:t>א</w:t>
                  </w:r>
                  <w:r>
                    <w:rPr>
                      <w:rFonts w:cs="Miriam" w:hint="cs"/>
                      <w:szCs w:val="18"/>
                      <w:rtl/>
                    </w:rPr>
                    <w:t>דם העלול להיפגע על-ידי בי</w:t>
                  </w:r>
                  <w:r>
                    <w:rPr>
                      <w:rFonts w:cs="Miriam"/>
                      <w:szCs w:val="18"/>
                      <w:rtl/>
                    </w:rPr>
                    <w:t>ט</w:t>
                  </w:r>
                  <w:r>
                    <w:rPr>
                      <w:rFonts w:cs="Miriam" w:hint="cs"/>
                      <w:szCs w:val="18"/>
                      <w:rtl/>
                    </w:rPr>
                    <w:t>ול החלטה</w:t>
                  </w:r>
                </w:p>
              </w:txbxContent>
            </v:textbox>
            <w10:anchorlock/>
          </v:rect>
        </w:pict>
      </w:r>
      <w:r>
        <w:rPr>
          <w:rStyle w:val="big-number"/>
          <w:rtl/>
        </w:rPr>
        <w:t>32.</w:t>
      </w:r>
      <w:r>
        <w:rPr>
          <w:rStyle w:val="big-number"/>
          <w:rtl/>
        </w:rPr>
        <w:tab/>
      </w:r>
      <w:r>
        <w:rPr>
          <w:rStyle w:val="default"/>
          <w:rFonts w:cs="FrankRuehl"/>
          <w:rtl/>
        </w:rPr>
        <w:t>ר</w:t>
      </w:r>
      <w:r>
        <w:rPr>
          <w:rStyle w:val="default"/>
          <w:rFonts w:cs="FrankRuehl" w:hint="cs"/>
          <w:rtl/>
        </w:rPr>
        <w:t>אה בית-המשפט שזכותו של אדם עלולה</w:t>
      </w:r>
      <w:r>
        <w:rPr>
          <w:rStyle w:val="default"/>
          <w:rFonts w:cs="FrankRuehl"/>
          <w:rtl/>
        </w:rPr>
        <w:t xml:space="preserve"> </w:t>
      </w:r>
      <w:r>
        <w:rPr>
          <w:rStyle w:val="default"/>
          <w:rFonts w:cs="FrankRuehl" w:hint="cs"/>
          <w:rtl/>
        </w:rPr>
        <w:t>להיפגע על-ידי ביטול החלטה כאמור בתקנה 31, יצווה למסור לו העתק מהבקשה שהוגשה כאמור בתקנה 30 בצירוף הודעה שהוא רשאי, תוך חמישה-עשר יום, להגיש כתב התנגדות מנומק לביטול ההחלטה, ולא יחליט בית-המשפט לבטל את ההחלטה אלא לאחר שנתן דעתו על כתב ההתנגדות או אם עבר ה</w:t>
      </w:r>
      <w:r>
        <w:rPr>
          <w:rStyle w:val="default"/>
          <w:rFonts w:cs="FrankRuehl"/>
          <w:rtl/>
        </w:rPr>
        <w:t>מו</w:t>
      </w:r>
      <w:r>
        <w:rPr>
          <w:rStyle w:val="default"/>
          <w:rFonts w:cs="FrankRuehl" w:hint="cs"/>
          <w:rtl/>
        </w:rPr>
        <w:t>עד להגשתו.</w:t>
      </w:r>
    </w:p>
    <w:p w:rsidR="00A97CAD" w:rsidRDefault="00A97CAD">
      <w:pPr>
        <w:pStyle w:val="P00"/>
        <w:spacing w:before="72"/>
        <w:ind w:left="0" w:right="1134"/>
        <w:rPr>
          <w:rStyle w:val="default"/>
          <w:rFonts w:cs="FrankRuehl"/>
          <w:rtl/>
        </w:rPr>
      </w:pPr>
      <w:bookmarkStart w:id="34" w:name="Seif33"/>
      <w:bookmarkEnd w:id="34"/>
      <w:r>
        <w:rPr>
          <w:lang w:val="he-IL"/>
        </w:rPr>
        <w:pict>
          <v:rect id="_x0000_s1058" style="position:absolute;left:0;text-align:left;margin-left:464.5pt;margin-top:8.05pt;width:75.05pt;height:22.05pt;z-index:251666944" o:allowincell="f" filled="f" stroked="f" strokecolor="lime" strokeweight=".25pt">
            <v:textbox style="mso-next-textbox:#_x0000_s1058" inset="0,0,0,0">
              <w:txbxContent>
                <w:p w:rsidR="00A97CAD" w:rsidRDefault="00A97CAD" w:rsidP="00A730E5">
                  <w:pPr>
                    <w:spacing w:line="160" w:lineRule="exact"/>
                    <w:jc w:val="left"/>
                    <w:rPr>
                      <w:rFonts w:cs="Miriam"/>
                      <w:noProof/>
                      <w:szCs w:val="18"/>
                      <w:rtl/>
                    </w:rPr>
                  </w:pPr>
                  <w:r>
                    <w:rPr>
                      <w:rFonts w:cs="Miriam"/>
                      <w:szCs w:val="18"/>
                      <w:rtl/>
                    </w:rPr>
                    <w:t>ה</w:t>
                  </w:r>
                  <w:r>
                    <w:rPr>
                      <w:rFonts w:cs="Miriam" w:hint="cs"/>
                      <w:szCs w:val="18"/>
                      <w:rtl/>
                    </w:rPr>
                    <w:t>עברת תעודות</w:t>
                  </w:r>
                  <w:r w:rsidR="00A730E5">
                    <w:rPr>
                      <w:rFonts w:cs="Miriam" w:hint="cs"/>
                      <w:szCs w:val="18"/>
                      <w:rtl/>
                    </w:rPr>
                    <w:t xml:space="preserve"> </w:t>
                  </w:r>
                  <w:r>
                    <w:rPr>
                      <w:rFonts w:cs="Miriam"/>
                      <w:szCs w:val="18"/>
                      <w:rtl/>
                    </w:rPr>
                    <w:t>ב</w:t>
                  </w:r>
                  <w:r>
                    <w:rPr>
                      <w:rFonts w:cs="Miriam" w:hint="cs"/>
                      <w:szCs w:val="18"/>
                      <w:rtl/>
                    </w:rPr>
                    <w:t>בירור ערעור</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וגש ערעור על החלטה של פקיד ההסדר, יעביר פקיד ההסדר לבית-המשפט את תזכירי התביעה והתעודות שהוגשו לו ואת זכרון-הדברים של ההליכים שבפניו.</w:t>
      </w:r>
    </w:p>
    <w:p w:rsidR="00A97CAD" w:rsidRDefault="00A97CAD">
      <w:pPr>
        <w:pStyle w:val="P00"/>
        <w:spacing w:before="72"/>
        <w:ind w:left="0" w:right="1134"/>
        <w:rPr>
          <w:rStyle w:val="default"/>
          <w:rFonts w:cs="FrankRuehl"/>
          <w:rtl/>
        </w:rPr>
      </w:pPr>
      <w:bookmarkStart w:id="35" w:name="Seif34"/>
      <w:bookmarkEnd w:id="35"/>
      <w:r>
        <w:rPr>
          <w:lang w:val="he-IL"/>
        </w:rPr>
        <w:pict>
          <v:rect id="_x0000_s1059" style="position:absolute;left:0;text-align:left;margin-left:464.5pt;margin-top:8.05pt;width:75.05pt;height:24pt;z-index:251667968" o:allowincell="f" filled="f" stroked="f" strokecolor="lime" strokeweight=".25pt">
            <v:textbox style="mso-next-textbox:#_x0000_s1059" inset="0,0,0,0">
              <w:txbxContent>
                <w:p w:rsidR="00A97CAD" w:rsidRDefault="00A97CAD" w:rsidP="00A730E5">
                  <w:pPr>
                    <w:spacing w:line="160" w:lineRule="exact"/>
                    <w:jc w:val="left"/>
                    <w:rPr>
                      <w:rFonts w:cs="Miriam"/>
                      <w:noProof/>
                      <w:szCs w:val="18"/>
                      <w:rtl/>
                    </w:rPr>
                  </w:pPr>
                  <w:r>
                    <w:rPr>
                      <w:rFonts w:cs="Miriam"/>
                      <w:szCs w:val="18"/>
                      <w:rtl/>
                    </w:rPr>
                    <w:t>מ</w:t>
                  </w:r>
                  <w:r>
                    <w:rPr>
                      <w:rFonts w:cs="Miriam" w:hint="cs"/>
                      <w:szCs w:val="18"/>
                      <w:rtl/>
                    </w:rPr>
                    <w:t>סירת הודעה</w:t>
                  </w:r>
                  <w:r w:rsidR="00A730E5">
                    <w:rPr>
                      <w:rFonts w:cs="Miriam" w:hint="cs"/>
                      <w:szCs w:val="18"/>
                      <w:rtl/>
                    </w:rPr>
                    <w:t xml:space="preserve"> </w:t>
                  </w:r>
                  <w:r>
                    <w:rPr>
                      <w:rFonts w:cs="Miriam"/>
                      <w:szCs w:val="18"/>
                      <w:rtl/>
                    </w:rPr>
                    <w:t>ל</w:t>
                  </w:r>
                  <w:r>
                    <w:rPr>
                      <w:rFonts w:cs="Miriam" w:hint="cs"/>
                      <w:szCs w:val="18"/>
                      <w:rtl/>
                    </w:rPr>
                    <w:t>פי סעיף 77</w:t>
                  </w:r>
                  <w:r w:rsidR="00A730E5">
                    <w:rPr>
                      <w:rFonts w:cs="Miriam" w:hint="cs"/>
                      <w:noProof/>
                      <w:szCs w:val="18"/>
                      <w:rtl/>
                    </w:rPr>
                    <w:t xml:space="preserve"> </w:t>
                  </w:r>
                  <w:r>
                    <w:rPr>
                      <w:rFonts w:cs="Miriam"/>
                      <w:szCs w:val="18"/>
                      <w:rtl/>
                    </w:rPr>
                    <w:t>ל</w:t>
                  </w:r>
                  <w:r>
                    <w:rPr>
                      <w:rFonts w:cs="Miriam" w:hint="cs"/>
                      <w:szCs w:val="18"/>
                      <w:rtl/>
                    </w:rPr>
                    <w:t>פקודה</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ודעת בית ה</w:t>
      </w:r>
      <w:r>
        <w:rPr>
          <w:rStyle w:val="default"/>
          <w:rFonts w:cs="FrankRuehl"/>
          <w:rtl/>
        </w:rPr>
        <w:t>מ</w:t>
      </w:r>
      <w:r>
        <w:rPr>
          <w:rStyle w:val="default"/>
          <w:rFonts w:cs="FrankRuehl" w:hint="cs"/>
          <w:rtl/>
        </w:rPr>
        <w:t>שפט לרשם המקרקעין לפי סעיף 77 לפקודה תימסר לו, במידת האפשר, באמצעות פקיד ההסדר שלוח הזכויות בגוש שהזכות נוגעת לו היה בטיפולו; אולם אם נתן בית המשפט החלטה כאמור בתקנה 30 תישלח הודעת בית המשפט לרשם המקרקעין בתום התקופה שנקבעה בתקנה 30 להגשת בקשת ביטול.</w:t>
      </w:r>
    </w:p>
    <w:p w:rsidR="00A97CAD" w:rsidRDefault="00A97CAD">
      <w:pPr>
        <w:pStyle w:val="P00"/>
        <w:spacing w:before="72"/>
        <w:ind w:left="0" w:right="1134"/>
        <w:rPr>
          <w:rStyle w:val="default"/>
          <w:rFonts w:cs="FrankRuehl"/>
          <w:rtl/>
        </w:rPr>
      </w:pPr>
      <w:bookmarkStart w:id="36" w:name="Seif35"/>
      <w:bookmarkEnd w:id="36"/>
      <w:r>
        <w:rPr>
          <w:lang w:val="he-IL"/>
        </w:rPr>
        <w:pict>
          <v:rect id="_x0000_s1060" style="position:absolute;left:0;text-align:left;margin-left:464.5pt;margin-top:8.05pt;width:75.05pt;height:28.2pt;z-index:251668992" o:allowincell="f" filled="f" stroked="f" strokecolor="lime" strokeweight=".25pt">
            <v:textbox style="mso-next-textbox:#_x0000_s1060" inset="0,0,0,0">
              <w:txbxContent>
                <w:p w:rsidR="00A97CAD" w:rsidRDefault="00A97CAD" w:rsidP="00A730E5">
                  <w:pPr>
                    <w:spacing w:line="160" w:lineRule="exact"/>
                    <w:jc w:val="left"/>
                    <w:rPr>
                      <w:rFonts w:cs="Miriam"/>
                      <w:noProof/>
                      <w:szCs w:val="18"/>
                      <w:rtl/>
                    </w:rPr>
                  </w:pPr>
                  <w:r>
                    <w:rPr>
                      <w:rFonts w:cs="Miriam"/>
                      <w:szCs w:val="18"/>
                      <w:rtl/>
                    </w:rPr>
                    <w:t>ר</w:t>
                  </w:r>
                  <w:r>
                    <w:rPr>
                      <w:rFonts w:cs="Miriam" w:hint="cs"/>
                      <w:szCs w:val="18"/>
                      <w:rtl/>
                    </w:rPr>
                    <w:t>ישו</w:t>
                  </w:r>
                  <w:r>
                    <w:rPr>
                      <w:rFonts w:cs="Miriam"/>
                      <w:szCs w:val="18"/>
                      <w:rtl/>
                    </w:rPr>
                    <w:t>ם</w:t>
                  </w:r>
                  <w:r>
                    <w:rPr>
                      <w:rFonts w:cs="Miriam" w:hint="cs"/>
                      <w:szCs w:val="18"/>
                      <w:rtl/>
                    </w:rPr>
                    <w:t xml:space="preserve"> הערות</w:t>
                  </w:r>
                  <w:r w:rsidR="00A730E5">
                    <w:rPr>
                      <w:rFonts w:cs="Miriam" w:hint="cs"/>
                      <w:szCs w:val="18"/>
                      <w:rtl/>
                    </w:rPr>
                    <w:t xml:space="preserve"> </w:t>
                  </w:r>
                  <w:r>
                    <w:rPr>
                      <w:rFonts w:cs="Miriam"/>
                      <w:szCs w:val="18"/>
                      <w:rtl/>
                    </w:rPr>
                    <w:t>ב</w:t>
                  </w:r>
                  <w:r>
                    <w:rPr>
                      <w:rFonts w:cs="Miriam" w:hint="cs"/>
                      <w:szCs w:val="18"/>
                      <w:rtl/>
                    </w:rPr>
                    <w:t>לוח הזכויות</w:t>
                  </w:r>
                  <w:r w:rsidR="00A730E5">
                    <w:rPr>
                      <w:rFonts w:cs="Miriam" w:hint="cs"/>
                      <w:noProof/>
                      <w:szCs w:val="18"/>
                      <w:rtl/>
                    </w:rPr>
                    <w:t xml:space="preserve"> </w:t>
                  </w:r>
                  <w:r>
                    <w:rPr>
                      <w:rFonts w:cs="Miriam"/>
                      <w:szCs w:val="18"/>
                      <w:rtl/>
                    </w:rPr>
                    <w:t>ו</w:t>
                  </w:r>
                  <w:r>
                    <w:rPr>
                      <w:rFonts w:cs="Miriam" w:hint="cs"/>
                      <w:szCs w:val="18"/>
                      <w:rtl/>
                    </w:rPr>
                    <w:t>בפנקס החדש</w:t>
                  </w:r>
                </w:p>
              </w:txbxContent>
            </v:textbox>
            <w10:anchorlock/>
          </v:rect>
        </w:pict>
      </w:r>
      <w:r>
        <w:rPr>
          <w:rStyle w:val="big-number"/>
          <w:rtl/>
        </w:rPr>
        <w:t>35.</w:t>
      </w:r>
      <w:r>
        <w:rPr>
          <w:rStyle w:val="big-number"/>
          <w:rtl/>
        </w:rPr>
        <w:tab/>
      </w:r>
      <w:r>
        <w:rPr>
          <w:rStyle w:val="default"/>
          <w:rFonts w:cs="FrankRuehl"/>
          <w:rtl/>
        </w:rPr>
        <w:t>פ</w:t>
      </w:r>
      <w:r>
        <w:rPr>
          <w:rStyle w:val="default"/>
          <w:rFonts w:cs="FrankRuehl" w:hint="cs"/>
          <w:rtl/>
        </w:rPr>
        <w:t>נה תובע בבקשת תיקון כאמור בסעיף 59 לפקודה, או הוגש ערעור על החלטה של פקיד ההסדר או הוגשה בקשה לבטל החלטה של בית המשפט בנוגע לזכות במקרקעין או הוגש ערעור על החלטת בית-המשפט, תירשם הערה על כך, לפי בקשת התובע או בעל-די</w:t>
      </w:r>
      <w:r>
        <w:rPr>
          <w:rStyle w:val="default"/>
          <w:rFonts w:cs="FrankRuehl"/>
          <w:rtl/>
        </w:rPr>
        <w:t>ן</w:t>
      </w:r>
      <w:r>
        <w:rPr>
          <w:rStyle w:val="default"/>
          <w:rFonts w:cs="FrankRuehl" w:hint="cs"/>
          <w:rtl/>
        </w:rPr>
        <w:t>, בלוח הזכויות או בפנקס החדש, הכל לפי הענין.</w:t>
      </w:r>
    </w:p>
    <w:p w:rsidR="00A97CAD" w:rsidRDefault="00A97CAD" w:rsidP="00A730E5">
      <w:pPr>
        <w:pStyle w:val="P00"/>
        <w:spacing w:before="72"/>
        <w:ind w:left="0" w:right="1134"/>
        <w:rPr>
          <w:rStyle w:val="default"/>
          <w:rFonts w:cs="FrankRuehl"/>
          <w:rtl/>
        </w:rPr>
      </w:pPr>
      <w:bookmarkStart w:id="37" w:name="Seif36"/>
      <w:bookmarkEnd w:id="37"/>
      <w:r>
        <w:rPr>
          <w:lang w:val="he-IL"/>
        </w:rPr>
        <w:pict>
          <v:rect id="_x0000_s1061" style="position:absolute;left:0;text-align:left;margin-left:464.5pt;margin-top:8.05pt;width:75.05pt;height:24pt;z-index:251670016" o:allowincell="f" filled="f" stroked="f" strokecolor="lime" strokeweight=".25pt">
            <v:textbox style="mso-next-textbox:#_x0000_s1061" inset="0,0,0,0">
              <w:txbxContent>
                <w:p w:rsidR="00A97CAD" w:rsidRDefault="00A97CAD" w:rsidP="00A730E5">
                  <w:pPr>
                    <w:spacing w:line="160" w:lineRule="exact"/>
                    <w:jc w:val="left"/>
                    <w:rPr>
                      <w:rFonts w:cs="Miriam"/>
                      <w:noProof/>
                      <w:szCs w:val="18"/>
                      <w:rtl/>
                    </w:rPr>
                  </w:pPr>
                  <w:r>
                    <w:rPr>
                      <w:rFonts w:cs="Miriam"/>
                      <w:szCs w:val="18"/>
                      <w:rtl/>
                    </w:rPr>
                    <w:t>ת</w:t>
                  </w:r>
                  <w:r>
                    <w:rPr>
                      <w:rFonts w:cs="Miriam" w:hint="cs"/>
                      <w:szCs w:val="18"/>
                      <w:rtl/>
                    </w:rPr>
                    <w:t>חולתן של</w:t>
                  </w:r>
                  <w:r w:rsidR="00A730E5">
                    <w:rPr>
                      <w:rFonts w:cs="Miriam" w:hint="cs"/>
                      <w:szCs w:val="18"/>
                      <w:rtl/>
                    </w:rPr>
                    <w:t xml:space="preserve"> </w:t>
                  </w:r>
                  <w:r>
                    <w:rPr>
                      <w:rFonts w:cs="Miriam"/>
                      <w:szCs w:val="18"/>
                      <w:rtl/>
                    </w:rPr>
                    <w:t>ת</w:t>
                  </w:r>
                  <w:r>
                    <w:rPr>
                      <w:rFonts w:cs="Miriam" w:hint="cs"/>
                      <w:szCs w:val="18"/>
                      <w:rtl/>
                    </w:rPr>
                    <w:t>קנות סדר הדין</w:t>
                  </w:r>
                  <w:r w:rsidR="00A730E5">
                    <w:rPr>
                      <w:rFonts w:cs="Miriam" w:hint="cs"/>
                      <w:noProof/>
                      <w:szCs w:val="18"/>
                      <w:rtl/>
                    </w:rPr>
                    <w:t xml:space="preserve"> </w:t>
                  </w:r>
                  <w:r>
                    <w:rPr>
                      <w:rFonts w:cs="Miriam"/>
                      <w:szCs w:val="18"/>
                      <w:rtl/>
                    </w:rPr>
                    <w:t>ה</w:t>
                  </w:r>
                  <w:r>
                    <w:rPr>
                      <w:rFonts w:cs="Miriam" w:hint="cs"/>
                      <w:szCs w:val="18"/>
                      <w:rtl/>
                    </w:rPr>
                    <w:t>אזרחי</w:t>
                  </w:r>
                </w:p>
              </w:txbxContent>
            </v:textbox>
            <w10:anchorlock/>
          </v:rect>
        </w:pict>
      </w:r>
      <w:r>
        <w:rPr>
          <w:rStyle w:val="big-number"/>
          <w:rtl/>
        </w:rPr>
        <w:t>36.</w:t>
      </w:r>
      <w:r>
        <w:rPr>
          <w:rStyle w:val="big-number"/>
          <w:rtl/>
        </w:rPr>
        <w:tab/>
      </w:r>
      <w:r>
        <w:rPr>
          <w:rStyle w:val="default"/>
          <w:rFonts w:cs="FrankRuehl"/>
          <w:rtl/>
        </w:rPr>
        <w:t>ת</w:t>
      </w:r>
      <w:r>
        <w:rPr>
          <w:rStyle w:val="default"/>
          <w:rFonts w:cs="FrankRuehl" w:hint="cs"/>
          <w:rtl/>
        </w:rPr>
        <w:t>קנות סדר הדין האזרחי, תשכ"ג</w:t>
      </w:r>
      <w:r w:rsidR="00A730E5">
        <w:rPr>
          <w:rStyle w:val="default"/>
          <w:rFonts w:cs="FrankRuehl" w:hint="cs"/>
          <w:rtl/>
        </w:rPr>
        <w:t>-</w:t>
      </w:r>
      <w:r>
        <w:rPr>
          <w:rStyle w:val="default"/>
          <w:rFonts w:cs="FrankRuehl" w:hint="cs"/>
          <w:rtl/>
        </w:rPr>
        <w:t>1963, יחולו בדיון בבית המשפט בענינים לפי הפקודה, במידה שאינן מנוגדות להוראות תקנות אלו ובשינויים המחוייבים לפי הענין.</w:t>
      </w:r>
    </w:p>
    <w:p w:rsidR="00A97CAD" w:rsidRDefault="00A97CAD">
      <w:pPr>
        <w:pStyle w:val="medium2-header"/>
        <w:keepLines w:val="0"/>
        <w:spacing w:before="72"/>
        <w:ind w:left="0" w:right="1134"/>
        <w:rPr>
          <w:noProof/>
          <w:sz w:val="20"/>
          <w:rtl/>
        </w:rPr>
      </w:pPr>
      <w:bookmarkStart w:id="38" w:name="med2"/>
      <w:bookmarkEnd w:id="38"/>
      <w:r>
        <w:rPr>
          <w:noProof/>
          <w:sz w:val="20"/>
          <w:rtl/>
        </w:rPr>
        <w:t>פ</w:t>
      </w:r>
      <w:r>
        <w:rPr>
          <w:rFonts w:hint="cs"/>
          <w:noProof/>
          <w:sz w:val="20"/>
          <w:rtl/>
        </w:rPr>
        <w:t>רק ג': אגרות</w:t>
      </w:r>
    </w:p>
    <w:p w:rsidR="00A97CAD" w:rsidRDefault="00A97CAD">
      <w:pPr>
        <w:pStyle w:val="P00"/>
        <w:spacing w:before="72"/>
        <w:ind w:left="0" w:right="1134"/>
        <w:rPr>
          <w:rStyle w:val="default"/>
          <w:rFonts w:cs="FrankRuehl"/>
          <w:rtl/>
        </w:rPr>
      </w:pPr>
      <w:bookmarkStart w:id="39" w:name="Seif37"/>
      <w:bookmarkEnd w:id="39"/>
      <w:r>
        <w:rPr>
          <w:lang w:val="he-IL"/>
        </w:rPr>
        <w:pict>
          <v:rect id="_x0000_s1062" style="position:absolute;left:0;text-align:left;margin-left:464.5pt;margin-top:8.05pt;width:75.05pt;height:10.35pt;z-index:251671040" o:allowincell="f" filled="f" stroked="f" strokecolor="lime" strokeweight=".25pt">
            <v:textbox style="mso-next-textbox:#_x0000_s1062" inset="0,0,0,0">
              <w:txbxContent>
                <w:p w:rsidR="00A97CAD" w:rsidRDefault="00A97CAD">
                  <w:pPr>
                    <w:spacing w:line="160" w:lineRule="exact"/>
                    <w:jc w:val="left"/>
                    <w:rPr>
                      <w:rFonts w:cs="Miriam"/>
                      <w:noProof/>
                      <w:szCs w:val="18"/>
                      <w:rtl/>
                    </w:rPr>
                  </w:pPr>
                  <w:r>
                    <w:rPr>
                      <w:rFonts w:cs="Miriam"/>
                      <w:szCs w:val="18"/>
                      <w:rtl/>
                    </w:rPr>
                    <w:t>ג</w:t>
                  </w:r>
                  <w:r>
                    <w:rPr>
                      <w:rFonts w:cs="Miriam" w:hint="cs"/>
                      <w:szCs w:val="18"/>
                      <w:rtl/>
                    </w:rPr>
                    <w:t>ביית אגרו</w:t>
                  </w:r>
                  <w:r>
                    <w:rPr>
                      <w:rFonts w:cs="Miriam"/>
                      <w:szCs w:val="18"/>
                      <w:rtl/>
                    </w:rPr>
                    <w:t>ת</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כפוף להוראות תקנה 38 ולכל חיקוק אחר בר-תוקף, יגבו בית המשפט, רשם בית המשפט או פקיד ההסדר את האגרות המפורטות בתוספת השניה לגבי הענינים המפורטים בה.</w:t>
      </w:r>
    </w:p>
    <w:p w:rsidR="00A97CAD" w:rsidRDefault="00A97CAD">
      <w:pPr>
        <w:pStyle w:val="P00"/>
        <w:spacing w:before="72"/>
        <w:ind w:left="0" w:right="1134"/>
        <w:rPr>
          <w:rStyle w:val="default"/>
          <w:rFonts w:cs="FrankRuehl"/>
          <w:rtl/>
        </w:rPr>
      </w:pPr>
      <w:bookmarkStart w:id="40" w:name="Seif38"/>
      <w:bookmarkEnd w:id="40"/>
      <w:r>
        <w:rPr>
          <w:lang w:val="he-IL"/>
        </w:rPr>
        <w:pict>
          <v:rect id="_x0000_s1063" style="position:absolute;left:0;text-align:left;margin-left:464.5pt;margin-top:8.05pt;width:75.05pt;height:16pt;z-index:251672064" o:allowincell="f" filled="f" stroked="f" strokecolor="lime" strokeweight=".25pt">
            <v:textbox style="mso-next-textbox:#_x0000_s1063" inset="0,0,0,0">
              <w:txbxContent>
                <w:p w:rsidR="00A97CAD" w:rsidRDefault="00A97CAD" w:rsidP="00A730E5">
                  <w:pPr>
                    <w:spacing w:line="160" w:lineRule="exact"/>
                    <w:jc w:val="left"/>
                    <w:rPr>
                      <w:rFonts w:cs="Miriam"/>
                      <w:noProof/>
                      <w:szCs w:val="18"/>
                      <w:rtl/>
                    </w:rPr>
                  </w:pPr>
                  <w:r>
                    <w:rPr>
                      <w:rFonts w:cs="Miriam"/>
                      <w:szCs w:val="18"/>
                      <w:rtl/>
                    </w:rPr>
                    <w:t>ס</w:t>
                  </w:r>
                  <w:r>
                    <w:rPr>
                      <w:rFonts w:cs="Miriam" w:hint="cs"/>
                      <w:szCs w:val="18"/>
                      <w:rtl/>
                    </w:rPr>
                    <w:t>מכות למח</w:t>
                  </w:r>
                  <w:r>
                    <w:rPr>
                      <w:rFonts w:cs="Miriam"/>
                      <w:szCs w:val="18"/>
                      <w:rtl/>
                    </w:rPr>
                    <w:t>ו</w:t>
                  </w:r>
                  <w:r>
                    <w:rPr>
                      <w:rFonts w:cs="Miriam" w:hint="cs"/>
                      <w:szCs w:val="18"/>
                      <w:rtl/>
                    </w:rPr>
                    <w:t>ל</w:t>
                  </w:r>
                  <w:r w:rsidR="00A730E5">
                    <w:rPr>
                      <w:rFonts w:cs="Miriam" w:hint="cs"/>
                      <w:szCs w:val="18"/>
                      <w:rtl/>
                    </w:rPr>
                    <w:t xml:space="preserve"> </w:t>
                  </w:r>
                  <w:r>
                    <w:rPr>
                      <w:rFonts w:cs="Miriam"/>
                      <w:szCs w:val="18"/>
                      <w:rtl/>
                    </w:rPr>
                    <w:t>א</w:t>
                  </w:r>
                  <w:r>
                    <w:rPr>
                      <w:rFonts w:cs="Miriam" w:hint="cs"/>
                      <w:szCs w:val="18"/>
                      <w:rtl/>
                    </w:rPr>
                    <w:t>גרות</w:t>
                  </w:r>
                </w:p>
              </w:txbxContent>
            </v:textbox>
            <w10:anchorlock/>
          </v:rect>
        </w:pict>
      </w:r>
      <w:r>
        <w:rPr>
          <w:rStyle w:val="big-number"/>
          <w:rtl/>
        </w:rPr>
        <w:t>38.</w:t>
      </w:r>
      <w:r>
        <w:rPr>
          <w:rStyle w:val="big-number"/>
          <w:rtl/>
        </w:rPr>
        <w:tab/>
      </w:r>
      <w:r>
        <w:rPr>
          <w:rStyle w:val="default"/>
          <w:rFonts w:cs="FrankRuehl"/>
          <w:rtl/>
        </w:rPr>
        <w:t>ב</w:t>
      </w:r>
      <w:r>
        <w:rPr>
          <w:rStyle w:val="default"/>
          <w:rFonts w:cs="FrankRuehl" w:hint="cs"/>
          <w:rtl/>
        </w:rPr>
        <w:t>ית המשפט, רשם בית המשפט או פקיד ההסדר רשאים למחול לפי ראות עיניהם, בכל מק</w:t>
      </w:r>
      <w:r>
        <w:rPr>
          <w:rStyle w:val="default"/>
          <w:rFonts w:cs="FrankRuehl"/>
          <w:rtl/>
        </w:rPr>
        <w:t>ר</w:t>
      </w:r>
      <w:r>
        <w:rPr>
          <w:rStyle w:val="default"/>
          <w:rFonts w:cs="FrankRuehl" w:hint="cs"/>
          <w:rtl/>
        </w:rPr>
        <w:t>ה של עוני או דוחק, תשלום אגרה שנקבעה בסימן א' לתוספת השניה, כולה או מקצתה.</w:t>
      </w:r>
    </w:p>
    <w:p w:rsidR="00A97CAD" w:rsidRDefault="00A97CAD" w:rsidP="00A730E5">
      <w:pPr>
        <w:pStyle w:val="P00"/>
        <w:spacing w:before="72"/>
        <w:ind w:left="0" w:right="1134"/>
        <w:rPr>
          <w:rStyle w:val="default"/>
          <w:rFonts w:cs="FrankRuehl" w:hint="cs"/>
          <w:rtl/>
        </w:rPr>
      </w:pPr>
      <w:r>
        <w:rPr>
          <w:lang w:val="he-IL"/>
        </w:rPr>
        <w:pict>
          <v:rect id="_x0000_s1064" style="position:absolute;left:0;text-align:left;margin-left:464.5pt;margin-top:8.05pt;width:75.05pt;height:11.7pt;z-index:251673088" o:allowincell="f" filled="f" stroked="f" strokecolor="lime" strokeweight=".25pt">
            <v:textbox style="mso-next-textbox:#_x0000_s1064" inset="0,0,0,0">
              <w:txbxContent>
                <w:p w:rsidR="00A97CAD" w:rsidRDefault="00A97CAD" w:rsidP="00A730E5">
                  <w:pPr>
                    <w:spacing w:line="160" w:lineRule="exact"/>
                    <w:jc w:val="left"/>
                    <w:rPr>
                      <w:rFonts w:cs="Miriam"/>
                      <w:noProof/>
                      <w:szCs w:val="18"/>
                      <w:rtl/>
                    </w:rPr>
                  </w:pPr>
                  <w:r>
                    <w:rPr>
                      <w:rFonts w:cs="Miriam"/>
                      <w:szCs w:val="18"/>
                      <w:rtl/>
                    </w:rPr>
                    <w:t>ת</w:t>
                  </w:r>
                  <w:r>
                    <w:rPr>
                      <w:rFonts w:cs="Miriam" w:hint="cs"/>
                      <w:szCs w:val="18"/>
                      <w:rtl/>
                    </w:rPr>
                    <w:t>ק' תשל"ח</w:t>
                  </w:r>
                  <w:r w:rsidR="00A730E5">
                    <w:rPr>
                      <w:rFonts w:cs="Miriam" w:hint="cs"/>
                      <w:szCs w:val="18"/>
                      <w:rtl/>
                    </w:rPr>
                    <w:t>-</w:t>
                  </w:r>
                  <w:r>
                    <w:rPr>
                      <w:rFonts w:cs="Miriam" w:hint="cs"/>
                      <w:szCs w:val="18"/>
                      <w:rtl/>
                    </w:rPr>
                    <w:t>1978</w:t>
                  </w:r>
                </w:p>
              </w:txbxContent>
            </v:textbox>
            <w10:anchorlock/>
          </v:rect>
        </w:pict>
      </w:r>
      <w:r>
        <w:rPr>
          <w:rStyle w:val="big-number"/>
          <w:rtl/>
        </w:rPr>
        <w:t>39.</w:t>
      </w:r>
      <w:r w:rsidR="00A730E5">
        <w:rPr>
          <w:rStyle w:val="default"/>
          <w:rFonts w:cs="FrankRuehl" w:hint="cs"/>
          <w:rtl/>
        </w:rPr>
        <w:tab/>
      </w:r>
      <w:r>
        <w:rPr>
          <w:rStyle w:val="default"/>
          <w:rFonts w:cs="FrankRuehl"/>
          <w:rtl/>
        </w:rPr>
        <w:t>(</w:t>
      </w:r>
      <w:r w:rsidR="00BF24CD">
        <w:rPr>
          <w:rStyle w:val="default"/>
          <w:rFonts w:cs="FrankRuehl" w:hint="cs"/>
          <w:rtl/>
        </w:rPr>
        <w:t>בוטל</w:t>
      </w:r>
      <w:r>
        <w:rPr>
          <w:rStyle w:val="default"/>
          <w:rFonts w:cs="FrankRuehl" w:hint="cs"/>
          <w:rtl/>
        </w:rPr>
        <w:t>).</w:t>
      </w:r>
    </w:p>
    <w:p w:rsidR="005A5FB4" w:rsidRPr="000B741F" w:rsidRDefault="005A5FB4" w:rsidP="005A5FB4">
      <w:pPr>
        <w:pStyle w:val="P00"/>
        <w:spacing w:before="0"/>
        <w:ind w:left="0" w:right="1134"/>
        <w:rPr>
          <w:rFonts w:hint="cs"/>
          <w:b/>
          <w:bCs/>
          <w:vanish/>
          <w:szCs w:val="20"/>
          <w:shd w:val="clear" w:color="auto" w:fill="FFFF99"/>
          <w:rtl/>
        </w:rPr>
      </w:pPr>
      <w:bookmarkStart w:id="41" w:name="Rov55"/>
      <w:r w:rsidRPr="000B741F">
        <w:rPr>
          <w:rFonts w:hint="cs"/>
          <w:vanish/>
          <w:color w:val="FF0000"/>
          <w:szCs w:val="20"/>
          <w:shd w:val="clear" w:color="auto" w:fill="FFFF99"/>
          <w:rtl/>
        </w:rPr>
        <w:t>מיום 14.8.1978</w:t>
      </w:r>
    </w:p>
    <w:p w:rsidR="005A5FB4" w:rsidRPr="000B741F" w:rsidRDefault="005A5FB4" w:rsidP="005A5FB4">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תק' תשל"ח-1978</w:t>
      </w:r>
    </w:p>
    <w:p w:rsidR="005A5FB4" w:rsidRPr="000B741F" w:rsidRDefault="005A5FB4" w:rsidP="005A5FB4">
      <w:pPr>
        <w:pStyle w:val="P00"/>
        <w:spacing w:before="0"/>
        <w:ind w:left="0" w:right="1134"/>
        <w:rPr>
          <w:rFonts w:hint="cs"/>
          <w:vanish/>
          <w:szCs w:val="20"/>
          <w:shd w:val="clear" w:color="auto" w:fill="FFFF99"/>
          <w:rtl/>
        </w:rPr>
      </w:pPr>
      <w:hyperlink r:id="rId6" w:history="1">
        <w:r w:rsidRPr="000B741F">
          <w:rPr>
            <w:rStyle w:val="Hyperlink"/>
            <w:rFonts w:hint="cs"/>
            <w:vanish/>
            <w:szCs w:val="20"/>
            <w:shd w:val="clear" w:color="auto" w:fill="FFFF99"/>
            <w:rtl/>
          </w:rPr>
          <w:t>ק"ת תשל"ח מס' 3881</w:t>
        </w:r>
      </w:hyperlink>
      <w:r w:rsidR="00B6788D" w:rsidRPr="000B741F">
        <w:rPr>
          <w:rFonts w:hint="cs"/>
          <w:vanish/>
          <w:szCs w:val="20"/>
          <w:shd w:val="clear" w:color="auto" w:fill="FFFF99"/>
          <w:rtl/>
        </w:rPr>
        <w:t xml:space="preserve"> מיום 14.8.1978 עמ' 1950</w:t>
      </w:r>
    </w:p>
    <w:p w:rsidR="005A5FB4" w:rsidRPr="000B741F" w:rsidRDefault="005A5FB4" w:rsidP="005A5FB4">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ביטול תקנה 39</w:t>
      </w:r>
    </w:p>
    <w:p w:rsidR="005A5FB4" w:rsidRPr="000B741F" w:rsidRDefault="005A5FB4" w:rsidP="005060EC">
      <w:pPr>
        <w:pStyle w:val="P00"/>
        <w:ind w:left="0" w:right="1134"/>
        <w:rPr>
          <w:rFonts w:hint="cs"/>
          <w:vanish/>
          <w:szCs w:val="20"/>
          <w:shd w:val="clear" w:color="auto" w:fill="FFFF99"/>
          <w:rtl/>
        </w:rPr>
      </w:pPr>
      <w:r w:rsidRPr="000B741F">
        <w:rPr>
          <w:rFonts w:hint="cs"/>
          <w:vanish/>
          <w:szCs w:val="20"/>
          <w:shd w:val="clear" w:color="auto" w:fill="FFFF99"/>
          <w:rtl/>
        </w:rPr>
        <w:t>הנוסח הקודם:</w:t>
      </w:r>
    </w:p>
    <w:p w:rsidR="005060EC" w:rsidRPr="000B741F" w:rsidRDefault="005060EC" w:rsidP="005060EC">
      <w:pPr>
        <w:pStyle w:val="P00"/>
        <w:spacing w:before="20"/>
        <w:ind w:left="0" w:right="1134"/>
        <w:rPr>
          <w:rFonts w:cs="Miriam" w:hint="cs"/>
          <w:strike/>
          <w:vanish/>
          <w:sz w:val="16"/>
          <w:szCs w:val="16"/>
          <w:shd w:val="clear" w:color="auto" w:fill="FFFF99"/>
          <w:rtl/>
        </w:rPr>
      </w:pPr>
      <w:r w:rsidRPr="000B741F">
        <w:rPr>
          <w:rFonts w:cs="Miriam" w:hint="cs"/>
          <w:strike/>
          <w:vanish/>
          <w:sz w:val="16"/>
          <w:szCs w:val="16"/>
          <w:shd w:val="clear" w:color="auto" w:fill="FFFF99"/>
          <w:rtl/>
        </w:rPr>
        <w:t>אגרה מדידה</w:t>
      </w:r>
    </w:p>
    <w:p w:rsidR="005A5FB4" w:rsidRPr="00E533B3" w:rsidRDefault="005A5FB4" w:rsidP="00E533B3">
      <w:pPr>
        <w:pStyle w:val="P00"/>
        <w:spacing w:before="0"/>
        <w:ind w:left="0" w:right="1134"/>
        <w:rPr>
          <w:rStyle w:val="default"/>
          <w:rFonts w:cs="FrankRuehl" w:hint="cs"/>
          <w:strike/>
          <w:sz w:val="2"/>
          <w:szCs w:val="2"/>
          <w:rtl/>
        </w:rPr>
      </w:pPr>
      <w:r w:rsidRPr="000B741F">
        <w:rPr>
          <w:rFonts w:hint="cs"/>
          <w:strike/>
          <w:vanish/>
          <w:sz w:val="22"/>
          <w:szCs w:val="22"/>
          <w:shd w:val="clear" w:color="auto" w:fill="FFFF99"/>
          <w:rtl/>
        </w:rPr>
        <w:t>39.</w:t>
      </w:r>
      <w:r w:rsidRPr="000B741F">
        <w:rPr>
          <w:rFonts w:hint="cs"/>
          <w:strike/>
          <w:vanish/>
          <w:sz w:val="22"/>
          <w:szCs w:val="22"/>
          <w:shd w:val="clear" w:color="auto" w:fill="FFFF99"/>
          <w:rtl/>
        </w:rPr>
        <w:tab/>
      </w:r>
      <w:r w:rsidR="005060EC" w:rsidRPr="000B741F">
        <w:rPr>
          <w:rStyle w:val="default"/>
          <w:rFonts w:cs="FrankRuehl" w:hint="cs"/>
          <w:strike/>
          <w:vanish/>
          <w:sz w:val="22"/>
          <w:szCs w:val="22"/>
          <w:shd w:val="clear" w:color="auto" w:fill="FFFF99"/>
          <w:rtl/>
        </w:rPr>
        <w:t>בעד מדידה של מקרקעין שנעשתה לצרכי הפקודה במקרקעין שאינם מקרקעי יעוד תיגבה אגרה בשיעור שנקבע בתוספת השלישית.</w:t>
      </w:r>
      <w:bookmarkEnd w:id="41"/>
    </w:p>
    <w:p w:rsidR="00BF24CD" w:rsidRDefault="005137EA" w:rsidP="0064519C">
      <w:pPr>
        <w:pStyle w:val="P00"/>
        <w:spacing w:before="72"/>
        <w:ind w:left="0" w:right="1134"/>
        <w:rPr>
          <w:rStyle w:val="default"/>
          <w:rFonts w:cs="FrankRuehl" w:hint="cs"/>
          <w:sz w:val="26"/>
          <w:rtl/>
        </w:rPr>
      </w:pPr>
      <w:r>
        <w:rPr>
          <w:rFonts w:cs="Miriam"/>
          <w:sz w:val="32"/>
          <w:szCs w:val="32"/>
          <w:rtl/>
          <w:lang w:eastAsia="en-US"/>
        </w:rPr>
        <w:pict>
          <v:shapetype id="_x0000_t202" coordsize="21600,21600" o:spt="202" path="m,l,21600r21600,l21600,xe">
            <v:stroke joinstyle="miter"/>
            <v:path gradientshapeok="t" o:connecttype="rect"/>
          </v:shapetype>
          <v:shape id="_x0000_s1072" type="#_x0000_t202" style="position:absolute;left:0;text-align:left;margin-left:470.25pt;margin-top:7.1pt;width:1in;height:14.3pt;z-index:251680256" filled="f" stroked="f">
            <v:textbox inset="1mm,0,1mm,0">
              <w:txbxContent>
                <w:p w:rsidR="005137EA" w:rsidRDefault="005137EA" w:rsidP="005137EA">
                  <w:pPr>
                    <w:spacing w:line="160" w:lineRule="exact"/>
                    <w:jc w:val="left"/>
                    <w:rPr>
                      <w:rFonts w:cs="Miriam"/>
                      <w:noProof/>
                      <w:szCs w:val="18"/>
                      <w:rtl/>
                    </w:rPr>
                  </w:pPr>
                  <w:r>
                    <w:rPr>
                      <w:rFonts w:cs="Miriam"/>
                      <w:szCs w:val="18"/>
                      <w:rtl/>
                    </w:rPr>
                    <w:t>ת</w:t>
                  </w:r>
                  <w:r>
                    <w:rPr>
                      <w:rFonts w:cs="Miriam" w:hint="cs"/>
                      <w:szCs w:val="18"/>
                      <w:rtl/>
                    </w:rPr>
                    <w:t>ק' תשל"ח-1978</w:t>
                  </w:r>
                </w:p>
              </w:txbxContent>
            </v:textbox>
          </v:shape>
        </w:pict>
      </w:r>
      <w:r w:rsidR="00BF24CD" w:rsidRPr="005137EA">
        <w:rPr>
          <w:rStyle w:val="default"/>
          <w:rFonts w:cs="Miriam" w:hint="cs"/>
          <w:sz w:val="32"/>
          <w:szCs w:val="32"/>
          <w:rtl/>
        </w:rPr>
        <w:t>40.</w:t>
      </w:r>
      <w:r w:rsidR="00BF24CD" w:rsidRPr="005137EA">
        <w:rPr>
          <w:rStyle w:val="default"/>
          <w:rFonts w:cs="FrankRuehl" w:hint="cs"/>
          <w:sz w:val="26"/>
          <w:rtl/>
        </w:rPr>
        <w:tab/>
        <w:t>(בוטל).</w:t>
      </w:r>
    </w:p>
    <w:p w:rsidR="0064519C" w:rsidRPr="000B741F" w:rsidRDefault="0064519C" w:rsidP="0064519C">
      <w:pPr>
        <w:pStyle w:val="P00"/>
        <w:spacing w:before="0"/>
        <w:ind w:left="0" w:right="1134"/>
        <w:rPr>
          <w:rFonts w:hint="cs"/>
          <w:b/>
          <w:bCs/>
          <w:vanish/>
          <w:szCs w:val="20"/>
          <w:shd w:val="clear" w:color="auto" w:fill="FFFF99"/>
          <w:rtl/>
        </w:rPr>
      </w:pPr>
      <w:bookmarkStart w:id="42" w:name="Rov56"/>
      <w:r w:rsidRPr="000B741F">
        <w:rPr>
          <w:rFonts w:hint="cs"/>
          <w:vanish/>
          <w:color w:val="FF0000"/>
          <w:szCs w:val="20"/>
          <w:shd w:val="clear" w:color="auto" w:fill="FFFF99"/>
          <w:rtl/>
        </w:rPr>
        <w:t>מיום 14.8.1978</w:t>
      </w:r>
    </w:p>
    <w:p w:rsidR="0064519C" w:rsidRPr="000B741F" w:rsidRDefault="0064519C" w:rsidP="0064519C">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תק' תשל"ח-1978</w:t>
      </w:r>
    </w:p>
    <w:p w:rsidR="0064519C" w:rsidRPr="000B741F" w:rsidRDefault="0064519C" w:rsidP="0064519C">
      <w:pPr>
        <w:pStyle w:val="P00"/>
        <w:spacing w:before="0"/>
        <w:ind w:left="0" w:right="1134"/>
        <w:rPr>
          <w:rFonts w:hint="cs"/>
          <w:vanish/>
          <w:szCs w:val="20"/>
          <w:shd w:val="clear" w:color="auto" w:fill="FFFF99"/>
          <w:rtl/>
        </w:rPr>
      </w:pPr>
      <w:hyperlink r:id="rId7" w:history="1">
        <w:r w:rsidRPr="000B741F">
          <w:rPr>
            <w:rStyle w:val="Hyperlink"/>
            <w:rFonts w:hint="cs"/>
            <w:vanish/>
            <w:szCs w:val="20"/>
            <w:shd w:val="clear" w:color="auto" w:fill="FFFF99"/>
            <w:rtl/>
          </w:rPr>
          <w:t>ק"ת תשל"ח מס' 3881</w:t>
        </w:r>
      </w:hyperlink>
      <w:r w:rsidRPr="000B741F">
        <w:rPr>
          <w:rFonts w:hint="cs"/>
          <w:vanish/>
          <w:szCs w:val="20"/>
          <w:shd w:val="clear" w:color="auto" w:fill="FFFF99"/>
          <w:rtl/>
        </w:rPr>
        <w:t xml:space="preserve"> מיום 14.8.1978 עמ' 1950</w:t>
      </w:r>
    </w:p>
    <w:p w:rsidR="00742748" w:rsidRPr="000B741F" w:rsidRDefault="0064519C" w:rsidP="00742748">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 xml:space="preserve">ביטול </w:t>
      </w:r>
      <w:r w:rsidR="00742748" w:rsidRPr="000B741F">
        <w:rPr>
          <w:rFonts w:hint="cs"/>
          <w:b/>
          <w:bCs/>
          <w:vanish/>
          <w:szCs w:val="20"/>
          <w:shd w:val="clear" w:color="auto" w:fill="FFFF99"/>
          <w:rtl/>
        </w:rPr>
        <w:t>תקנה 40</w:t>
      </w:r>
    </w:p>
    <w:p w:rsidR="00742748" w:rsidRPr="000B741F" w:rsidRDefault="00742748" w:rsidP="00742748">
      <w:pPr>
        <w:pStyle w:val="P00"/>
        <w:ind w:left="0" w:right="1134"/>
        <w:rPr>
          <w:rFonts w:hint="cs"/>
          <w:vanish/>
          <w:szCs w:val="20"/>
          <w:shd w:val="clear" w:color="auto" w:fill="FFFF99"/>
          <w:rtl/>
        </w:rPr>
      </w:pPr>
      <w:r w:rsidRPr="000B741F">
        <w:rPr>
          <w:rFonts w:hint="cs"/>
          <w:vanish/>
          <w:szCs w:val="20"/>
          <w:shd w:val="clear" w:color="auto" w:fill="FFFF99"/>
          <w:rtl/>
        </w:rPr>
        <w:t>הנוסח הקודם:</w:t>
      </w:r>
    </w:p>
    <w:p w:rsidR="00742748" w:rsidRPr="000B741F" w:rsidRDefault="00742748" w:rsidP="00742748">
      <w:pPr>
        <w:pStyle w:val="P00"/>
        <w:spacing w:before="20"/>
        <w:ind w:left="0" w:right="1134"/>
        <w:rPr>
          <w:rFonts w:cs="Miriam" w:hint="cs"/>
          <w:strike/>
          <w:vanish/>
          <w:sz w:val="16"/>
          <w:szCs w:val="16"/>
          <w:shd w:val="clear" w:color="auto" w:fill="FFFF99"/>
          <w:rtl/>
        </w:rPr>
      </w:pPr>
      <w:r w:rsidRPr="000B741F">
        <w:rPr>
          <w:rFonts w:cs="Miriam" w:hint="cs"/>
          <w:strike/>
          <w:vanish/>
          <w:sz w:val="16"/>
          <w:szCs w:val="16"/>
          <w:shd w:val="clear" w:color="auto" w:fill="FFFF99"/>
          <w:rtl/>
        </w:rPr>
        <w:t>מועד התשלום</w:t>
      </w:r>
    </w:p>
    <w:p w:rsidR="00742748" w:rsidRPr="000B741F" w:rsidRDefault="00742748" w:rsidP="00742748">
      <w:pPr>
        <w:pStyle w:val="P00"/>
        <w:spacing w:before="0"/>
        <w:ind w:left="0" w:right="1134"/>
        <w:rPr>
          <w:rFonts w:hint="cs"/>
          <w:strike/>
          <w:vanish/>
          <w:sz w:val="22"/>
          <w:szCs w:val="22"/>
          <w:shd w:val="clear" w:color="auto" w:fill="FFFF99"/>
          <w:rtl/>
        </w:rPr>
      </w:pPr>
      <w:r w:rsidRPr="000B741F">
        <w:rPr>
          <w:rFonts w:hint="cs"/>
          <w:strike/>
          <w:vanish/>
          <w:sz w:val="22"/>
          <w:szCs w:val="22"/>
          <w:shd w:val="clear" w:color="auto" w:fill="FFFF99"/>
          <w:rtl/>
        </w:rPr>
        <w:t>40.</w:t>
      </w:r>
      <w:r w:rsidRPr="000B741F">
        <w:rPr>
          <w:rFonts w:hint="cs"/>
          <w:strike/>
          <w:vanish/>
          <w:sz w:val="22"/>
          <w:szCs w:val="22"/>
          <w:shd w:val="clear" w:color="auto" w:fill="FFFF99"/>
          <w:rtl/>
        </w:rPr>
        <w:tab/>
        <w:t>(א)</w:t>
      </w:r>
      <w:r w:rsidRPr="000B741F">
        <w:rPr>
          <w:rFonts w:hint="cs"/>
          <w:strike/>
          <w:vanish/>
          <w:sz w:val="22"/>
          <w:szCs w:val="22"/>
          <w:shd w:val="clear" w:color="auto" w:fill="FFFF99"/>
          <w:rtl/>
        </w:rPr>
        <w:tab/>
        <w:t>אגרה לפי תקנה 39 ישלם בעל המקרקעין תוך ששה חדשים מיום שהוצג לוח הזכויות לפי הפקודה.</w:t>
      </w:r>
    </w:p>
    <w:p w:rsidR="00742748" w:rsidRPr="00E533B3" w:rsidRDefault="00742748" w:rsidP="00E533B3">
      <w:pPr>
        <w:pStyle w:val="P00"/>
        <w:spacing w:before="0"/>
        <w:ind w:left="0" w:right="1134"/>
        <w:rPr>
          <w:rFonts w:hint="cs"/>
          <w:strike/>
          <w:sz w:val="2"/>
          <w:szCs w:val="2"/>
          <w:rtl/>
        </w:rPr>
      </w:pPr>
      <w:r w:rsidRPr="000B741F">
        <w:rPr>
          <w:rFonts w:hint="cs"/>
          <w:vanish/>
          <w:sz w:val="22"/>
          <w:szCs w:val="22"/>
          <w:shd w:val="clear" w:color="auto" w:fill="FFFF99"/>
          <w:rtl/>
        </w:rPr>
        <w:tab/>
      </w:r>
      <w:r w:rsidRPr="000B741F">
        <w:rPr>
          <w:rFonts w:hint="cs"/>
          <w:strike/>
          <w:vanish/>
          <w:sz w:val="22"/>
          <w:szCs w:val="22"/>
          <w:shd w:val="clear" w:color="auto" w:fill="FFFF99"/>
          <w:rtl/>
        </w:rPr>
        <w:t>(ב)</w:t>
      </w:r>
      <w:r w:rsidRPr="000B741F">
        <w:rPr>
          <w:rFonts w:hint="cs"/>
          <w:strike/>
          <w:vanish/>
          <w:sz w:val="22"/>
          <w:szCs w:val="22"/>
          <w:shd w:val="clear" w:color="auto" w:fill="FFFF99"/>
          <w:rtl/>
        </w:rPr>
        <w:tab/>
        <w:t>לא שולמה האגרה תוך התקופה האמורה, יווסף עליה סכום של עשרים אחוזים מאותה אגרה.</w:t>
      </w:r>
      <w:bookmarkEnd w:id="42"/>
    </w:p>
    <w:p w:rsidR="00742748" w:rsidRDefault="005137EA" w:rsidP="00742748">
      <w:pPr>
        <w:pStyle w:val="P00"/>
        <w:spacing w:before="72"/>
        <w:ind w:left="0" w:right="1134"/>
        <w:rPr>
          <w:rStyle w:val="default"/>
          <w:rFonts w:cs="FrankRuehl" w:hint="cs"/>
          <w:sz w:val="26"/>
          <w:rtl/>
        </w:rPr>
      </w:pPr>
      <w:r>
        <w:rPr>
          <w:rFonts w:cs="Miriam"/>
          <w:sz w:val="32"/>
          <w:szCs w:val="32"/>
          <w:rtl/>
          <w:lang w:eastAsia="en-US"/>
        </w:rPr>
        <w:pict>
          <v:shape id="_x0000_s1073" type="#_x0000_t202" style="position:absolute;left:0;text-align:left;margin-left:470.25pt;margin-top:7.1pt;width:1in;height:11.2pt;z-index:251681280" filled="f" stroked="f">
            <v:textbox inset="1mm,0,1mm,0">
              <w:txbxContent>
                <w:p w:rsidR="005137EA" w:rsidRDefault="005137EA" w:rsidP="005137EA">
                  <w:pPr>
                    <w:spacing w:line="160" w:lineRule="exact"/>
                    <w:jc w:val="left"/>
                    <w:rPr>
                      <w:rFonts w:cs="Miriam"/>
                      <w:noProof/>
                      <w:szCs w:val="18"/>
                      <w:rtl/>
                    </w:rPr>
                  </w:pPr>
                  <w:r>
                    <w:rPr>
                      <w:rFonts w:cs="Miriam"/>
                      <w:szCs w:val="18"/>
                      <w:rtl/>
                    </w:rPr>
                    <w:t>ת</w:t>
                  </w:r>
                  <w:r>
                    <w:rPr>
                      <w:rFonts w:cs="Miriam" w:hint="cs"/>
                      <w:szCs w:val="18"/>
                      <w:rtl/>
                    </w:rPr>
                    <w:t>ק' תשל"ח-1978</w:t>
                  </w:r>
                </w:p>
              </w:txbxContent>
            </v:textbox>
          </v:shape>
        </w:pict>
      </w:r>
      <w:r w:rsidR="00742748" w:rsidRPr="005137EA">
        <w:rPr>
          <w:rStyle w:val="default"/>
          <w:rFonts w:cs="Miriam" w:hint="cs"/>
          <w:sz w:val="32"/>
          <w:szCs w:val="32"/>
          <w:rtl/>
        </w:rPr>
        <w:t>41.</w:t>
      </w:r>
      <w:r w:rsidR="00742748" w:rsidRPr="005137EA">
        <w:rPr>
          <w:rStyle w:val="default"/>
          <w:rFonts w:cs="FrankRuehl" w:hint="cs"/>
          <w:sz w:val="26"/>
          <w:rtl/>
        </w:rPr>
        <w:tab/>
        <w:t>(בוטל).</w:t>
      </w:r>
    </w:p>
    <w:p w:rsidR="00742748" w:rsidRPr="000B741F" w:rsidRDefault="00742748" w:rsidP="00742748">
      <w:pPr>
        <w:pStyle w:val="P00"/>
        <w:spacing w:before="0"/>
        <w:ind w:left="0" w:right="1134"/>
        <w:rPr>
          <w:rFonts w:hint="cs"/>
          <w:b/>
          <w:bCs/>
          <w:vanish/>
          <w:szCs w:val="20"/>
          <w:shd w:val="clear" w:color="auto" w:fill="FFFF99"/>
          <w:rtl/>
        </w:rPr>
      </w:pPr>
      <w:bookmarkStart w:id="43" w:name="Rov57"/>
      <w:r w:rsidRPr="000B741F">
        <w:rPr>
          <w:rFonts w:hint="cs"/>
          <w:vanish/>
          <w:color w:val="FF0000"/>
          <w:szCs w:val="20"/>
          <w:shd w:val="clear" w:color="auto" w:fill="FFFF99"/>
          <w:rtl/>
        </w:rPr>
        <w:t>מיום 14.8.1978</w:t>
      </w:r>
    </w:p>
    <w:p w:rsidR="00742748" w:rsidRPr="000B741F" w:rsidRDefault="00742748" w:rsidP="00742748">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תק' תשל"ח-1978</w:t>
      </w:r>
    </w:p>
    <w:p w:rsidR="00742748" w:rsidRPr="000B741F" w:rsidRDefault="00742748" w:rsidP="00742748">
      <w:pPr>
        <w:pStyle w:val="P00"/>
        <w:spacing w:before="0"/>
        <w:ind w:left="0" w:right="1134"/>
        <w:rPr>
          <w:rFonts w:hint="cs"/>
          <w:vanish/>
          <w:szCs w:val="20"/>
          <w:shd w:val="clear" w:color="auto" w:fill="FFFF99"/>
          <w:rtl/>
        </w:rPr>
      </w:pPr>
      <w:hyperlink r:id="rId8" w:history="1">
        <w:r w:rsidRPr="000B741F">
          <w:rPr>
            <w:rStyle w:val="Hyperlink"/>
            <w:rFonts w:hint="cs"/>
            <w:vanish/>
            <w:szCs w:val="20"/>
            <w:shd w:val="clear" w:color="auto" w:fill="FFFF99"/>
            <w:rtl/>
          </w:rPr>
          <w:t>ק"ת תשל"ח מס' 3881</w:t>
        </w:r>
      </w:hyperlink>
      <w:r w:rsidRPr="000B741F">
        <w:rPr>
          <w:rFonts w:hint="cs"/>
          <w:vanish/>
          <w:szCs w:val="20"/>
          <w:shd w:val="clear" w:color="auto" w:fill="FFFF99"/>
          <w:rtl/>
        </w:rPr>
        <w:t xml:space="preserve"> מיום 14.8.1978 עמ' 1950</w:t>
      </w:r>
    </w:p>
    <w:p w:rsidR="00742748" w:rsidRPr="000B741F" w:rsidRDefault="00742748" w:rsidP="00742748">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ביטול תקנה 41</w:t>
      </w:r>
    </w:p>
    <w:p w:rsidR="00742748" w:rsidRPr="000B741F" w:rsidRDefault="00742748" w:rsidP="00742748">
      <w:pPr>
        <w:pStyle w:val="P00"/>
        <w:ind w:left="0" w:right="1134"/>
        <w:rPr>
          <w:rFonts w:hint="cs"/>
          <w:vanish/>
          <w:szCs w:val="20"/>
          <w:shd w:val="clear" w:color="auto" w:fill="FFFF99"/>
          <w:rtl/>
        </w:rPr>
      </w:pPr>
      <w:r w:rsidRPr="000B741F">
        <w:rPr>
          <w:rFonts w:hint="cs"/>
          <w:vanish/>
          <w:szCs w:val="20"/>
          <w:shd w:val="clear" w:color="auto" w:fill="FFFF99"/>
          <w:rtl/>
        </w:rPr>
        <w:t>הנוסח הקודם:</w:t>
      </w:r>
    </w:p>
    <w:p w:rsidR="00742748" w:rsidRPr="000B741F" w:rsidRDefault="00742748" w:rsidP="00742748">
      <w:pPr>
        <w:pStyle w:val="P00"/>
        <w:spacing w:before="20"/>
        <w:ind w:left="0" w:right="1134"/>
        <w:rPr>
          <w:rFonts w:cs="Miriam" w:hint="cs"/>
          <w:strike/>
          <w:vanish/>
          <w:sz w:val="16"/>
          <w:szCs w:val="16"/>
          <w:shd w:val="clear" w:color="auto" w:fill="FFFF99"/>
          <w:rtl/>
        </w:rPr>
      </w:pPr>
      <w:r w:rsidRPr="000B741F">
        <w:rPr>
          <w:rFonts w:cs="Miriam" w:hint="cs"/>
          <w:strike/>
          <w:vanish/>
          <w:sz w:val="16"/>
          <w:szCs w:val="16"/>
          <w:shd w:val="clear" w:color="auto" w:fill="FFFF99"/>
          <w:rtl/>
        </w:rPr>
        <w:t>פטור מאגרת מדידה</w:t>
      </w:r>
    </w:p>
    <w:p w:rsidR="00742748" w:rsidRPr="00E533B3" w:rsidRDefault="00742748" w:rsidP="00E533B3">
      <w:pPr>
        <w:pStyle w:val="P00"/>
        <w:spacing w:before="0"/>
        <w:ind w:left="0" w:right="1134"/>
        <w:rPr>
          <w:rFonts w:hint="cs"/>
          <w:strike/>
          <w:sz w:val="2"/>
          <w:szCs w:val="2"/>
          <w:rtl/>
        </w:rPr>
      </w:pPr>
      <w:r w:rsidRPr="000B741F">
        <w:rPr>
          <w:rFonts w:hint="cs"/>
          <w:strike/>
          <w:vanish/>
          <w:sz w:val="22"/>
          <w:szCs w:val="22"/>
          <w:shd w:val="clear" w:color="auto" w:fill="FFFF99"/>
          <w:rtl/>
        </w:rPr>
        <w:t>41.</w:t>
      </w:r>
      <w:r w:rsidRPr="000B741F">
        <w:rPr>
          <w:rFonts w:hint="cs"/>
          <w:strike/>
          <w:vanish/>
          <w:sz w:val="22"/>
          <w:szCs w:val="22"/>
          <w:shd w:val="clear" w:color="auto" w:fill="FFFF99"/>
          <w:rtl/>
        </w:rPr>
        <w:tab/>
        <w:t>פקיד ההסדר רשאי לפטור בעל מקרקעין מתשלום אגרה לפי תקנה 39, כולה או מקצתה, אם הוכח להנחת דעתו כי אותו בעל שילם את הוצאות מדידת המקרקעין שנעשתה שלא לצרכי הפקודה ואותה מדידה היה בה כדי לייתר מדידה לצורך הפקודה, כולה או מקצתה.</w:t>
      </w:r>
      <w:bookmarkEnd w:id="43"/>
    </w:p>
    <w:p w:rsidR="00A97CAD" w:rsidRDefault="00A97CAD">
      <w:pPr>
        <w:pStyle w:val="medium2-header"/>
        <w:keepLines w:val="0"/>
        <w:spacing w:before="72"/>
        <w:ind w:left="0" w:right="1134"/>
        <w:rPr>
          <w:noProof/>
          <w:sz w:val="20"/>
          <w:rtl/>
        </w:rPr>
      </w:pPr>
      <w:bookmarkStart w:id="44" w:name="med3"/>
      <w:bookmarkEnd w:id="44"/>
      <w:r>
        <w:rPr>
          <w:noProof/>
          <w:sz w:val="20"/>
          <w:rtl/>
        </w:rPr>
        <w:t>פ</w:t>
      </w:r>
      <w:r>
        <w:rPr>
          <w:rFonts w:hint="cs"/>
          <w:noProof/>
          <w:sz w:val="20"/>
          <w:rtl/>
        </w:rPr>
        <w:t>רק ד': הוראות שונות</w:t>
      </w:r>
    </w:p>
    <w:p w:rsidR="00A97CAD" w:rsidRDefault="00A97CAD">
      <w:pPr>
        <w:pStyle w:val="P00"/>
        <w:spacing w:before="72"/>
        <w:ind w:left="0" w:right="1134"/>
        <w:rPr>
          <w:rStyle w:val="default"/>
          <w:rFonts w:cs="FrankRuehl"/>
          <w:rtl/>
        </w:rPr>
      </w:pPr>
      <w:bookmarkStart w:id="45" w:name="Seif39"/>
      <w:bookmarkEnd w:id="45"/>
      <w:r>
        <w:rPr>
          <w:lang w:val="he-IL"/>
        </w:rPr>
        <w:pict>
          <v:rect id="_x0000_s1065" style="position:absolute;left:0;text-align:left;margin-left:464.5pt;margin-top:8.05pt;width:75.05pt;height:14.45pt;z-index:251674112" o:allowincell="f" filled="f" stroked="f" strokecolor="lime" strokeweight=".25pt">
            <v:textbox style="mso-next-textbox:#_x0000_s1065" inset="0,0,0,0">
              <w:txbxContent>
                <w:p w:rsidR="00A97CAD" w:rsidRDefault="00A97CA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42.</w:t>
      </w:r>
      <w:r>
        <w:rPr>
          <w:rStyle w:val="big-number"/>
          <w:rtl/>
        </w:rPr>
        <w:tab/>
      </w:r>
      <w:r>
        <w:rPr>
          <w:rStyle w:val="default"/>
          <w:rFonts w:cs="FrankRuehl"/>
          <w:rtl/>
        </w:rPr>
        <w:t>ת</w:t>
      </w:r>
      <w:r>
        <w:rPr>
          <w:rStyle w:val="default"/>
          <w:rFonts w:cs="FrankRuehl" w:hint="cs"/>
          <w:rtl/>
        </w:rPr>
        <w:t>חילתן של תקנות אלה ביום השלושים לאחר פרסומן.</w:t>
      </w:r>
    </w:p>
    <w:p w:rsidR="00A97CAD" w:rsidRDefault="00A97CAD">
      <w:pPr>
        <w:pStyle w:val="P00"/>
        <w:spacing w:before="72"/>
        <w:ind w:left="0" w:right="1134"/>
        <w:rPr>
          <w:rStyle w:val="default"/>
          <w:rFonts w:cs="FrankRuehl" w:hint="cs"/>
          <w:rtl/>
        </w:rPr>
      </w:pPr>
      <w:bookmarkStart w:id="46" w:name="Seif40"/>
      <w:bookmarkEnd w:id="46"/>
      <w:r>
        <w:rPr>
          <w:lang w:val="he-IL"/>
        </w:rPr>
        <w:pict>
          <v:rect id="_x0000_s1066" style="position:absolute;left:0;text-align:left;margin-left:464.5pt;margin-top:8.05pt;width:75.05pt;height:11.35pt;z-index:251675136" o:allowincell="f" filled="f" stroked="f" strokecolor="lime" strokeweight=".25pt">
            <v:textbox style="mso-next-textbox:#_x0000_s1066" inset="0,0,0,0">
              <w:txbxContent>
                <w:p w:rsidR="00A97CAD" w:rsidRDefault="00A97CAD">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43.</w:t>
      </w:r>
      <w:r>
        <w:rPr>
          <w:rStyle w:val="big-number"/>
          <w:rtl/>
        </w:rPr>
        <w:tab/>
      </w:r>
      <w:r>
        <w:rPr>
          <w:rStyle w:val="default"/>
          <w:rFonts w:cs="FrankRuehl"/>
          <w:rtl/>
        </w:rPr>
        <w:t>ב</w:t>
      </w:r>
      <w:r>
        <w:rPr>
          <w:rStyle w:val="default"/>
          <w:rFonts w:cs="FrankRuehl" w:hint="cs"/>
          <w:rtl/>
        </w:rPr>
        <w:t xml:space="preserve">טלים </w:t>
      </w:r>
      <w:r w:rsidR="005137EA">
        <w:rPr>
          <w:rStyle w:val="default"/>
          <w:rFonts w:cs="FrankRuehl"/>
          <w:rtl/>
        </w:rPr>
        <w:t>–</w:t>
      </w:r>
    </w:p>
    <w:p w:rsidR="00A97CAD" w:rsidRDefault="00A97CAD" w:rsidP="000B741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סידור זכות הקנין;</w:t>
      </w:r>
    </w:p>
    <w:p w:rsidR="00A97CAD" w:rsidRDefault="00A97CAD" w:rsidP="000B741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סידור זכות הקנין בקרקעות (סדרי דין), תשכ"א</w:t>
      </w:r>
      <w:r w:rsidR="005137EA">
        <w:rPr>
          <w:rStyle w:val="default"/>
          <w:rFonts w:cs="FrankRuehl" w:hint="cs"/>
          <w:rtl/>
        </w:rPr>
        <w:t>-</w:t>
      </w:r>
      <w:r>
        <w:rPr>
          <w:rStyle w:val="default"/>
          <w:rFonts w:cs="FrankRuehl" w:hint="cs"/>
          <w:rtl/>
        </w:rPr>
        <w:t>1961;</w:t>
      </w:r>
    </w:p>
    <w:p w:rsidR="00A97CAD" w:rsidRDefault="00A97CAD" w:rsidP="000B741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צו הקרקעות (סידור זכות הקנין) (אגרות), 1945;</w:t>
      </w:r>
    </w:p>
    <w:p w:rsidR="00A97CAD" w:rsidRDefault="00A97CAD" w:rsidP="000B741F">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צו הסדר זכויות במקרקעין (אגרות מדידה), תש"ל</w:t>
      </w:r>
      <w:r w:rsidR="005137EA">
        <w:rPr>
          <w:rStyle w:val="default"/>
          <w:rFonts w:cs="FrankRuehl" w:hint="cs"/>
          <w:rtl/>
        </w:rPr>
        <w:t>-</w:t>
      </w:r>
      <w:r>
        <w:rPr>
          <w:rStyle w:val="default"/>
          <w:rFonts w:cs="FrankRuehl" w:hint="cs"/>
          <w:rtl/>
        </w:rPr>
        <w:t>1970.</w:t>
      </w:r>
    </w:p>
    <w:p w:rsidR="00A97CAD" w:rsidRDefault="00A97CAD" w:rsidP="005137EA">
      <w:pPr>
        <w:pStyle w:val="P00"/>
        <w:spacing w:before="72"/>
        <w:ind w:left="0" w:right="1134"/>
        <w:rPr>
          <w:rStyle w:val="default"/>
          <w:rFonts w:cs="FrankRuehl" w:hint="cs"/>
          <w:rtl/>
        </w:rPr>
      </w:pPr>
      <w:bookmarkStart w:id="47" w:name="Seif41"/>
      <w:bookmarkEnd w:id="47"/>
      <w:r>
        <w:rPr>
          <w:lang w:val="he-IL"/>
        </w:rPr>
        <w:pict>
          <v:rect id="_x0000_s1067" style="position:absolute;left:0;text-align:left;margin-left:464.5pt;margin-top:8.05pt;width:75.05pt;height:14.6pt;z-index:251676160" o:allowincell="f" filled="f" stroked="f" strokecolor="lime" strokeweight=".25pt">
            <v:textbox style="mso-next-textbox:#_x0000_s1067" inset="0,0,0,0">
              <w:txbxContent>
                <w:p w:rsidR="00A97CAD" w:rsidRDefault="00A97CAD">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tl/>
        </w:rPr>
        <w:t>44.</w:t>
      </w:r>
      <w:r>
        <w:rPr>
          <w:rStyle w:val="big-number"/>
          <w:rtl/>
        </w:rPr>
        <w:tab/>
      </w:r>
      <w:r>
        <w:rPr>
          <w:rStyle w:val="default"/>
          <w:rFonts w:cs="FrankRuehl"/>
          <w:rtl/>
        </w:rPr>
        <w:t>ל</w:t>
      </w:r>
      <w:r>
        <w:rPr>
          <w:rStyle w:val="default"/>
          <w:rFonts w:cs="FrankRuehl" w:hint="cs"/>
          <w:rtl/>
        </w:rPr>
        <w:t>תקנות אלה ייקרא תקנות הסדר זכויות במקרקעין (הליכי הסדר וסדרי דין)</w:t>
      </w:r>
      <w:r>
        <w:rPr>
          <w:rStyle w:val="default"/>
          <w:rFonts w:cs="FrankRuehl"/>
          <w:rtl/>
        </w:rPr>
        <w:t xml:space="preserve">, </w:t>
      </w:r>
      <w:r>
        <w:rPr>
          <w:rStyle w:val="default"/>
          <w:rFonts w:cs="FrankRuehl" w:hint="cs"/>
          <w:rtl/>
        </w:rPr>
        <w:t>תשל"ג</w:t>
      </w:r>
      <w:r w:rsidR="005137EA">
        <w:rPr>
          <w:rStyle w:val="default"/>
          <w:rFonts w:cs="FrankRuehl" w:hint="cs"/>
          <w:rtl/>
        </w:rPr>
        <w:t>-</w:t>
      </w:r>
      <w:r>
        <w:rPr>
          <w:rStyle w:val="default"/>
          <w:rFonts w:cs="FrankRuehl" w:hint="cs"/>
          <w:rtl/>
        </w:rPr>
        <w:t>1972".</w:t>
      </w:r>
    </w:p>
    <w:p w:rsidR="00A730E5" w:rsidRDefault="00A730E5">
      <w:pPr>
        <w:pStyle w:val="P00"/>
        <w:spacing w:before="72"/>
        <w:ind w:left="0" w:right="1134"/>
        <w:rPr>
          <w:rStyle w:val="default"/>
          <w:rFonts w:cs="FrankRuehl"/>
          <w:rtl/>
        </w:rPr>
      </w:pPr>
    </w:p>
    <w:p w:rsidR="00A97CAD" w:rsidRPr="000B741F" w:rsidRDefault="00A97CAD">
      <w:pPr>
        <w:pStyle w:val="medium2-header"/>
        <w:keepLines w:val="0"/>
        <w:spacing w:before="72"/>
        <w:ind w:left="0" w:right="1134"/>
        <w:rPr>
          <w:rFonts w:hint="cs"/>
          <w:noProof/>
          <w:rtl/>
        </w:rPr>
      </w:pPr>
      <w:bookmarkStart w:id="48" w:name="med4"/>
      <w:bookmarkEnd w:id="48"/>
      <w:r w:rsidRPr="000B741F">
        <w:rPr>
          <w:noProof/>
          <w:rtl/>
        </w:rPr>
        <w:t>ת</w:t>
      </w:r>
      <w:r w:rsidRPr="000B741F">
        <w:rPr>
          <w:rFonts w:hint="cs"/>
          <w:noProof/>
          <w:rtl/>
        </w:rPr>
        <w:t>וספת ראשונה</w:t>
      </w:r>
    </w:p>
    <w:p w:rsidR="005137EA" w:rsidRPr="000B741F" w:rsidRDefault="005137EA" w:rsidP="000B741F">
      <w:pPr>
        <w:pStyle w:val="P00"/>
        <w:spacing w:before="72"/>
        <w:ind w:left="0" w:right="1134"/>
        <w:jc w:val="center"/>
        <w:rPr>
          <w:rStyle w:val="default"/>
          <w:rFonts w:cs="FrankRuehl" w:hint="cs"/>
          <w:sz w:val="24"/>
          <w:szCs w:val="24"/>
          <w:rtl/>
        </w:rPr>
      </w:pPr>
      <w:r w:rsidRPr="000B741F">
        <w:rPr>
          <w:rStyle w:val="default"/>
          <w:rFonts w:cs="FrankRuehl" w:hint="cs"/>
          <w:sz w:val="24"/>
          <w:szCs w:val="24"/>
          <w:rtl/>
        </w:rPr>
        <w:t>(הושמטה)</w:t>
      </w:r>
    </w:p>
    <w:p w:rsidR="00A97CAD" w:rsidRPr="005137EA" w:rsidRDefault="00A97CAD" w:rsidP="005137EA">
      <w:pPr>
        <w:pStyle w:val="P00"/>
        <w:spacing w:before="72"/>
        <w:ind w:left="0" w:right="1134"/>
        <w:rPr>
          <w:rStyle w:val="default"/>
          <w:rFonts w:cs="FrankRuehl"/>
          <w:rtl/>
        </w:rPr>
      </w:pPr>
    </w:p>
    <w:p w:rsidR="00A97CAD" w:rsidRPr="000B741F" w:rsidRDefault="00A97CAD">
      <w:pPr>
        <w:pStyle w:val="medium2-header"/>
        <w:keepLines w:val="0"/>
        <w:spacing w:before="72"/>
        <w:ind w:left="0" w:right="1134"/>
        <w:rPr>
          <w:noProof/>
          <w:rtl/>
        </w:rPr>
      </w:pPr>
      <w:bookmarkStart w:id="49" w:name="med5"/>
      <w:bookmarkEnd w:id="49"/>
      <w:r w:rsidRPr="000B741F">
        <w:rPr>
          <w:noProof/>
          <w:lang w:val="he-IL"/>
        </w:rPr>
        <w:pict>
          <v:rect id="_x0000_s1069" style="position:absolute;left:0;text-align:left;margin-left:464.5pt;margin-top:8.05pt;width:75.05pt;height:11.1pt;z-index:251677184" o:allowincell="f" filled="f" stroked="f" strokecolor="lime" strokeweight=".25pt">
            <v:textbox style="mso-next-textbox:#_x0000_s1069" inset="0,0,0,0">
              <w:txbxContent>
                <w:p w:rsidR="00A97CAD" w:rsidRPr="00A730E5" w:rsidRDefault="00A97CAD">
                  <w:pPr>
                    <w:spacing w:line="160" w:lineRule="exact"/>
                    <w:jc w:val="left"/>
                    <w:rPr>
                      <w:rFonts w:cs="Miriam" w:hint="cs"/>
                      <w:b/>
                      <w:noProof/>
                      <w:szCs w:val="18"/>
                      <w:rtl/>
                    </w:rPr>
                  </w:pPr>
                  <w:r w:rsidRPr="00A730E5">
                    <w:rPr>
                      <w:rFonts w:cs="Miriam"/>
                      <w:b/>
                      <w:sz w:val="20"/>
                      <w:szCs w:val="18"/>
                      <w:rtl/>
                    </w:rPr>
                    <w:t>ת</w:t>
                  </w:r>
                  <w:r w:rsidRPr="00A730E5">
                    <w:rPr>
                      <w:rFonts w:cs="Miriam" w:hint="cs"/>
                      <w:b/>
                      <w:sz w:val="20"/>
                      <w:szCs w:val="18"/>
                      <w:rtl/>
                    </w:rPr>
                    <w:t>ק'</w:t>
                  </w:r>
                  <w:r w:rsidR="00A730E5">
                    <w:rPr>
                      <w:rFonts w:cs="Miriam" w:hint="cs"/>
                      <w:b/>
                      <w:sz w:val="20"/>
                      <w:szCs w:val="18"/>
                      <w:rtl/>
                    </w:rPr>
                    <w:t xml:space="preserve"> </w:t>
                  </w:r>
                  <w:r w:rsidRPr="00A730E5">
                    <w:rPr>
                      <w:rFonts w:cs="Miriam" w:hint="cs"/>
                      <w:b/>
                      <w:sz w:val="20"/>
                      <w:szCs w:val="18"/>
                      <w:rtl/>
                    </w:rPr>
                    <w:t>תשמ"ב</w:t>
                  </w:r>
                  <w:r w:rsidR="00A730E5">
                    <w:rPr>
                      <w:rFonts w:cs="Miriam" w:hint="cs"/>
                      <w:b/>
                      <w:sz w:val="20"/>
                      <w:szCs w:val="18"/>
                      <w:rtl/>
                    </w:rPr>
                    <w:t>-</w:t>
                  </w:r>
                  <w:r w:rsidRPr="00A730E5">
                    <w:rPr>
                      <w:rFonts w:cs="Miriam" w:hint="cs"/>
                      <w:b/>
                      <w:sz w:val="20"/>
                      <w:szCs w:val="18"/>
                      <w:rtl/>
                    </w:rPr>
                    <w:t>198</w:t>
                  </w:r>
                  <w:r w:rsidR="00A730E5">
                    <w:rPr>
                      <w:rFonts w:cs="Miriam"/>
                      <w:b/>
                      <w:szCs w:val="18"/>
                      <w:rtl/>
                    </w:rPr>
                    <w:t>2</w:t>
                  </w:r>
                </w:p>
              </w:txbxContent>
            </v:textbox>
            <w10:anchorlock/>
          </v:rect>
        </w:pict>
      </w:r>
      <w:r w:rsidRPr="000B741F">
        <w:rPr>
          <w:noProof/>
          <w:rtl/>
        </w:rPr>
        <w:t>ת</w:t>
      </w:r>
      <w:r w:rsidR="005137EA" w:rsidRPr="000B741F">
        <w:rPr>
          <w:rFonts w:hint="cs"/>
          <w:noProof/>
          <w:rtl/>
        </w:rPr>
        <w:t>וספת שניה</w:t>
      </w:r>
    </w:p>
    <w:p w:rsidR="00A97CAD" w:rsidRPr="000B741F" w:rsidRDefault="00A97CAD" w:rsidP="000B741F">
      <w:pPr>
        <w:pStyle w:val="P00"/>
        <w:spacing w:before="72"/>
        <w:ind w:left="0" w:right="1134"/>
        <w:jc w:val="center"/>
        <w:rPr>
          <w:rStyle w:val="default"/>
          <w:rFonts w:cs="FrankRuehl"/>
          <w:sz w:val="24"/>
          <w:szCs w:val="24"/>
          <w:rtl/>
        </w:rPr>
      </w:pPr>
      <w:r w:rsidRPr="000B741F">
        <w:rPr>
          <w:rStyle w:val="default"/>
          <w:rFonts w:cs="FrankRuehl"/>
          <w:sz w:val="24"/>
          <w:szCs w:val="24"/>
          <w:rtl/>
        </w:rPr>
        <w:t>(</w:t>
      </w:r>
      <w:r w:rsidRPr="000B741F">
        <w:rPr>
          <w:rStyle w:val="default"/>
          <w:rFonts w:cs="FrankRuehl" w:hint="cs"/>
          <w:sz w:val="24"/>
          <w:szCs w:val="24"/>
          <w:rtl/>
        </w:rPr>
        <w:t>תקנה 37)</w:t>
      </w:r>
    </w:p>
    <w:p w:rsidR="00A97CAD" w:rsidRPr="000B741F" w:rsidRDefault="00A97CAD" w:rsidP="000B741F">
      <w:pPr>
        <w:pStyle w:val="P00"/>
        <w:spacing w:before="72"/>
        <w:ind w:left="0" w:right="1134"/>
        <w:jc w:val="center"/>
        <w:rPr>
          <w:rStyle w:val="default"/>
          <w:rFonts w:cs="FrankRuehl" w:hint="cs"/>
          <w:b/>
          <w:bCs/>
          <w:sz w:val="22"/>
          <w:szCs w:val="22"/>
          <w:rtl/>
        </w:rPr>
      </w:pPr>
      <w:r w:rsidRPr="000B741F">
        <w:rPr>
          <w:rStyle w:val="default"/>
          <w:rFonts w:cs="FrankRuehl"/>
          <w:b/>
          <w:bCs/>
          <w:sz w:val="22"/>
          <w:szCs w:val="22"/>
          <w:rtl/>
        </w:rPr>
        <w:t>ס</w:t>
      </w:r>
      <w:r w:rsidRPr="000B741F">
        <w:rPr>
          <w:rStyle w:val="default"/>
          <w:rFonts w:cs="FrankRuehl" w:hint="cs"/>
          <w:b/>
          <w:bCs/>
          <w:sz w:val="22"/>
          <w:szCs w:val="22"/>
          <w:rtl/>
        </w:rPr>
        <w:t>ימן א': אגרות על משפטים</w:t>
      </w:r>
    </w:p>
    <w:p w:rsidR="00BB3754" w:rsidRPr="000B741F" w:rsidRDefault="00BB3754" w:rsidP="00BB3754">
      <w:pPr>
        <w:pStyle w:val="P00"/>
        <w:spacing w:before="0"/>
        <w:ind w:left="0" w:right="1134"/>
        <w:rPr>
          <w:rFonts w:hint="cs"/>
          <w:b/>
          <w:bCs/>
          <w:vanish/>
          <w:szCs w:val="20"/>
          <w:shd w:val="clear" w:color="auto" w:fill="FFFF99"/>
          <w:rtl/>
        </w:rPr>
      </w:pPr>
      <w:bookmarkStart w:id="50" w:name="Rov58"/>
      <w:r w:rsidRPr="000B741F">
        <w:rPr>
          <w:rFonts w:hint="cs"/>
          <w:vanish/>
          <w:color w:val="FF0000"/>
          <w:szCs w:val="20"/>
          <w:shd w:val="clear" w:color="auto" w:fill="FFFF99"/>
          <w:rtl/>
        </w:rPr>
        <w:t>מיום 15.4.1982</w:t>
      </w:r>
    </w:p>
    <w:p w:rsidR="00BB3754" w:rsidRPr="000B741F" w:rsidRDefault="00BB3754" w:rsidP="00BB3754">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תק' תשמ"ב-1982</w:t>
      </w:r>
    </w:p>
    <w:p w:rsidR="00BB3754" w:rsidRPr="000B741F" w:rsidRDefault="00BB3754" w:rsidP="00BB375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0B741F">
          <w:rPr>
            <w:rStyle w:val="Hyperlink"/>
            <w:vanish/>
            <w:sz w:val="20"/>
            <w:szCs w:val="20"/>
            <w:shd w:val="clear" w:color="auto" w:fill="FFFF99"/>
            <w:rtl/>
          </w:rPr>
          <w:t>ק</w:t>
        </w:r>
        <w:r w:rsidRPr="000B741F">
          <w:rPr>
            <w:rStyle w:val="Hyperlink"/>
            <w:rFonts w:hint="cs"/>
            <w:vanish/>
            <w:sz w:val="20"/>
            <w:szCs w:val="20"/>
            <w:shd w:val="clear" w:color="auto" w:fill="FFFF99"/>
            <w:rtl/>
          </w:rPr>
          <w:t>"ת תשמ"ב מס' 4336</w:t>
        </w:r>
      </w:hyperlink>
      <w:r w:rsidRPr="000B741F">
        <w:rPr>
          <w:rFonts w:hint="cs"/>
          <w:vanish/>
          <w:sz w:val="20"/>
          <w:szCs w:val="20"/>
          <w:shd w:val="clear" w:color="auto" w:fill="FFFF99"/>
          <w:rtl/>
        </w:rPr>
        <w:t xml:space="preserve"> מיום 15.4.1982 עמ' 846</w:t>
      </w:r>
    </w:p>
    <w:p w:rsidR="00BB3754" w:rsidRPr="000B741F" w:rsidRDefault="00BB3754" w:rsidP="005137E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B741F">
        <w:rPr>
          <w:rFonts w:hint="cs"/>
          <w:b/>
          <w:bCs/>
          <w:vanish/>
          <w:sz w:val="20"/>
          <w:szCs w:val="20"/>
          <w:shd w:val="clear" w:color="auto" w:fill="FFFF99"/>
          <w:rtl/>
        </w:rPr>
        <w:t>החלפת התוספת השניה</w:t>
      </w:r>
    </w:p>
    <w:p w:rsidR="00BB3754" w:rsidRPr="00E533B3" w:rsidRDefault="005137EA" w:rsidP="00E533B3">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hyperlink r:id="rId10" w:history="1">
        <w:r w:rsidR="00BB3754" w:rsidRPr="000B741F">
          <w:rPr>
            <w:rStyle w:val="Hyperlink"/>
            <w:rFonts w:hint="cs"/>
            <w:vanish/>
            <w:sz w:val="20"/>
            <w:szCs w:val="20"/>
            <w:shd w:val="clear" w:color="auto" w:fill="FFFF99"/>
            <w:rtl/>
          </w:rPr>
          <w:t>לנוסח התוספת</w:t>
        </w:r>
      </w:hyperlink>
      <w:r w:rsidR="00BB3754" w:rsidRPr="000B741F">
        <w:rPr>
          <w:rFonts w:hint="cs"/>
          <w:vanish/>
          <w:sz w:val="20"/>
          <w:szCs w:val="20"/>
          <w:shd w:val="clear" w:color="auto" w:fill="FFFF99"/>
          <w:rtl/>
        </w:rPr>
        <w:t xml:space="preserve"> לפני החלפתה</w:t>
      </w:r>
      <w:bookmarkEnd w:id="50"/>
    </w:p>
    <w:p w:rsidR="00A97CAD" w:rsidRDefault="00A97CAD" w:rsidP="005137EA">
      <w:pPr>
        <w:pStyle w:val="P00"/>
        <w:spacing w:before="72"/>
        <w:ind w:left="0"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לאחר ביר</w:t>
      </w:r>
      <w:r>
        <w:rPr>
          <w:rStyle w:val="default"/>
          <w:rFonts w:cs="FrankRuehl"/>
          <w:rtl/>
        </w:rPr>
        <w:t>ו</w:t>
      </w:r>
      <w:r>
        <w:rPr>
          <w:rStyle w:val="default"/>
          <w:rFonts w:cs="FrankRuehl" w:hint="cs"/>
          <w:rtl/>
        </w:rPr>
        <w:t>ר כל משפט ישלמו בעלי התביעות, בהתאם להחלטת</w:t>
      </w:r>
      <w:r w:rsidR="005137EA">
        <w:rPr>
          <w:rStyle w:val="default"/>
          <w:rFonts w:cs="FrankRuehl" w:hint="cs"/>
          <w:rtl/>
        </w:rPr>
        <w:t xml:space="preserve"> </w:t>
      </w:r>
      <w:r>
        <w:rPr>
          <w:rStyle w:val="default"/>
          <w:rFonts w:cs="FrankRuehl" w:hint="cs"/>
          <w:rtl/>
        </w:rPr>
        <w:t>בית</w:t>
      </w:r>
      <w:r w:rsidR="005137EA">
        <w:rPr>
          <w:rStyle w:val="default"/>
          <w:rFonts w:cs="FrankRuehl" w:hint="cs"/>
          <w:rtl/>
        </w:rPr>
        <w:t>-</w:t>
      </w:r>
      <w:r>
        <w:rPr>
          <w:rStyle w:val="default"/>
          <w:rFonts w:cs="FrankRuehl" w:hint="cs"/>
          <w:rtl/>
        </w:rPr>
        <w:t>המשפט או רשם בית המשפט, אגרה בשיעור שנקבע להבאת תובענה, בחלק א' או בחלק ב' לתוספת הראשונה שבתקנות בית משפט (אגרות), תשל"ו</w:t>
      </w:r>
      <w:r w:rsidR="005137EA">
        <w:rPr>
          <w:rStyle w:val="default"/>
          <w:rFonts w:cs="FrankRuehl" w:hint="cs"/>
          <w:rtl/>
        </w:rPr>
        <w:t>-</w:t>
      </w:r>
      <w:r>
        <w:rPr>
          <w:rStyle w:val="default"/>
          <w:rFonts w:cs="FrankRuehl" w:hint="cs"/>
          <w:rtl/>
        </w:rPr>
        <w:t>1976, לפי הענין.</w:t>
      </w:r>
    </w:p>
    <w:p w:rsidR="00A97CAD" w:rsidRPr="000B741F" w:rsidRDefault="00A97CAD" w:rsidP="000B741F">
      <w:pPr>
        <w:pStyle w:val="P00"/>
        <w:spacing w:before="72"/>
        <w:ind w:left="0" w:right="1134"/>
        <w:jc w:val="center"/>
        <w:rPr>
          <w:rStyle w:val="default"/>
          <w:rFonts w:cs="FrankRuehl"/>
          <w:b/>
          <w:bCs/>
          <w:sz w:val="22"/>
          <w:szCs w:val="22"/>
          <w:rtl/>
        </w:rPr>
      </w:pPr>
      <w:r w:rsidRPr="000B741F">
        <w:rPr>
          <w:rStyle w:val="default"/>
          <w:rFonts w:cs="FrankRuehl"/>
          <w:b/>
          <w:bCs/>
          <w:sz w:val="22"/>
          <w:szCs w:val="22"/>
          <w:rtl/>
        </w:rPr>
        <w:t>ס</w:t>
      </w:r>
      <w:r w:rsidRPr="000B741F">
        <w:rPr>
          <w:rStyle w:val="default"/>
          <w:rFonts w:cs="FrankRuehl" w:hint="cs"/>
          <w:b/>
          <w:bCs/>
          <w:sz w:val="22"/>
          <w:szCs w:val="22"/>
          <w:rtl/>
        </w:rPr>
        <w:t>ימן ב': אגרות על העתקים של פסק דין, מסמכים אחרים או תעודות רשמיות א</w:t>
      </w:r>
      <w:r w:rsidRPr="000B741F">
        <w:rPr>
          <w:rStyle w:val="default"/>
          <w:rFonts w:cs="FrankRuehl"/>
          <w:b/>
          <w:bCs/>
          <w:sz w:val="22"/>
          <w:szCs w:val="22"/>
          <w:rtl/>
        </w:rPr>
        <w:t>ח</w:t>
      </w:r>
      <w:r w:rsidRPr="000B741F">
        <w:rPr>
          <w:rStyle w:val="default"/>
          <w:rFonts w:cs="FrankRuehl" w:hint="cs"/>
          <w:b/>
          <w:bCs/>
          <w:sz w:val="22"/>
          <w:szCs w:val="22"/>
          <w:rtl/>
        </w:rPr>
        <w:t>רות</w:t>
      </w:r>
    </w:p>
    <w:p w:rsidR="00A97CAD" w:rsidRDefault="00A97CAD" w:rsidP="005137E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בעד העתק או העתק פוטוסטטי מפסק דין או מהחלטה אחרת, מפרוטוקול או מכל מסמך אחר או בעד נסח מהם, שנעשה על-ידי בית המשפט, תשולם, לפי הענין, האגרה שנקבעה לכך בחלק ח' לתוספת הראשונה שבתקנות בית המשפט (אגרות), תשל"ו</w:t>
      </w:r>
      <w:r w:rsidR="005137EA">
        <w:rPr>
          <w:rStyle w:val="default"/>
          <w:rFonts w:cs="FrankRuehl" w:hint="cs"/>
          <w:rtl/>
        </w:rPr>
        <w:t>-</w:t>
      </w:r>
      <w:r>
        <w:rPr>
          <w:rStyle w:val="default"/>
          <w:rFonts w:cs="FrankRuehl" w:hint="cs"/>
          <w:rtl/>
        </w:rPr>
        <w:t>1976.</w:t>
      </w:r>
    </w:p>
    <w:p w:rsidR="00A97CAD" w:rsidRDefault="00A97CAD">
      <w:pPr>
        <w:pStyle w:val="P00"/>
        <w:spacing w:before="72"/>
        <w:ind w:left="0" w:right="1134"/>
        <w:rPr>
          <w:rStyle w:val="default"/>
          <w:rFonts w:cs="FrankRuehl" w:hint="cs"/>
          <w:rtl/>
        </w:rPr>
      </w:pPr>
      <w:bookmarkStart w:id="51" w:name="Seif42"/>
      <w:bookmarkEnd w:id="51"/>
      <w:r>
        <w:rPr>
          <w:lang w:val="he-IL"/>
        </w:rPr>
        <w:pict>
          <v:rect id="_x0000_s1070" style="position:absolute;left:0;text-align:left;margin-left:464.5pt;margin-top:8.05pt;width:75.05pt;height:15.7pt;z-index:251678208" o:allowincell="f" filled="f" stroked="f" strokecolor="lime" strokeweight=".25pt">
            <v:textbox style="mso-next-textbox:#_x0000_s1070" inset="0,0,0,0">
              <w:txbxContent>
                <w:p w:rsidR="00A97CAD" w:rsidRDefault="00A97CAD">
                  <w:pPr>
                    <w:spacing w:line="160" w:lineRule="exact"/>
                    <w:jc w:val="left"/>
                    <w:rPr>
                      <w:rFonts w:cs="Miriam"/>
                      <w:noProof/>
                      <w:szCs w:val="18"/>
                      <w:rtl/>
                    </w:rPr>
                  </w:pPr>
                  <w:r>
                    <w:rPr>
                      <w:rFonts w:cs="Miriam"/>
                      <w:szCs w:val="18"/>
                      <w:rtl/>
                    </w:rPr>
                    <w:t>ת</w:t>
                  </w:r>
                  <w:r>
                    <w:rPr>
                      <w:rFonts w:cs="Miriam" w:hint="cs"/>
                      <w:szCs w:val="18"/>
                      <w:rtl/>
                    </w:rPr>
                    <w:t>"ט</w:t>
                  </w:r>
                  <w:r w:rsidR="00A730E5">
                    <w:rPr>
                      <w:rFonts w:cs="Miriam" w:hint="cs"/>
                      <w:szCs w:val="18"/>
                      <w:rtl/>
                    </w:rPr>
                    <w:t xml:space="preserve"> </w:t>
                  </w:r>
                  <w:r>
                    <w:rPr>
                      <w:rFonts w:cs="Miriam" w:hint="cs"/>
                      <w:szCs w:val="18"/>
                      <w:rtl/>
                    </w:rPr>
                    <w:t>תשמ"ב</w:t>
                  </w:r>
                  <w:r w:rsidR="00A730E5">
                    <w:rPr>
                      <w:rFonts w:cs="Miriam" w:hint="cs"/>
                      <w:szCs w:val="18"/>
                      <w:rtl/>
                    </w:rPr>
                    <w:t>-1982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בעד כל תעודת </w:t>
      </w:r>
      <w:r>
        <w:rPr>
          <w:rStyle w:val="default"/>
          <w:rFonts w:cs="FrankRuehl"/>
          <w:rtl/>
        </w:rPr>
        <w:t>א</w:t>
      </w:r>
      <w:r>
        <w:rPr>
          <w:rStyle w:val="default"/>
          <w:rFonts w:cs="FrankRuehl" w:hint="cs"/>
          <w:rtl/>
        </w:rPr>
        <w:t>ישור, שנעשתה בידי פקיד ההסדר, המעידה על רשומת הסדר מקרקעין, תשולם האגרה שנקבעה בתקנות המקרקעין (אגרות), תשל"ה</w:t>
      </w:r>
      <w:r w:rsidR="005137EA">
        <w:rPr>
          <w:rStyle w:val="default"/>
          <w:rFonts w:cs="FrankRuehl" w:hint="cs"/>
          <w:rtl/>
        </w:rPr>
        <w:t>-</w:t>
      </w:r>
      <w:r>
        <w:rPr>
          <w:rStyle w:val="default"/>
          <w:rFonts w:cs="FrankRuehl" w:hint="cs"/>
          <w:rtl/>
        </w:rPr>
        <w:t>1974 לקבלת העתק מאושר של מסמך.</w:t>
      </w:r>
    </w:p>
    <w:p w:rsidR="00E005F8" w:rsidRPr="000B741F" w:rsidRDefault="00E005F8" w:rsidP="00E005F8">
      <w:pPr>
        <w:pStyle w:val="P00"/>
        <w:spacing w:before="0"/>
        <w:ind w:left="0" w:right="1134"/>
        <w:rPr>
          <w:rFonts w:hint="cs"/>
          <w:b/>
          <w:bCs/>
          <w:vanish/>
          <w:szCs w:val="20"/>
          <w:shd w:val="clear" w:color="auto" w:fill="FFFF99"/>
          <w:rtl/>
        </w:rPr>
      </w:pPr>
      <w:bookmarkStart w:id="52" w:name="Rov59"/>
      <w:r w:rsidRPr="000B741F">
        <w:rPr>
          <w:rFonts w:hint="cs"/>
          <w:vanish/>
          <w:color w:val="FF0000"/>
          <w:szCs w:val="20"/>
          <w:shd w:val="clear" w:color="auto" w:fill="FFFF99"/>
          <w:rtl/>
        </w:rPr>
        <w:t>מיום 20.5.1982</w:t>
      </w:r>
    </w:p>
    <w:p w:rsidR="00E005F8" w:rsidRPr="000B741F" w:rsidRDefault="00E005F8" w:rsidP="00E005F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B741F">
        <w:rPr>
          <w:rFonts w:hint="cs"/>
          <w:b/>
          <w:bCs/>
          <w:vanish/>
          <w:sz w:val="20"/>
          <w:szCs w:val="20"/>
          <w:shd w:val="clear" w:color="auto" w:fill="FFFF99"/>
          <w:rtl/>
        </w:rPr>
        <w:t>ת"ט תשמ"ב-1982</w:t>
      </w:r>
    </w:p>
    <w:p w:rsidR="00E005F8" w:rsidRPr="000B741F" w:rsidRDefault="00E005F8" w:rsidP="00E005F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 w:history="1">
        <w:r w:rsidRPr="000B741F">
          <w:rPr>
            <w:rStyle w:val="Hyperlink"/>
            <w:rFonts w:hint="cs"/>
            <w:vanish/>
            <w:sz w:val="20"/>
            <w:szCs w:val="20"/>
            <w:shd w:val="clear" w:color="auto" w:fill="FFFF99"/>
            <w:rtl/>
          </w:rPr>
          <w:t>ק"ת תשמ"ב מס' 4351</w:t>
        </w:r>
      </w:hyperlink>
      <w:r w:rsidRPr="000B741F">
        <w:rPr>
          <w:rFonts w:hint="cs"/>
          <w:vanish/>
          <w:sz w:val="20"/>
          <w:szCs w:val="20"/>
          <w:shd w:val="clear" w:color="auto" w:fill="FFFF99"/>
          <w:rtl/>
        </w:rPr>
        <w:t xml:space="preserve"> מיום 20.5.1982 עמ' 1012</w:t>
      </w:r>
    </w:p>
    <w:p w:rsidR="00E005F8" w:rsidRPr="00E533B3" w:rsidRDefault="00E005F8" w:rsidP="005137EA">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0B741F">
        <w:rPr>
          <w:rFonts w:hint="cs"/>
          <w:vanish/>
          <w:shd w:val="clear" w:color="auto" w:fill="FFFF99"/>
          <w:rtl/>
        </w:rPr>
        <w:t>3.</w:t>
      </w:r>
      <w:r w:rsidRPr="000B741F">
        <w:rPr>
          <w:rStyle w:val="default"/>
          <w:rFonts w:cs="FrankRuehl" w:hint="cs"/>
          <w:vanish/>
          <w:sz w:val="22"/>
          <w:szCs w:val="22"/>
          <w:shd w:val="clear" w:color="auto" w:fill="FFFF99"/>
          <w:rtl/>
        </w:rPr>
        <w:t xml:space="preserve"> </w:t>
      </w:r>
      <w:r w:rsidRPr="000B741F">
        <w:rPr>
          <w:rStyle w:val="default"/>
          <w:rFonts w:cs="FrankRuehl" w:hint="cs"/>
          <w:vanish/>
          <w:sz w:val="22"/>
          <w:szCs w:val="22"/>
          <w:shd w:val="clear" w:color="auto" w:fill="FFFF99"/>
          <w:rtl/>
        </w:rPr>
        <w:tab/>
        <w:t xml:space="preserve">בעד כל תעודת </w:t>
      </w:r>
      <w:r w:rsidRPr="000B741F">
        <w:rPr>
          <w:rStyle w:val="default"/>
          <w:rFonts w:cs="FrankRuehl"/>
          <w:vanish/>
          <w:sz w:val="22"/>
          <w:szCs w:val="22"/>
          <w:shd w:val="clear" w:color="auto" w:fill="FFFF99"/>
          <w:rtl/>
        </w:rPr>
        <w:t>א</w:t>
      </w:r>
      <w:r w:rsidRPr="000B741F">
        <w:rPr>
          <w:rStyle w:val="default"/>
          <w:rFonts w:cs="FrankRuehl" w:hint="cs"/>
          <w:vanish/>
          <w:sz w:val="22"/>
          <w:szCs w:val="22"/>
          <w:shd w:val="clear" w:color="auto" w:fill="FFFF99"/>
          <w:rtl/>
        </w:rPr>
        <w:t xml:space="preserve">ישור, שנעשתה בידי פקיד ההסדר, המעידה על רשומת הסדר מקרקעין, תשולם האגרה שנקבעה בתקנות המקרקעין (אגרות), </w:t>
      </w:r>
      <w:r w:rsidRPr="000B741F">
        <w:rPr>
          <w:rStyle w:val="default"/>
          <w:rFonts w:cs="FrankRuehl" w:hint="cs"/>
          <w:strike/>
          <w:vanish/>
          <w:sz w:val="22"/>
          <w:szCs w:val="22"/>
          <w:shd w:val="clear" w:color="auto" w:fill="FFFF99"/>
          <w:rtl/>
        </w:rPr>
        <w:t>התשל"ח-1977</w:t>
      </w:r>
      <w:r w:rsidRPr="000B741F">
        <w:rPr>
          <w:rStyle w:val="default"/>
          <w:rFonts w:cs="FrankRuehl" w:hint="cs"/>
          <w:vanish/>
          <w:sz w:val="22"/>
          <w:szCs w:val="22"/>
          <w:shd w:val="clear" w:color="auto" w:fill="FFFF99"/>
          <w:rtl/>
        </w:rPr>
        <w:t xml:space="preserve"> </w:t>
      </w:r>
      <w:r w:rsidRPr="000B741F">
        <w:rPr>
          <w:rStyle w:val="default"/>
          <w:rFonts w:cs="FrankRuehl" w:hint="cs"/>
          <w:vanish/>
          <w:sz w:val="22"/>
          <w:szCs w:val="22"/>
          <w:u w:val="single"/>
          <w:shd w:val="clear" w:color="auto" w:fill="FFFF99"/>
          <w:rtl/>
        </w:rPr>
        <w:t>תשל"ה</w:t>
      </w:r>
      <w:r w:rsidR="005137EA" w:rsidRPr="000B741F">
        <w:rPr>
          <w:rStyle w:val="default"/>
          <w:rFonts w:cs="FrankRuehl" w:hint="cs"/>
          <w:vanish/>
          <w:sz w:val="22"/>
          <w:szCs w:val="22"/>
          <w:u w:val="single"/>
          <w:shd w:val="clear" w:color="auto" w:fill="FFFF99"/>
          <w:rtl/>
        </w:rPr>
        <w:t>-</w:t>
      </w:r>
      <w:r w:rsidRPr="000B741F">
        <w:rPr>
          <w:rStyle w:val="default"/>
          <w:rFonts w:cs="FrankRuehl" w:hint="cs"/>
          <w:vanish/>
          <w:sz w:val="22"/>
          <w:szCs w:val="22"/>
          <w:u w:val="single"/>
          <w:shd w:val="clear" w:color="auto" w:fill="FFFF99"/>
          <w:rtl/>
        </w:rPr>
        <w:t>1974</w:t>
      </w:r>
      <w:r w:rsidRPr="000B741F">
        <w:rPr>
          <w:rStyle w:val="default"/>
          <w:rFonts w:cs="FrankRuehl" w:hint="cs"/>
          <w:vanish/>
          <w:sz w:val="22"/>
          <w:szCs w:val="22"/>
          <w:shd w:val="clear" w:color="auto" w:fill="FFFF99"/>
          <w:rtl/>
        </w:rPr>
        <w:t xml:space="preserve"> לקבלת העתק מאושר של מסמך.</w:t>
      </w:r>
      <w:bookmarkEnd w:id="52"/>
    </w:p>
    <w:p w:rsidR="00E005F8" w:rsidRDefault="00E005F8">
      <w:pPr>
        <w:pStyle w:val="P00"/>
        <w:spacing w:before="72"/>
        <w:ind w:left="0" w:right="1134"/>
        <w:rPr>
          <w:rStyle w:val="default"/>
          <w:rFonts w:cs="FrankRuehl" w:hint="cs"/>
          <w:rtl/>
        </w:rPr>
      </w:pPr>
    </w:p>
    <w:p w:rsidR="00A97CAD" w:rsidRDefault="00A97CAD" w:rsidP="005137EA">
      <w:pPr>
        <w:pStyle w:val="medium2-header"/>
        <w:keepLines w:val="0"/>
        <w:spacing w:before="72"/>
        <w:ind w:left="0" w:right="1134"/>
        <w:rPr>
          <w:rFonts w:hint="cs"/>
          <w:noProof/>
          <w:sz w:val="20"/>
          <w:rtl/>
        </w:rPr>
      </w:pPr>
      <w:bookmarkStart w:id="53" w:name="med6"/>
      <w:bookmarkEnd w:id="53"/>
      <w:r>
        <w:rPr>
          <w:noProof/>
          <w:sz w:val="20"/>
          <w:lang w:val="he-IL"/>
        </w:rPr>
        <w:pict>
          <v:rect id="_x0000_s1071" style="position:absolute;left:0;text-align:left;margin-left:464.5pt;margin-top:8.05pt;width:75.05pt;height:14.4pt;z-index:251679232" o:allowincell="f" filled="f" stroked="f" strokecolor="lime" strokeweight=".25pt">
            <v:textbox style="mso-next-textbox:#_x0000_s1071" inset="0,0,0,0">
              <w:txbxContent>
                <w:p w:rsidR="00A97CAD" w:rsidRPr="00A730E5" w:rsidRDefault="00A97CAD" w:rsidP="00A730E5">
                  <w:pPr>
                    <w:spacing w:line="160" w:lineRule="exact"/>
                    <w:jc w:val="left"/>
                    <w:rPr>
                      <w:rFonts w:cs="Miriam"/>
                      <w:b/>
                      <w:noProof/>
                      <w:szCs w:val="18"/>
                      <w:rtl/>
                    </w:rPr>
                  </w:pPr>
                  <w:r w:rsidRPr="00A730E5">
                    <w:rPr>
                      <w:rFonts w:cs="Miriam"/>
                      <w:b/>
                      <w:sz w:val="20"/>
                      <w:szCs w:val="18"/>
                      <w:rtl/>
                    </w:rPr>
                    <w:t>ת</w:t>
                  </w:r>
                  <w:r w:rsidRPr="00A730E5">
                    <w:rPr>
                      <w:rFonts w:cs="Miriam" w:hint="cs"/>
                      <w:b/>
                      <w:sz w:val="20"/>
                      <w:szCs w:val="18"/>
                      <w:rtl/>
                    </w:rPr>
                    <w:t>ק' תשל"ח</w:t>
                  </w:r>
                  <w:r w:rsidR="00A730E5">
                    <w:rPr>
                      <w:rFonts w:cs="Miriam" w:hint="cs"/>
                      <w:b/>
                      <w:sz w:val="20"/>
                      <w:szCs w:val="18"/>
                      <w:rtl/>
                    </w:rPr>
                    <w:t>-</w:t>
                  </w:r>
                  <w:r w:rsidRPr="00A730E5">
                    <w:rPr>
                      <w:rFonts w:cs="Miriam" w:hint="cs"/>
                      <w:b/>
                      <w:sz w:val="20"/>
                      <w:szCs w:val="18"/>
                      <w:rtl/>
                    </w:rPr>
                    <w:t>1978</w:t>
                  </w:r>
                </w:p>
              </w:txbxContent>
            </v:textbox>
            <w10:anchorlock/>
          </v:rect>
        </w:pict>
      </w:r>
      <w:r>
        <w:rPr>
          <w:noProof/>
          <w:sz w:val="20"/>
          <w:rtl/>
        </w:rPr>
        <w:t>ת</w:t>
      </w:r>
      <w:r w:rsidR="005137EA">
        <w:rPr>
          <w:rFonts w:hint="cs"/>
          <w:noProof/>
          <w:sz w:val="20"/>
          <w:rtl/>
        </w:rPr>
        <w:t>וספת שלישית</w:t>
      </w:r>
    </w:p>
    <w:p w:rsidR="00A97CAD" w:rsidRPr="000B741F" w:rsidRDefault="00A97CAD" w:rsidP="000B741F">
      <w:pPr>
        <w:pStyle w:val="P00"/>
        <w:spacing w:before="72"/>
        <w:ind w:left="0" w:right="1134"/>
        <w:jc w:val="center"/>
        <w:rPr>
          <w:rStyle w:val="default"/>
          <w:rFonts w:cs="FrankRuehl"/>
          <w:sz w:val="24"/>
          <w:szCs w:val="24"/>
          <w:rtl/>
        </w:rPr>
      </w:pPr>
      <w:r w:rsidRPr="000B741F">
        <w:rPr>
          <w:rStyle w:val="default"/>
          <w:rFonts w:cs="FrankRuehl"/>
          <w:sz w:val="24"/>
          <w:szCs w:val="24"/>
          <w:rtl/>
        </w:rPr>
        <w:t>(</w:t>
      </w:r>
      <w:r w:rsidR="005137EA" w:rsidRPr="000B741F">
        <w:rPr>
          <w:rStyle w:val="default"/>
          <w:rFonts w:cs="FrankRuehl" w:hint="cs"/>
          <w:sz w:val="24"/>
          <w:szCs w:val="24"/>
          <w:rtl/>
        </w:rPr>
        <w:t>בוטלה</w:t>
      </w:r>
      <w:r w:rsidRPr="000B741F">
        <w:rPr>
          <w:rStyle w:val="default"/>
          <w:rFonts w:cs="FrankRuehl" w:hint="cs"/>
          <w:sz w:val="24"/>
          <w:szCs w:val="24"/>
          <w:rtl/>
        </w:rPr>
        <w:t>)</w:t>
      </w:r>
    </w:p>
    <w:p w:rsidR="00AC3BF7" w:rsidRPr="000B741F" w:rsidRDefault="00AC3BF7" w:rsidP="00AC3BF7">
      <w:pPr>
        <w:pStyle w:val="P00"/>
        <w:spacing w:before="0"/>
        <w:ind w:left="0" w:right="1134"/>
        <w:rPr>
          <w:rFonts w:hint="cs"/>
          <w:b/>
          <w:bCs/>
          <w:vanish/>
          <w:szCs w:val="20"/>
          <w:shd w:val="clear" w:color="auto" w:fill="FFFF99"/>
          <w:rtl/>
        </w:rPr>
      </w:pPr>
      <w:bookmarkStart w:id="54" w:name="Rov60"/>
      <w:r w:rsidRPr="000B741F">
        <w:rPr>
          <w:rFonts w:hint="cs"/>
          <w:vanish/>
          <w:color w:val="FF0000"/>
          <w:szCs w:val="20"/>
          <w:shd w:val="clear" w:color="auto" w:fill="FFFF99"/>
          <w:rtl/>
        </w:rPr>
        <w:t>מיום 14.8.1978</w:t>
      </w:r>
    </w:p>
    <w:p w:rsidR="00AC3BF7" w:rsidRPr="000B741F" w:rsidRDefault="00AC3BF7" w:rsidP="00AC3BF7">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תק' תשל"ח-1978</w:t>
      </w:r>
    </w:p>
    <w:p w:rsidR="00AC3BF7" w:rsidRPr="000B741F" w:rsidRDefault="00AC3BF7" w:rsidP="00AC3BF7">
      <w:pPr>
        <w:pStyle w:val="P00"/>
        <w:spacing w:before="0"/>
        <w:ind w:left="0" w:right="1134"/>
        <w:rPr>
          <w:rFonts w:hint="cs"/>
          <w:vanish/>
          <w:szCs w:val="20"/>
          <w:shd w:val="clear" w:color="auto" w:fill="FFFF99"/>
          <w:rtl/>
        </w:rPr>
      </w:pPr>
      <w:hyperlink r:id="rId12" w:history="1">
        <w:r w:rsidRPr="000B741F">
          <w:rPr>
            <w:rStyle w:val="Hyperlink"/>
            <w:rFonts w:hint="cs"/>
            <w:vanish/>
            <w:szCs w:val="20"/>
            <w:shd w:val="clear" w:color="auto" w:fill="FFFF99"/>
            <w:rtl/>
          </w:rPr>
          <w:t>ק"ת תשל"ח מס' 3881</w:t>
        </w:r>
      </w:hyperlink>
      <w:r w:rsidRPr="000B741F">
        <w:rPr>
          <w:rFonts w:hint="cs"/>
          <w:vanish/>
          <w:szCs w:val="20"/>
          <w:shd w:val="clear" w:color="auto" w:fill="FFFF99"/>
          <w:rtl/>
        </w:rPr>
        <w:t xml:space="preserve"> מיום 14.8.1978 עמ' 1950</w:t>
      </w:r>
    </w:p>
    <w:p w:rsidR="00AC3BF7" w:rsidRPr="000B741F" w:rsidRDefault="00AC3BF7" w:rsidP="00AC3BF7">
      <w:pPr>
        <w:pStyle w:val="P00"/>
        <w:spacing w:before="0"/>
        <w:ind w:left="0" w:right="1134"/>
        <w:rPr>
          <w:rFonts w:hint="cs"/>
          <w:b/>
          <w:bCs/>
          <w:vanish/>
          <w:szCs w:val="20"/>
          <w:shd w:val="clear" w:color="auto" w:fill="FFFF99"/>
          <w:rtl/>
        </w:rPr>
      </w:pPr>
      <w:r w:rsidRPr="000B741F">
        <w:rPr>
          <w:rFonts w:hint="cs"/>
          <w:b/>
          <w:bCs/>
          <w:vanish/>
          <w:szCs w:val="20"/>
          <w:shd w:val="clear" w:color="auto" w:fill="FFFF99"/>
          <w:rtl/>
        </w:rPr>
        <w:t>ביטול התוספת השלישית</w:t>
      </w:r>
    </w:p>
    <w:p w:rsidR="006D0E7F" w:rsidRPr="00E533B3" w:rsidRDefault="005137EA" w:rsidP="00E533B3">
      <w:pPr>
        <w:pStyle w:val="P00"/>
        <w:ind w:left="0" w:right="1134"/>
        <w:rPr>
          <w:rFonts w:hint="cs"/>
          <w:sz w:val="2"/>
          <w:szCs w:val="2"/>
          <w:rtl/>
        </w:rPr>
      </w:pPr>
      <w:hyperlink r:id="rId13" w:history="1">
        <w:r w:rsidR="006D0E7F" w:rsidRPr="000B741F">
          <w:rPr>
            <w:rStyle w:val="Hyperlink"/>
            <w:rFonts w:hint="cs"/>
            <w:vanish/>
            <w:szCs w:val="20"/>
            <w:shd w:val="clear" w:color="auto" w:fill="FFFF99"/>
            <w:rtl/>
          </w:rPr>
          <w:t>לנוסח התוספת</w:t>
        </w:r>
      </w:hyperlink>
      <w:r w:rsidR="00A875D8" w:rsidRPr="000B741F">
        <w:rPr>
          <w:rFonts w:hint="cs"/>
          <w:vanish/>
          <w:szCs w:val="20"/>
          <w:shd w:val="clear" w:color="auto" w:fill="FFFF99"/>
          <w:rtl/>
        </w:rPr>
        <w:t xml:space="preserve"> לפני ביטולה</w:t>
      </w:r>
      <w:bookmarkEnd w:id="54"/>
    </w:p>
    <w:p w:rsidR="00A97CAD" w:rsidRDefault="00A97CAD" w:rsidP="00A730E5">
      <w:pPr>
        <w:pStyle w:val="P00"/>
        <w:spacing w:before="72"/>
        <w:ind w:left="0" w:right="1134"/>
        <w:rPr>
          <w:rStyle w:val="default"/>
          <w:rFonts w:cs="FrankRuehl" w:hint="cs"/>
          <w:rtl/>
        </w:rPr>
      </w:pPr>
    </w:p>
    <w:p w:rsidR="00A730E5" w:rsidRDefault="00A730E5" w:rsidP="00A730E5">
      <w:pPr>
        <w:pStyle w:val="P00"/>
        <w:spacing w:before="72"/>
        <w:ind w:left="0" w:right="1134"/>
        <w:rPr>
          <w:rStyle w:val="default"/>
          <w:rFonts w:cs="FrankRuehl" w:hint="cs"/>
          <w:rtl/>
        </w:rPr>
      </w:pPr>
    </w:p>
    <w:p w:rsidR="00A97CAD" w:rsidRDefault="00A97CAD" w:rsidP="000B741F">
      <w:pPr>
        <w:pStyle w:val="sig-0"/>
        <w:tabs>
          <w:tab w:val="clear" w:pos="4820"/>
          <w:tab w:val="center" w:pos="5670"/>
        </w:tabs>
        <w:spacing w:before="72"/>
        <w:ind w:left="0" w:right="1134"/>
        <w:rPr>
          <w:rtl/>
        </w:rPr>
      </w:pPr>
      <w:r>
        <w:rPr>
          <w:rtl/>
        </w:rPr>
        <w:t>ל</w:t>
      </w:r>
      <w:r>
        <w:rPr>
          <w:rFonts w:hint="cs"/>
          <w:rtl/>
        </w:rPr>
        <w:t>' בתשרי תשל"ג (8 באוקטובר 1972)</w:t>
      </w:r>
      <w:r>
        <w:rPr>
          <w:rtl/>
        </w:rPr>
        <w:tab/>
      </w:r>
      <w:r>
        <w:rPr>
          <w:rFonts w:hint="cs"/>
          <w:rtl/>
        </w:rPr>
        <w:t>יעקב ש' שפירא</w:t>
      </w:r>
    </w:p>
    <w:p w:rsidR="00A97CAD" w:rsidRDefault="00A97CAD" w:rsidP="000B741F">
      <w:pPr>
        <w:pStyle w:val="sig-1"/>
        <w:widowControl/>
        <w:tabs>
          <w:tab w:val="clear" w:pos="851"/>
          <w:tab w:val="clear" w:pos="2835"/>
          <w:tab w:val="clear" w:pos="4820"/>
          <w:tab w:val="center" w:pos="5670"/>
        </w:tabs>
        <w:ind w:left="0" w:right="1134"/>
        <w:rPr>
          <w:rFonts w:hint="cs"/>
          <w:rtl/>
        </w:rPr>
      </w:pPr>
      <w:r>
        <w:rPr>
          <w:rtl/>
        </w:rPr>
        <w:tab/>
      </w:r>
      <w:r>
        <w:rPr>
          <w:rFonts w:hint="cs"/>
          <w:rtl/>
        </w:rPr>
        <w:t>ש</w:t>
      </w:r>
      <w:r>
        <w:rPr>
          <w:rtl/>
        </w:rPr>
        <w:t>ר</w:t>
      </w:r>
      <w:r>
        <w:rPr>
          <w:rFonts w:hint="cs"/>
          <w:rtl/>
        </w:rPr>
        <w:t xml:space="preserve"> המשפטים</w:t>
      </w:r>
    </w:p>
    <w:p w:rsidR="00A730E5" w:rsidRPr="00A730E5" w:rsidRDefault="00A730E5" w:rsidP="00A730E5">
      <w:pPr>
        <w:pStyle w:val="P00"/>
        <w:spacing w:before="72"/>
        <w:ind w:left="0" w:right="1134"/>
        <w:rPr>
          <w:rStyle w:val="default"/>
          <w:rFonts w:cs="FrankRuehl" w:hint="cs"/>
          <w:rtl/>
        </w:rPr>
      </w:pPr>
    </w:p>
    <w:p w:rsidR="00A730E5" w:rsidRPr="00A730E5" w:rsidRDefault="00A730E5" w:rsidP="00A730E5">
      <w:pPr>
        <w:pStyle w:val="P00"/>
        <w:spacing w:before="72"/>
        <w:ind w:left="0" w:right="1134"/>
        <w:rPr>
          <w:rStyle w:val="default"/>
          <w:rFonts w:cs="FrankRuehl"/>
          <w:rtl/>
        </w:rPr>
      </w:pPr>
    </w:p>
    <w:p w:rsidR="00A97CAD" w:rsidRPr="00A730E5" w:rsidRDefault="00A97CAD" w:rsidP="00A730E5">
      <w:pPr>
        <w:pStyle w:val="P00"/>
        <w:spacing w:before="72"/>
        <w:ind w:left="0" w:right="1134"/>
        <w:rPr>
          <w:rStyle w:val="default"/>
          <w:rFonts w:cs="FrankRuehl"/>
          <w:rtl/>
        </w:rPr>
      </w:pPr>
      <w:bookmarkStart w:id="55" w:name="LawPartEnd"/>
    </w:p>
    <w:bookmarkEnd w:id="55"/>
    <w:p w:rsidR="00CD4F79" w:rsidRDefault="00CD4F79" w:rsidP="00A730E5">
      <w:pPr>
        <w:pStyle w:val="P00"/>
        <w:spacing w:before="72"/>
        <w:ind w:left="0" w:right="1134"/>
        <w:rPr>
          <w:rStyle w:val="default"/>
          <w:rFonts w:cs="FrankRuehl"/>
          <w:rtl/>
        </w:rPr>
      </w:pPr>
    </w:p>
    <w:p w:rsidR="00CD4F79" w:rsidRDefault="00CD4F79" w:rsidP="00CD4F79">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AB581E" w:rsidRDefault="00AB581E" w:rsidP="00CD4F79">
      <w:pPr>
        <w:pStyle w:val="P00"/>
        <w:spacing w:before="72"/>
        <w:ind w:left="0" w:right="1134"/>
        <w:jc w:val="center"/>
        <w:rPr>
          <w:rStyle w:val="default"/>
          <w:rFonts w:cs="David"/>
          <w:color w:val="0000FF"/>
          <w:szCs w:val="24"/>
          <w:u w:val="single"/>
          <w:rtl/>
        </w:rPr>
      </w:pPr>
    </w:p>
    <w:p w:rsidR="00AB581E" w:rsidRDefault="00AB581E" w:rsidP="00CD4F79">
      <w:pPr>
        <w:pStyle w:val="P00"/>
        <w:spacing w:before="72"/>
        <w:ind w:left="0" w:right="1134"/>
        <w:jc w:val="center"/>
        <w:rPr>
          <w:rStyle w:val="default"/>
          <w:rFonts w:cs="David"/>
          <w:color w:val="0000FF"/>
          <w:szCs w:val="24"/>
          <w:u w:val="single"/>
          <w:rtl/>
        </w:rPr>
      </w:pPr>
    </w:p>
    <w:p w:rsidR="00AB581E" w:rsidRDefault="00AB581E" w:rsidP="00AB581E">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A97CAD" w:rsidRPr="00AB581E" w:rsidRDefault="00A97CAD" w:rsidP="00AB581E">
      <w:pPr>
        <w:pStyle w:val="P00"/>
        <w:spacing w:before="72"/>
        <w:ind w:left="0" w:right="1134"/>
        <w:jc w:val="center"/>
        <w:rPr>
          <w:rStyle w:val="default"/>
          <w:rFonts w:cs="David"/>
          <w:color w:val="0000FF"/>
          <w:szCs w:val="24"/>
          <w:u w:val="single"/>
          <w:rtl/>
        </w:rPr>
      </w:pPr>
    </w:p>
    <w:sectPr w:rsidR="00A97CAD" w:rsidRPr="00AB581E">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05A4" w:rsidRDefault="00D605A4">
      <w:r>
        <w:separator/>
      </w:r>
    </w:p>
  </w:endnote>
  <w:endnote w:type="continuationSeparator" w:id="0">
    <w:p w:rsidR="00D605A4" w:rsidRDefault="00D6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CAD" w:rsidRDefault="00A97CA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97CAD" w:rsidRDefault="00A97C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7CAD" w:rsidRDefault="00A97C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4F79">
      <w:rPr>
        <w:rFonts w:cs="TopType Jerushalmi"/>
        <w:noProof/>
        <w:color w:val="000000"/>
        <w:sz w:val="14"/>
        <w:szCs w:val="14"/>
      </w:rPr>
      <w:t>Z:\00000000000000000000000=2014------------------------\05-May\2014-05-28\LawsForHofit\04\286_032.doc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CAD" w:rsidRDefault="00A97CA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B581E">
      <w:rPr>
        <w:rFonts w:hAnsi="FrankRuehl"/>
        <w:noProof/>
        <w:sz w:val="24"/>
        <w:szCs w:val="24"/>
        <w:rtl/>
      </w:rPr>
      <w:t>7</w:t>
    </w:r>
    <w:r>
      <w:rPr>
        <w:rFonts w:hAnsi="FrankRuehl"/>
        <w:sz w:val="24"/>
        <w:szCs w:val="24"/>
        <w:rtl/>
      </w:rPr>
      <w:fldChar w:fldCharType="end"/>
    </w:r>
  </w:p>
  <w:p w:rsidR="00A97CAD" w:rsidRDefault="00A97C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7CAD" w:rsidRDefault="00A97C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4F79">
      <w:rPr>
        <w:rFonts w:cs="TopType Jerushalmi"/>
        <w:noProof/>
        <w:color w:val="000000"/>
        <w:sz w:val="14"/>
        <w:szCs w:val="14"/>
      </w:rPr>
      <w:t>Z:\00000000000000000000000=2014------------------------\05-May\2014-05-28\LawsForHofit\04\286_032.doc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05A4" w:rsidRDefault="00D605A4" w:rsidP="002F5F7C">
      <w:pPr>
        <w:spacing w:before="60" w:line="240" w:lineRule="auto"/>
        <w:ind w:right="1134"/>
      </w:pPr>
      <w:r>
        <w:separator/>
      </w:r>
    </w:p>
  </w:footnote>
  <w:footnote w:type="continuationSeparator" w:id="0">
    <w:p w:rsidR="00D605A4" w:rsidRDefault="00D605A4">
      <w:r>
        <w:continuationSeparator/>
      </w:r>
    </w:p>
  </w:footnote>
  <w:footnote w:id="1">
    <w:p w:rsidR="002F5F7C" w:rsidRDefault="002F5F7C" w:rsidP="002F5F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F5F7C">
        <w:rPr>
          <w:sz w:val="20"/>
          <w:rtl/>
        </w:rPr>
        <w:t xml:space="preserve">* </w:t>
      </w:r>
      <w:r>
        <w:rPr>
          <w:sz w:val="20"/>
          <w:rtl/>
        </w:rPr>
        <w:t>פ</w:t>
      </w:r>
      <w:r>
        <w:rPr>
          <w:rFonts w:hint="cs"/>
          <w:sz w:val="20"/>
          <w:rtl/>
        </w:rPr>
        <w:t xml:space="preserve">ורסמו </w:t>
      </w:r>
      <w:hyperlink r:id="rId1" w:history="1">
        <w:r w:rsidRPr="00661344">
          <w:rPr>
            <w:rStyle w:val="Hyperlink"/>
            <w:rFonts w:hint="cs"/>
            <w:sz w:val="20"/>
            <w:rtl/>
          </w:rPr>
          <w:t>ק"ת תשל"ג מס' 2929</w:t>
        </w:r>
      </w:hyperlink>
      <w:r>
        <w:rPr>
          <w:rFonts w:hint="cs"/>
          <w:sz w:val="20"/>
          <w:rtl/>
        </w:rPr>
        <w:t xml:space="preserve"> מיום 9.11.1972 </w:t>
      </w:r>
      <w:r>
        <w:rPr>
          <w:sz w:val="20"/>
          <w:rtl/>
        </w:rPr>
        <w:t>ע</w:t>
      </w:r>
      <w:r>
        <w:rPr>
          <w:rFonts w:hint="cs"/>
          <w:sz w:val="20"/>
          <w:rtl/>
        </w:rPr>
        <w:t>מ' 220.</w:t>
      </w:r>
    </w:p>
    <w:p w:rsidR="002F5F7C" w:rsidRPr="00E533B3" w:rsidRDefault="002F5F7C" w:rsidP="002F5F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533B3">
        <w:rPr>
          <w:sz w:val="20"/>
          <w:rtl/>
        </w:rPr>
        <w:t>ת</w:t>
      </w:r>
      <w:r w:rsidRPr="00E533B3">
        <w:rPr>
          <w:rFonts w:hint="cs"/>
          <w:sz w:val="20"/>
          <w:rtl/>
        </w:rPr>
        <w:t xml:space="preserve">וקנו </w:t>
      </w:r>
      <w:hyperlink r:id="rId2" w:history="1">
        <w:r w:rsidRPr="00E533B3">
          <w:rPr>
            <w:rStyle w:val="Hyperlink"/>
            <w:rFonts w:hint="cs"/>
            <w:sz w:val="20"/>
            <w:rtl/>
          </w:rPr>
          <w:t>ק"ת תשל"ח מס' 3881</w:t>
        </w:r>
      </w:hyperlink>
      <w:r w:rsidRPr="00E533B3">
        <w:rPr>
          <w:rFonts w:hint="cs"/>
          <w:sz w:val="20"/>
          <w:rtl/>
        </w:rPr>
        <w:t xml:space="preserve"> מיום 14.8.1978 עמ' 1950</w:t>
      </w:r>
      <w:r w:rsidR="004A6CC8">
        <w:rPr>
          <w:rFonts w:hint="cs"/>
          <w:sz w:val="20"/>
          <w:rtl/>
        </w:rPr>
        <w:t xml:space="preserve"> </w:t>
      </w:r>
      <w:r w:rsidR="004A6CC8">
        <w:rPr>
          <w:sz w:val="20"/>
          <w:rtl/>
        </w:rPr>
        <w:t>–</w:t>
      </w:r>
      <w:r w:rsidR="004A6CC8">
        <w:rPr>
          <w:rFonts w:hint="cs"/>
          <w:sz w:val="20"/>
          <w:rtl/>
        </w:rPr>
        <w:t xml:space="preserve"> תק' תשל"ח-1978</w:t>
      </w:r>
      <w:r w:rsidRPr="00E533B3">
        <w:rPr>
          <w:rFonts w:hint="cs"/>
          <w:sz w:val="20"/>
          <w:rtl/>
        </w:rPr>
        <w:t>.</w:t>
      </w:r>
    </w:p>
    <w:p w:rsidR="002F5F7C" w:rsidRPr="002F5F7C" w:rsidRDefault="002F5F7C" w:rsidP="00A730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E533B3">
          <w:rPr>
            <w:rStyle w:val="Hyperlink"/>
            <w:sz w:val="20"/>
            <w:rtl/>
          </w:rPr>
          <w:t>ק</w:t>
        </w:r>
        <w:r w:rsidRPr="00E533B3">
          <w:rPr>
            <w:rStyle w:val="Hyperlink"/>
            <w:rFonts w:hint="cs"/>
            <w:sz w:val="20"/>
            <w:rtl/>
          </w:rPr>
          <w:t>"ת תשמ"ב מס' 4336</w:t>
        </w:r>
      </w:hyperlink>
      <w:r w:rsidRPr="00E533B3">
        <w:rPr>
          <w:rFonts w:hint="cs"/>
          <w:sz w:val="20"/>
          <w:rtl/>
        </w:rPr>
        <w:t xml:space="preserve"> מיום 15.4.1982 עמ' 846</w:t>
      </w:r>
      <w:r w:rsidR="00716BD8">
        <w:rPr>
          <w:rFonts w:hint="cs"/>
          <w:sz w:val="20"/>
          <w:rtl/>
        </w:rPr>
        <w:t xml:space="preserve"> </w:t>
      </w:r>
      <w:r w:rsidR="00716BD8">
        <w:rPr>
          <w:sz w:val="20"/>
          <w:rtl/>
        </w:rPr>
        <w:t>–</w:t>
      </w:r>
      <w:r w:rsidR="00716BD8">
        <w:rPr>
          <w:rFonts w:hint="cs"/>
          <w:sz w:val="20"/>
          <w:rtl/>
        </w:rPr>
        <w:t xml:space="preserve"> תק' תשמ"ב-1982</w:t>
      </w:r>
      <w:r w:rsidRPr="00E533B3">
        <w:rPr>
          <w:rFonts w:hint="cs"/>
          <w:sz w:val="20"/>
          <w:rtl/>
        </w:rPr>
        <w:t>.</w:t>
      </w:r>
      <w:r w:rsidR="00A730E5">
        <w:rPr>
          <w:rFonts w:hint="cs"/>
          <w:sz w:val="20"/>
          <w:rtl/>
        </w:rPr>
        <w:t xml:space="preserve"> </w:t>
      </w:r>
      <w:r w:rsidRPr="00E533B3">
        <w:rPr>
          <w:sz w:val="20"/>
          <w:rtl/>
        </w:rPr>
        <w:t>ת</w:t>
      </w:r>
      <w:r w:rsidRPr="00E533B3">
        <w:rPr>
          <w:rFonts w:hint="cs"/>
          <w:sz w:val="20"/>
          <w:rtl/>
        </w:rPr>
        <w:t xml:space="preserve">"ט </w:t>
      </w:r>
      <w:hyperlink r:id="rId4" w:history="1">
        <w:r w:rsidR="000B741F">
          <w:rPr>
            <w:rStyle w:val="Hyperlink"/>
            <w:rFonts w:hint="cs"/>
            <w:sz w:val="20"/>
            <w:rtl/>
          </w:rPr>
          <w:t>ק"ת תשמ"ב מ</w:t>
        </w:r>
        <w:r w:rsidRPr="00E533B3">
          <w:rPr>
            <w:rStyle w:val="Hyperlink"/>
            <w:rFonts w:hint="cs"/>
            <w:sz w:val="20"/>
            <w:rtl/>
          </w:rPr>
          <w:t>ס' 4351</w:t>
        </w:r>
      </w:hyperlink>
      <w:r w:rsidRPr="00E533B3">
        <w:rPr>
          <w:rFonts w:hint="cs"/>
          <w:sz w:val="20"/>
          <w:rtl/>
        </w:rPr>
        <w:t xml:space="preserve"> מיום 20.5.1982 עמ' 1012.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CAD" w:rsidRDefault="00A97CA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הסדר זכויות במקרקעין (הליכי הסדר וסדרי-דין), תשל"ג–1972</w:t>
    </w:r>
  </w:p>
  <w:p w:rsidR="00A97CAD" w:rsidRDefault="00A97CA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97CAD" w:rsidRDefault="00A97CA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CAD" w:rsidRDefault="00A97CAD" w:rsidP="002F5F7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הסדר זכויות במקרקעין (הליכי הסדר וסדרי-דין), תשל"ג</w:t>
    </w:r>
    <w:r w:rsidR="002F5F7C">
      <w:rPr>
        <w:rFonts w:hAnsi="FrankRuehl" w:hint="cs"/>
        <w:color w:val="000000"/>
        <w:sz w:val="28"/>
        <w:szCs w:val="28"/>
        <w:rtl/>
      </w:rPr>
      <w:t>-</w:t>
    </w:r>
    <w:r>
      <w:rPr>
        <w:rFonts w:hAnsi="FrankRuehl"/>
        <w:color w:val="000000"/>
        <w:sz w:val="28"/>
        <w:szCs w:val="28"/>
        <w:rtl/>
      </w:rPr>
      <w:t>1972</w:t>
    </w:r>
  </w:p>
  <w:p w:rsidR="00A97CAD" w:rsidRDefault="00A97CA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97CAD" w:rsidRDefault="00A97CA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3491"/>
    <w:rsid w:val="000B741F"/>
    <w:rsid w:val="00164571"/>
    <w:rsid w:val="002A59C4"/>
    <w:rsid w:val="002F5F7C"/>
    <w:rsid w:val="00336E38"/>
    <w:rsid w:val="00412919"/>
    <w:rsid w:val="004527C6"/>
    <w:rsid w:val="004A6CC8"/>
    <w:rsid w:val="005060EC"/>
    <w:rsid w:val="005137EA"/>
    <w:rsid w:val="005A5FB4"/>
    <w:rsid w:val="006440C0"/>
    <w:rsid w:val="0064519C"/>
    <w:rsid w:val="00661344"/>
    <w:rsid w:val="006D0E7F"/>
    <w:rsid w:val="00716BD8"/>
    <w:rsid w:val="00721FC5"/>
    <w:rsid w:val="00742748"/>
    <w:rsid w:val="009C3491"/>
    <w:rsid w:val="00A730E5"/>
    <w:rsid w:val="00A875D8"/>
    <w:rsid w:val="00A97CAD"/>
    <w:rsid w:val="00AB3902"/>
    <w:rsid w:val="00AB581E"/>
    <w:rsid w:val="00AC3BF7"/>
    <w:rsid w:val="00B43924"/>
    <w:rsid w:val="00B6788D"/>
    <w:rsid w:val="00BB3754"/>
    <w:rsid w:val="00BF24CD"/>
    <w:rsid w:val="00C03EF5"/>
    <w:rsid w:val="00CD4F79"/>
    <w:rsid w:val="00D44E35"/>
    <w:rsid w:val="00D57F5D"/>
    <w:rsid w:val="00D605A4"/>
    <w:rsid w:val="00E005F8"/>
    <w:rsid w:val="00E12CF3"/>
    <w:rsid w:val="00E533B3"/>
    <w:rsid w:val="00EE6276"/>
    <w:rsid w:val="00F874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6169E4A-3134-477A-BFA6-C947194B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sid w:val="002F5F7C"/>
    <w:rPr>
      <w:sz w:val="20"/>
      <w:szCs w:val="20"/>
    </w:rPr>
  </w:style>
  <w:style w:type="character" w:styleId="a7">
    <w:name w:val="footnote reference"/>
    <w:basedOn w:val="a0"/>
    <w:semiHidden/>
    <w:rsid w:val="002F5F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881.pdf" TargetMode="External"/><Relationship Id="rId13" Type="http://schemas.openxmlformats.org/officeDocument/2006/relationships/hyperlink" Target="http://www.nevo.co.il/Law_word/law01/286_032_a03.do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3881.pdf" TargetMode="External"/><Relationship Id="rId12" Type="http://schemas.openxmlformats.org/officeDocument/2006/relationships/hyperlink" Target="http://www.nevo.co.il/Law_word/law06/TAK-3881.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881.pdf" TargetMode="External"/><Relationship Id="rId11" Type="http://schemas.openxmlformats.org/officeDocument/2006/relationships/hyperlink" Target="http://www.nevo.co.il/Law_word/law06/TAK-4351.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1/286_032_a02.do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336.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36.pdf" TargetMode="External"/><Relationship Id="rId2" Type="http://schemas.openxmlformats.org/officeDocument/2006/relationships/hyperlink" Target="http://www.nevo.co.il/Law_word/law06/TAK-3881.pdf" TargetMode="External"/><Relationship Id="rId1" Type="http://schemas.openxmlformats.org/officeDocument/2006/relationships/hyperlink" Target="http://www.nevo.co.il/Law_word/law06/TAK-2929.pdf" TargetMode="External"/><Relationship Id="rId4" Type="http://schemas.openxmlformats.org/officeDocument/2006/relationships/hyperlink" Target="http://www.nevo.co.il/Law_word/law06/TAK-43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17057</CharactersWithSpaces>
  <SharedDoc>false</SharedDoc>
  <HLinks>
    <vt:vector size="378" baseType="variant">
      <vt:variant>
        <vt:i4>393283</vt:i4>
      </vt:variant>
      <vt:variant>
        <vt:i4>321</vt:i4>
      </vt:variant>
      <vt:variant>
        <vt:i4>0</vt:i4>
      </vt:variant>
      <vt:variant>
        <vt:i4>5</vt:i4>
      </vt:variant>
      <vt:variant>
        <vt:lpwstr>http://www.nevo.co.il/advertisements/nevo-100.doc</vt:lpwstr>
      </vt:variant>
      <vt:variant>
        <vt:lpwstr/>
      </vt:variant>
      <vt:variant>
        <vt:i4>393283</vt:i4>
      </vt:variant>
      <vt:variant>
        <vt:i4>318</vt:i4>
      </vt:variant>
      <vt:variant>
        <vt:i4>0</vt:i4>
      </vt:variant>
      <vt:variant>
        <vt:i4>5</vt:i4>
      </vt:variant>
      <vt:variant>
        <vt:lpwstr>http://www.nevo.co.il/advertisements/nevo-100.doc</vt:lpwstr>
      </vt:variant>
      <vt:variant>
        <vt:lpwstr/>
      </vt:variant>
      <vt:variant>
        <vt:i4>7864398</vt:i4>
      </vt:variant>
      <vt:variant>
        <vt:i4>315</vt:i4>
      </vt:variant>
      <vt:variant>
        <vt:i4>0</vt:i4>
      </vt:variant>
      <vt:variant>
        <vt:i4>5</vt:i4>
      </vt:variant>
      <vt:variant>
        <vt:lpwstr>http://www.nevo.co.il/Law_word/law01/286_032_a03.doc</vt:lpwstr>
      </vt:variant>
      <vt:variant>
        <vt:lpwstr/>
      </vt:variant>
      <vt:variant>
        <vt:i4>7471105</vt:i4>
      </vt:variant>
      <vt:variant>
        <vt:i4>312</vt:i4>
      </vt:variant>
      <vt:variant>
        <vt:i4>0</vt:i4>
      </vt:variant>
      <vt:variant>
        <vt:i4>5</vt:i4>
      </vt:variant>
      <vt:variant>
        <vt:lpwstr>http://www.nevo.co.il/Law_word/law06/TAK-3881.pdf</vt:lpwstr>
      </vt:variant>
      <vt:variant>
        <vt:lpwstr/>
      </vt:variant>
      <vt:variant>
        <vt:i4>7864330</vt:i4>
      </vt:variant>
      <vt:variant>
        <vt:i4>309</vt:i4>
      </vt:variant>
      <vt:variant>
        <vt:i4>0</vt:i4>
      </vt:variant>
      <vt:variant>
        <vt:i4>5</vt:i4>
      </vt:variant>
      <vt:variant>
        <vt:lpwstr>http://www.nevo.co.il/Law_word/law06/TAK-4351.pdf</vt:lpwstr>
      </vt:variant>
      <vt:variant>
        <vt:lpwstr/>
      </vt:variant>
      <vt:variant>
        <vt:i4>7929934</vt:i4>
      </vt:variant>
      <vt:variant>
        <vt:i4>306</vt:i4>
      </vt:variant>
      <vt:variant>
        <vt:i4>0</vt:i4>
      </vt:variant>
      <vt:variant>
        <vt:i4>5</vt:i4>
      </vt:variant>
      <vt:variant>
        <vt:lpwstr>http://www.nevo.co.il/Law_word/law01/286_032_a02.doc</vt:lpwstr>
      </vt:variant>
      <vt:variant>
        <vt:lpwstr/>
      </vt:variant>
      <vt:variant>
        <vt:i4>8257549</vt:i4>
      </vt:variant>
      <vt:variant>
        <vt:i4>303</vt:i4>
      </vt:variant>
      <vt:variant>
        <vt:i4>0</vt:i4>
      </vt:variant>
      <vt:variant>
        <vt:i4>5</vt:i4>
      </vt:variant>
      <vt:variant>
        <vt:lpwstr>http://www.nevo.co.il/Law_word/law06/TAK-4336.pdf</vt:lpwstr>
      </vt:variant>
      <vt:variant>
        <vt:lpwstr/>
      </vt:variant>
      <vt:variant>
        <vt:i4>7471105</vt:i4>
      </vt:variant>
      <vt:variant>
        <vt:i4>300</vt:i4>
      </vt:variant>
      <vt:variant>
        <vt:i4>0</vt:i4>
      </vt:variant>
      <vt:variant>
        <vt:i4>5</vt:i4>
      </vt:variant>
      <vt:variant>
        <vt:lpwstr>http://www.nevo.co.il/Law_word/law06/TAK-3881.pdf</vt:lpwstr>
      </vt:variant>
      <vt:variant>
        <vt:lpwstr/>
      </vt:variant>
      <vt:variant>
        <vt:i4>7471105</vt:i4>
      </vt:variant>
      <vt:variant>
        <vt:i4>297</vt:i4>
      </vt:variant>
      <vt:variant>
        <vt:i4>0</vt:i4>
      </vt:variant>
      <vt:variant>
        <vt:i4>5</vt:i4>
      </vt:variant>
      <vt:variant>
        <vt:lpwstr>http://www.nevo.co.il/Law_word/law06/TAK-3881.pdf</vt:lpwstr>
      </vt:variant>
      <vt:variant>
        <vt:lpwstr/>
      </vt:variant>
      <vt:variant>
        <vt:i4>7471105</vt:i4>
      </vt:variant>
      <vt:variant>
        <vt:i4>294</vt:i4>
      </vt:variant>
      <vt:variant>
        <vt:i4>0</vt:i4>
      </vt:variant>
      <vt:variant>
        <vt:i4>5</vt:i4>
      </vt:variant>
      <vt:variant>
        <vt:lpwstr>http://www.nevo.co.il/Law_word/law06/TAK-3881.pdf</vt:lpwstr>
      </vt:variant>
      <vt:variant>
        <vt:lpwstr/>
      </vt:variant>
      <vt:variant>
        <vt:i4>5439497</vt:i4>
      </vt:variant>
      <vt:variant>
        <vt:i4>288</vt:i4>
      </vt:variant>
      <vt:variant>
        <vt:i4>0</vt:i4>
      </vt:variant>
      <vt:variant>
        <vt:i4>5</vt:i4>
      </vt:variant>
      <vt:variant>
        <vt:lpwstr/>
      </vt:variant>
      <vt:variant>
        <vt:lpwstr>med6</vt:lpwstr>
      </vt:variant>
      <vt:variant>
        <vt:i4>3211310</vt:i4>
      </vt:variant>
      <vt:variant>
        <vt:i4>282</vt:i4>
      </vt:variant>
      <vt:variant>
        <vt:i4>0</vt:i4>
      </vt:variant>
      <vt:variant>
        <vt:i4>5</vt:i4>
      </vt:variant>
      <vt:variant>
        <vt:lpwstr/>
      </vt:variant>
      <vt:variant>
        <vt:lpwstr>Seif42</vt:lpwstr>
      </vt:variant>
      <vt:variant>
        <vt:i4>5242889</vt:i4>
      </vt:variant>
      <vt:variant>
        <vt:i4>276</vt:i4>
      </vt:variant>
      <vt:variant>
        <vt:i4>0</vt:i4>
      </vt:variant>
      <vt:variant>
        <vt:i4>5</vt:i4>
      </vt:variant>
      <vt:variant>
        <vt:lpwstr/>
      </vt:variant>
      <vt:variant>
        <vt:lpwstr>med5</vt:lpwstr>
      </vt:variant>
      <vt:variant>
        <vt:i4>5308425</vt:i4>
      </vt:variant>
      <vt:variant>
        <vt:i4>270</vt:i4>
      </vt:variant>
      <vt:variant>
        <vt:i4>0</vt:i4>
      </vt:variant>
      <vt:variant>
        <vt:i4>5</vt:i4>
      </vt:variant>
      <vt:variant>
        <vt:lpwstr/>
      </vt:variant>
      <vt:variant>
        <vt:lpwstr>med4</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5636105</vt:i4>
      </vt:variant>
      <vt:variant>
        <vt:i4>246</vt:i4>
      </vt:variant>
      <vt:variant>
        <vt:i4>0</vt:i4>
      </vt:variant>
      <vt:variant>
        <vt:i4>5</vt:i4>
      </vt:variant>
      <vt:variant>
        <vt:lpwstr/>
      </vt:variant>
      <vt:variant>
        <vt:lpwstr>med3</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5701641</vt:i4>
      </vt:variant>
      <vt:variant>
        <vt:i4>228</vt:i4>
      </vt:variant>
      <vt:variant>
        <vt:i4>0</vt:i4>
      </vt:variant>
      <vt:variant>
        <vt:i4>5</vt:i4>
      </vt:variant>
      <vt:variant>
        <vt:lpwstr/>
      </vt:variant>
      <vt:variant>
        <vt:lpwstr>med2</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5505033</vt:i4>
      </vt:variant>
      <vt:variant>
        <vt:i4>72</vt:i4>
      </vt:variant>
      <vt:variant>
        <vt:i4>0</vt:i4>
      </vt:variant>
      <vt:variant>
        <vt:i4>5</vt:i4>
      </vt:variant>
      <vt:variant>
        <vt:lpwstr/>
      </vt:variant>
      <vt:variant>
        <vt:lpwstr>med1</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7864330</vt:i4>
      </vt:variant>
      <vt:variant>
        <vt:i4>9</vt:i4>
      </vt:variant>
      <vt:variant>
        <vt:i4>0</vt:i4>
      </vt:variant>
      <vt:variant>
        <vt:i4>5</vt:i4>
      </vt:variant>
      <vt:variant>
        <vt:lpwstr>http://www.nevo.co.il/Law_word/law06/TAK-4351.pdf</vt:lpwstr>
      </vt:variant>
      <vt:variant>
        <vt:lpwstr/>
      </vt:variant>
      <vt:variant>
        <vt:i4>8257549</vt:i4>
      </vt:variant>
      <vt:variant>
        <vt:i4>6</vt:i4>
      </vt:variant>
      <vt:variant>
        <vt:i4>0</vt:i4>
      </vt:variant>
      <vt:variant>
        <vt:i4>5</vt:i4>
      </vt:variant>
      <vt:variant>
        <vt:lpwstr>http://www.nevo.co.il/Law_word/law06/TAK-4336.pdf</vt:lpwstr>
      </vt:variant>
      <vt:variant>
        <vt:lpwstr/>
      </vt:variant>
      <vt:variant>
        <vt:i4>7471105</vt:i4>
      </vt:variant>
      <vt:variant>
        <vt:i4>3</vt:i4>
      </vt:variant>
      <vt:variant>
        <vt:i4>0</vt:i4>
      </vt:variant>
      <vt:variant>
        <vt:i4>5</vt:i4>
      </vt:variant>
      <vt:variant>
        <vt:lpwstr>http://www.nevo.co.il/Law_word/law06/TAK-3881.pdf</vt:lpwstr>
      </vt:variant>
      <vt:variant>
        <vt:lpwstr/>
      </vt:variant>
      <vt:variant>
        <vt:i4>7929864</vt:i4>
      </vt:variant>
      <vt:variant>
        <vt:i4>0</vt:i4>
      </vt:variant>
      <vt:variant>
        <vt:i4>0</vt:i4>
      </vt:variant>
      <vt:variant>
        <vt:i4>5</vt:i4>
      </vt:variant>
      <vt:variant>
        <vt:lpwstr>http://www.nevo.co.il/Law_word/law06/TAK-2929.pdf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הסדר זכויות במקרקעין (הליכי הסדר וסדרי-דין), תשל"ג-1972</vt:lpwstr>
  </property>
  <property fmtid="{D5CDD505-2E9C-101B-9397-08002B2CF9AE}" pid="5" name="LAWNUMBER">
    <vt:lpwstr>0032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