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F95" w:rsidRDefault="00AC0F95" w:rsidP="00CF2ED3">
      <w:pPr>
        <w:pStyle w:val="big-header"/>
        <w:ind w:left="0" w:right="1134"/>
        <w:rPr>
          <w:rFonts w:cs="FrankRuehl" w:hint="cs"/>
          <w:sz w:val="32"/>
          <w:rtl/>
        </w:rPr>
      </w:pPr>
      <w:r>
        <w:rPr>
          <w:rFonts w:cs="FrankRuehl"/>
          <w:sz w:val="32"/>
          <w:rtl/>
        </w:rPr>
        <w:t>תקנות הסדרים במגזר החקלאי המשפחתי (הפסקת הליכים והעברתם למשקם), תשנ"ג</w:t>
      </w:r>
      <w:r w:rsidR="00CF2ED3">
        <w:rPr>
          <w:rFonts w:cs="FrankRuehl" w:hint="cs"/>
          <w:sz w:val="32"/>
          <w:rtl/>
        </w:rPr>
        <w:t>-</w:t>
      </w:r>
      <w:r>
        <w:rPr>
          <w:rFonts w:cs="FrankRuehl"/>
          <w:sz w:val="32"/>
          <w:rtl/>
        </w:rPr>
        <w:t>1992</w:t>
      </w:r>
    </w:p>
    <w:p w:rsidR="001655E8" w:rsidRDefault="001655E8" w:rsidP="001655E8">
      <w:pPr>
        <w:spacing w:line="320" w:lineRule="auto"/>
        <w:jc w:val="left"/>
        <w:rPr>
          <w:rFonts w:cs="FrankRuehl" w:hint="cs"/>
          <w:szCs w:val="26"/>
          <w:rtl/>
        </w:rPr>
      </w:pPr>
    </w:p>
    <w:p w:rsidR="0043685D" w:rsidRPr="001655E8" w:rsidRDefault="0043685D" w:rsidP="001655E8">
      <w:pPr>
        <w:spacing w:line="320" w:lineRule="auto"/>
        <w:jc w:val="left"/>
        <w:rPr>
          <w:rFonts w:cs="FrankRuehl" w:hint="cs"/>
          <w:szCs w:val="26"/>
          <w:rtl/>
        </w:rPr>
      </w:pPr>
    </w:p>
    <w:p w:rsidR="001655E8" w:rsidRPr="001655E8" w:rsidRDefault="001655E8" w:rsidP="001655E8">
      <w:pPr>
        <w:spacing w:line="320" w:lineRule="auto"/>
        <w:jc w:val="left"/>
        <w:rPr>
          <w:rFonts w:cs="Miriam" w:hint="cs"/>
          <w:szCs w:val="22"/>
          <w:rtl/>
        </w:rPr>
      </w:pPr>
      <w:r w:rsidRPr="001655E8">
        <w:rPr>
          <w:rFonts w:cs="Miriam"/>
          <w:szCs w:val="22"/>
          <w:rtl/>
        </w:rPr>
        <w:t>חקלאות טבע וסביבה</w:t>
      </w:r>
      <w:r w:rsidRPr="001655E8">
        <w:rPr>
          <w:rFonts w:cs="FrankRuehl"/>
          <w:szCs w:val="26"/>
          <w:rtl/>
        </w:rPr>
        <w:t xml:space="preserve"> – חקלאות – המגזר החקלאי המשפחתי  – משקמים</w:t>
      </w:r>
    </w:p>
    <w:p w:rsidR="00AC0F95" w:rsidRDefault="00AC0F9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18C2" w:rsidRPr="00E218C2" w:rsidTr="00E218C2">
        <w:tblPrEx>
          <w:tblCellMar>
            <w:top w:w="0" w:type="dxa"/>
            <w:bottom w:w="0" w:type="dxa"/>
          </w:tblCellMar>
        </w:tblPrEx>
        <w:tc>
          <w:tcPr>
            <w:tcW w:w="1247" w:type="dxa"/>
          </w:tcPr>
          <w:p w:rsidR="00E218C2" w:rsidRPr="00E218C2" w:rsidRDefault="00E218C2" w:rsidP="00E218C2">
            <w:pPr>
              <w:spacing w:line="240" w:lineRule="auto"/>
              <w:jc w:val="left"/>
              <w:rPr>
                <w:rFonts w:cs="Frankruhel"/>
                <w:sz w:val="24"/>
                <w:rtl/>
              </w:rPr>
            </w:pPr>
            <w:r>
              <w:rPr>
                <w:sz w:val="24"/>
                <w:rtl/>
              </w:rPr>
              <w:t xml:space="preserve">סעיף 1 </w:t>
            </w:r>
          </w:p>
        </w:tc>
        <w:tc>
          <w:tcPr>
            <w:tcW w:w="5669" w:type="dxa"/>
          </w:tcPr>
          <w:p w:rsidR="00E218C2" w:rsidRPr="00E218C2" w:rsidRDefault="00E218C2" w:rsidP="00E218C2">
            <w:pPr>
              <w:spacing w:line="240" w:lineRule="auto"/>
              <w:jc w:val="left"/>
              <w:rPr>
                <w:rFonts w:cs="Frankruhel"/>
                <w:sz w:val="24"/>
                <w:rtl/>
              </w:rPr>
            </w:pPr>
            <w:r>
              <w:rPr>
                <w:sz w:val="24"/>
                <w:rtl/>
              </w:rPr>
              <w:t>הודעה בדבר תחולת הוראות החוק</w:t>
            </w:r>
          </w:p>
        </w:tc>
        <w:tc>
          <w:tcPr>
            <w:tcW w:w="567" w:type="dxa"/>
          </w:tcPr>
          <w:p w:rsidR="00E218C2" w:rsidRPr="00E218C2" w:rsidRDefault="00E218C2" w:rsidP="00E218C2">
            <w:pPr>
              <w:spacing w:line="240" w:lineRule="auto"/>
              <w:jc w:val="left"/>
              <w:rPr>
                <w:rStyle w:val="Hyperlink"/>
                <w:rtl/>
              </w:rPr>
            </w:pPr>
            <w:hyperlink w:anchor="Seif1" w:tooltip="הודעה בדבר תחולת הוראות החוק" w:history="1">
              <w:r w:rsidRPr="00E218C2">
                <w:rPr>
                  <w:rStyle w:val="Hyperlink"/>
                </w:rPr>
                <w:t>Go</w:t>
              </w:r>
            </w:hyperlink>
          </w:p>
        </w:tc>
        <w:tc>
          <w:tcPr>
            <w:tcW w:w="850" w:type="dxa"/>
          </w:tcPr>
          <w:p w:rsidR="00E218C2" w:rsidRPr="00E218C2" w:rsidRDefault="00E218C2" w:rsidP="00E218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18C2" w:rsidRPr="00E218C2" w:rsidTr="00E218C2">
        <w:tblPrEx>
          <w:tblCellMar>
            <w:top w:w="0" w:type="dxa"/>
            <w:bottom w:w="0" w:type="dxa"/>
          </w:tblCellMar>
        </w:tblPrEx>
        <w:tc>
          <w:tcPr>
            <w:tcW w:w="1247" w:type="dxa"/>
          </w:tcPr>
          <w:p w:rsidR="00E218C2" w:rsidRPr="00E218C2" w:rsidRDefault="00E218C2" w:rsidP="00E218C2">
            <w:pPr>
              <w:spacing w:line="240" w:lineRule="auto"/>
              <w:jc w:val="left"/>
              <w:rPr>
                <w:rFonts w:cs="Frankruhel"/>
                <w:sz w:val="24"/>
                <w:rtl/>
              </w:rPr>
            </w:pPr>
            <w:r>
              <w:rPr>
                <w:sz w:val="24"/>
                <w:rtl/>
              </w:rPr>
              <w:t xml:space="preserve">סעיף 2 </w:t>
            </w:r>
          </w:p>
        </w:tc>
        <w:tc>
          <w:tcPr>
            <w:tcW w:w="5669" w:type="dxa"/>
          </w:tcPr>
          <w:p w:rsidR="00E218C2" w:rsidRPr="00E218C2" w:rsidRDefault="00E218C2" w:rsidP="00E218C2">
            <w:pPr>
              <w:spacing w:line="240" w:lineRule="auto"/>
              <w:jc w:val="left"/>
              <w:rPr>
                <w:rFonts w:cs="Frankruhel"/>
                <w:sz w:val="24"/>
                <w:rtl/>
              </w:rPr>
            </w:pPr>
            <w:r>
              <w:rPr>
                <w:sz w:val="24"/>
                <w:rtl/>
              </w:rPr>
              <w:t>השהיית הליכים</w:t>
            </w:r>
          </w:p>
        </w:tc>
        <w:tc>
          <w:tcPr>
            <w:tcW w:w="567" w:type="dxa"/>
          </w:tcPr>
          <w:p w:rsidR="00E218C2" w:rsidRPr="00E218C2" w:rsidRDefault="00E218C2" w:rsidP="00E218C2">
            <w:pPr>
              <w:spacing w:line="240" w:lineRule="auto"/>
              <w:jc w:val="left"/>
              <w:rPr>
                <w:rStyle w:val="Hyperlink"/>
                <w:rtl/>
              </w:rPr>
            </w:pPr>
            <w:hyperlink w:anchor="Seif2" w:tooltip="השהיית הליכים" w:history="1">
              <w:r w:rsidRPr="00E218C2">
                <w:rPr>
                  <w:rStyle w:val="Hyperlink"/>
                </w:rPr>
                <w:t>Go</w:t>
              </w:r>
            </w:hyperlink>
          </w:p>
        </w:tc>
        <w:tc>
          <w:tcPr>
            <w:tcW w:w="850" w:type="dxa"/>
          </w:tcPr>
          <w:p w:rsidR="00E218C2" w:rsidRPr="00E218C2" w:rsidRDefault="00E218C2" w:rsidP="00E218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18C2" w:rsidRPr="00E218C2" w:rsidTr="00E218C2">
        <w:tblPrEx>
          <w:tblCellMar>
            <w:top w:w="0" w:type="dxa"/>
            <w:bottom w:w="0" w:type="dxa"/>
          </w:tblCellMar>
        </w:tblPrEx>
        <w:tc>
          <w:tcPr>
            <w:tcW w:w="1247" w:type="dxa"/>
          </w:tcPr>
          <w:p w:rsidR="00E218C2" w:rsidRPr="00E218C2" w:rsidRDefault="00E218C2" w:rsidP="00E218C2">
            <w:pPr>
              <w:spacing w:line="240" w:lineRule="auto"/>
              <w:jc w:val="left"/>
              <w:rPr>
                <w:rFonts w:cs="Frankruhel"/>
                <w:sz w:val="24"/>
                <w:rtl/>
              </w:rPr>
            </w:pPr>
            <w:r>
              <w:rPr>
                <w:sz w:val="24"/>
                <w:rtl/>
              </w:rPr>
              <w:t xml:space="preserve">סעיף 3 </w:t>
            </w:r>
          </w:p>
        </w:tc>
        <w:tc>
          <w:tcPr>
            <w:tcW w:w="5669" w:type="dxa"/>
          </w:tcPr>
          <w:p w:rsidR="00E218C2" w:rsidRPr="00E218C2" w:rsidRDefault="00E218C2" w:rsidP="00E218C2">
            <w:pPr>
              <w:spacing w:line="240" w:lineRule="auto"/>
              <w:jc w:val="left"/>
              <w:rPr>
                <w:rFonts w:cs="Frankruhel"/>
                <w:sz w:val="24"/>
                <w:rtl/>
              </w:rPr>
            </w:pPr>
            <w:r>
              <w:rPr>
                <w:sz w:val="24"/>
                <w:rtl/>
              </w:rPr>
              <w:t>תגובת הצדדים</w:t>
            </w:r>
          </w:p>
        </w:tc>
        <w:tc>
          <w:tcPr>
            <w:tcW w:w="567" w:type="dxa"/>
          </w:tcPr>
          <w:p w:rsidR="00E218C2" w:rsidRPr="00E218C2" w:rsidRDefault="00E218C2" w:rsidP="00E218C2">
            <w:pPr>
              <w:spacing w:line="240" w:lineRule="auto"/>
              <w:jc w:val="left"/>
              <w:rPr>
                <w:rStyle w:val="Hyperlink"/>
                <w:rtl/>
              </w:rPr>
            </w:pPr>
            <w:hyperlink w:anchor="Seif3" w:tooltip="תגובת הצדדים" w:history="1">
              <w:r w:rsidRPr="00E218C2">
                <w:rPr>
                  <w:rStyle w:val="Hyperlink"/>
                </w:rPr>
                <w:t>Go</w:t>
              </w:r>
            </w:hyperlink>
          </w:p>
        </w:tc>
        <w:tc>
          <w:tcPr>
            <w:tcW w:w="850" w:type="dxa"/>
          </w:tcPr>
          <w:p w:rsidR="00E218C2" w:rsidRPr="00E218C2" w:rsidRDefault="00E218C2" w:rsidP="00E218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18C2" w:rsidRPr="00E218C2" w:rsidTr="00E218C2">
        <w:tblPrEx>
          <w:tblCellMar>
            <w:top w:w="0" w:type="dxa"/>
            <w:bottom w:w="0" w:type="dxa"/>
          </w:tblCellMar>
        </w:tblPrEx>
        <w:tc>
          <w:tcPr>
            <w:tcW w:w="1247" w:type="dxa"/>
          </w:tcPr>
          <w:p w:rsidR="00E218C2" w:rsidRPr="00E218C2" w:rsidRDefault="00E218C2" w:rsidP="00E218C2">
            <w:pPr>
              <w:spacing w:line="240" w:lineRule="auto"/>
              <w:jc w:val="left"/>
              <w:rPr>
                <w:rFonts w:cs="Frankruhel"/>
                <w:sz w:val="24"/>
                <w:rtl/>
              </w:rPr>
            </w:pPr>
            <w:r>
              <w:rPr>
                <w:sz w:val="24"/>
                <w:rtl/>
              </w:rPr>
              <w:t xml:space="preserve">סעיף 4 </w:t>
            </w:r>
          </w:p>
        </w:tc>
        <w:tc>
          <w:tcPr>
            <w:tcW w:w="5669" w:type="dxa"/>
          </w:tcPr>
          <w:p w:rsidR="00E218C2" w:rsidRPr="00E218C2" w:rsidRDefault="00E218C2" w:rsidP="00E218C2">
            <w:pPr>
              <w:spacing w:line="240" w:lineRule="auto"/>
              <w:jc w:val="left"/>
              <w:rPr>
                <w:rFonts w:cs="Frankruhel"/>
                <w:sz w:val="24"/>
                <w:rtl/>
              </w:rPr>
            </w:pPr>
            <w:r>
              <w:rPr>
                <w:sz w:val="24"/>
                <w:rtl/>
              </w:rPr>
              <w:t>העברת הליכים למשקם</w:t>
            </w:r>
          </w:p>
        </w:tc>
        <w:tc>
          <w:tcPr>
            <w:tcW w:w="567" w:type="dxa"/>
          </w:tcPr>
          <w:p w:rsidR="00E218C2" w:rsidRPr="00E218C2" w:rsidRDefault="00E218C2" w:rsidP="00E218C2">
            <w:pPr>
              <w:spacing w:line="240" w:lineRule="auto"/>
              <w:jc w:val="left"/>
              <w:rPr>
                <w:rStyle w:val="Hyperlink"/>
                <w:rtl/>
              </w:rPr>
            </w:pPr>
            <w:hyperlink w:anchor="Seif4" w:tooltip="העברת הליכים למשקם" w:history="1">
              <w:r w:rsidRPr="00E218C2">
                <w:rPr>
                  <w:rStyle w:val="Hyperlink"/>
                </w:rPr>
                <w:t>Go</w:t>
              </w:r>
            </w:hyperlink>
          </w:p>
        </w:tc>
        <w:tc>
          <w:tcPr>
            <w:tcW w:w="850" w:type="dxa"/>
          </w:tcPr>
          <w:p w:rsidR="00E218C2" w:rsidRPr="00E218C2" w:rsidRDefault="00E218C2" w:rsidP="00E218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18C2" w:rsidRPr="00E218C2" w:rsidTr="00E218C2">
        <w:tblPrEx>
          <w:tblCellMar>
            <w:top w:w="0" w:type="dxa"/>
            <w:bottom w:w="0" w:type="dxa"/>
          </w:tblCellMar>
        </w:tblPrEx>
        <w:tc>
          <w:tcPr>
            <w:tcW w:w="1247" w:type="dxa"/>
          </w:tcPr>
          <w:p w:rsidR="00E218C2" w:rsidRPr="00E218C2" w:rsidRDefault="00E218C2" w:rsidP="00E218C2">
            <w:pPr>
              <w:spacing w:line="240" w:lineRule="auto"/>
              <w:jc w:val="left"/>
              <w:rPr>
                <w:rFonts w:cs="Frankruhel"/>
                <w:sz w:val="24"/>
                <w:rtl/>
              </w:rPr>
            </w:pPr>
            <w:r>
              <w:rPr>
                <w:sz w:val="24"/>
                <w:rtl/>
              </w:rPr>
              <w:t xml:space="preserve">סעיף 5 </w:t>
            </w:r>
          </w:p>
        </w:tc>
        <w:tc>
          <w:tcPr>
            <w:tcW w:w="5669" w:type="dxa"/>
          </w:tcPr>
          <w:p w:rsidR="00E218C2" w:rsidRPr="00E218C2" w:rsidRDefault="00E218C2" w:rsidP="00E218C2">
            <w:pPr>
              <w:spacing w:line="240" w:lineRule="auto"/>
              <w:jc w:val="left"/>
              <w:rPr>
                <w:rFonts w:cs="Frankruhel"/>
                <w:sz w:val="24"/>
                <w:rtl/>
              </w:rPr>
            </w:pPr>
            <w:r>
              <w:rPr>
                <w:sz w:val="24"/>
                <w:rtl/>
              </w:rPr>
              <w:t>העברה של הליכים אחרים</w:t>
            </w:r>
          </w:p>
        </w:tc>
        <w:tc>
          <w:tcPr>
            <w:tcW w:w="567" w:type="dxa"/>
          </w:tcPr>
          <w:p w:rsidR="00E218C2" w:rsidRPr="00E218C2" w:rsidRDefault="00E218C2" w:rsidP="00E218C2">
            <w:pPr>
              <w:spacing w:line="240" w:lineRule="auto"/>
              <w:jc w:val="left"/>
              <w:rPr>
                <w:rStyle w:val="Hyperlink"/>
                <w:rtl/>
              </w:rPr>
            </w:pPr>
            <w:hyperlink w:anchor="Seif5" w:tooltip="העברה של הליכים אחרים" w:history="1">
              <w:r w:rsidRPr="00E218C2">
                <w:rPr>
                  <w:rStyle w:val="Hyperlink"/>
                </w:rPr>
                <w:t>Go</w:t>
              </w:r>
            </w:hyperlink>
          </w:p>
        </w:tc>
        <w:tc>
          <w:tcPr>
            <w:tcW w:w="850" w:type="dxa"/>
          </w:tcPr>
          <w:p w:rsidR="00E218C2" w:rsidRPr="00E218C2" w:rsidRDefault="00E218C2" w:rsidP="00E218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18C2" w:rsidRPr="00E218C2" w:rsidTr="00E218C2">
        <w:tblPrEx>
          <w:tblCellMar>
            <w:top w:w="0" w:type="dxa"/>
            <w:bottom w:w="0" w:type="dxa"/>
          </w:tblCellMar>
        </w:tblPrEx>
        <w:tc>
          <w:tcPr>
            <w:tcW w:w="1247" w:type="dxa"/>
          </w:tcPr>
          <w:p w:rsidR="00E218C2" w:rsidRPr="00E218C2" w:rsidRDefault="00E218C2" w:rsidP="00E218C2">
            <w:pPr>
              <w:spacing w:line="240" w:lineRule="auto"/>
              <w:jc w:val="left"/>
              <w:rPr>
                <w:rFonts w:cs="Frankruhel"/>
                <w:sz w:val="24"/>
                <w:rtl/>
              </w:rPr>
            </w:pPr>
            <w:r>
              <w:rPr>
                <w:sz w:val="24"/>
                <w:rtl/>
              </w:rPr>
              <w:t xml:space="preserve">סעיף 6 </w:t>
            </w:r>
          </w:p>
        </w:tc>
        <w:tc>
          <w:tcPr>
            <w:tcW w:w="5669" w:type="dxa"/>
          </w:tcPr>
          <w:p w:rsidR="00E218C2" w:rsidRPr="00E218C2" w:rsidRDefault="00E218C2" w:rsidP="00E218C2">
            <w:pPr>
              <w:spacing w:line="240" w:lineRule="auto"/>
              <w:jc w:val="left"/>
              <w:rPr>
                <w:rFonts w:cs="Frankruhel"/>
                <w:sz w:val="24"/>
                <w:rtl/>
              </w:rPr>
            </w:pPr>
            <w:r>
              <w:rPr>
                <w:sz w:val="24"/>
                <w:rtl/>
              </w:rPr>
              <w:t>המשכת הדיון בפני המשקם</w:t>
            </w:r>
          </w:p>
        </w:tc>
        <w:tc>
          <w:tcPr>
            <w:tcW w:w="567" w:type="dxa"/>
          </w:tcPr>
          <w:p w:rsidR="00E218C2" w:rsidRPr="00E218C2" w:rsidRDefault="00E218C2" w:rsidP="00E218C2">
            <w:pPr>
              <w:spacing w:line="240" w:lineRule="auto"/>
              <w:jc w:val="left"/>
              <w:rPr>
                <w:rStyle w:val="Hyperlink"/>
                <w:rtl/>
              </w:rPr>
            </w:pPr>
            <w:hyperlink w:anchor="Seif6" w:tooltip="המשכת הדיון בפני המשקם" w:history="1">
              <w:r w:rsidRPr="00E218C2">
                <w:rPr>
                  <w:rStyle w:val="Hyperlink"/>
                </w:rPr>
                <w:t>Go</w:t>
              </w:r>
            </w:hyperlink>
          </w:p>
        </w:tc>
        <w:tc>
          <w:tcPr>
            <w:tcW w:w="850" w:type="dxa"/>
          </w:tcPr>
          <w:p w:rsidR="00E218C2" w:rsidRPr="00E218C2" w:rsidRDefault="00E218C2" w:rsidP="00E218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18C2" w:rsidRPr="00E218C2" w:rsidTr="00E218C2">
        <w:tblPrEx>
          <w:tblCellMar>
            <w:top w:w="0" w:type="dxa"/>
            <w:bottom w:w="0" w:type="dxa"/>
          </w:tblCellMar>
        </w:tblPrEx>
        <w:tc>
          <w:tcPr>
            <w:tcW w:w="1247" w:type="dxa"/>
          </w:tcPr>
          <w:p w:rsidR="00E218C2" w:rsidRPr="00E218C2" w:rsidRDefault="00E218C2" w:rsidP="00E218C2">
            <w:pPr>
              <w:spacing w:line="240" w:lineRule="auto"/>
              <w:jc w:val="left"/>
              <w:rPr>
                <w:rFonts w:cs="Frankruhel"/>
                <w:sz w:val="24"/>
                <w:rtl/>
              </w:rPr>
            </w:pPr>
            <w:r>
              <w:rPr>
                <w:sz w:val="24"/>
                <w:rtl/>
              </w:rPr>
              <w:t xml:space="preserve">סעיף 7 </w:t>
            </w:r>
          </w:p>
        </w:tc>
        <w:tc>
          <w:tcPr>
            <w:tcW w:w="5669" w:type="dxa"/>
          </w:tcPr>
          <w:p w:rsidR="00E218C2" w:rsidRPr="00E218C2" w:rsidRDefault="00E218C2" w:rsidP="00E218C2">
            <w:pPr>
              <w:spacing w:line="240" w:lineRule="auto"/>
              <w:jc w:val="left"/>
              <w:rPr>
                <w:rFonts w:cs="Frankruhel"/>
                <w:sz w:val="24"/>
                <w:rtl/>
              </w:rPr>
            </w:pPr>
            <w:r>
              <w:rPr>
                <w:sz w:val="24"/>
                <w:rtl/>
              </w:rPr>
              <w:t>המצאת מסמכים</w:t>
            </w:r>
          </w:p>
        </w:tc>
        <w:tc>
          <w:tcPr>
            <w:tcW w:w="567" w:type="dxa"/>
          </w:tcPr>
          <w:p w:rsidR="00E218C2" w:rsidRPr="00E218C2" w:rsidRDefault="00E218C2" w:rsidP="00E218C2">
            <w:pPr>
              <w:spacing w:line="240" w:lineRule="auto"/>
              <w:jc w:val="left"/>
              <w:rPr>
                <w:rStyle w:val="Hyperlink"/>
                <w:rtl/>
              </w:rPr>
            </w:pPr>
            <w:hyperlink w:anchor="Seif7" w:tooltip="המצאת מסמכים" w:history="1">
              <w:r w:rsidRPr="00E218C2">
                <w:rPr>
                  <w:rStyle w:val="Hyperlink"/>
                </w:rPr>
                <w:t>Go</w:t>
              </w:r>
            </w:hyperlink>
          </w:p>
        </w:tc>
        <w:tc>
          <w:tcPr>
            <w:tcW w:w="850" w:type="dxa"/>
          </w:tcPr>
          <w:p w:rsidR="00E218C2" w:rsidRPr="00E218C2" w:rsidRDefault="00E218C2" w:rsidP="00E218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218C2" w:rsidRPr="00E218C2" w:rsidTr="00E218C2">
        <w:tblPrEx>
          <w:tblCellMar>
            <w:top w:w="0" w:type="dxa"/>
            <w:bottom w:w="0" w:type="dxa"/>
          </w:tblCellMar>
        </w:tblPrEx>
        <w:tc>
          <w:tcPr>
            <w:tcW w:w="1247" w:type="dxa"/>
          </w:tcPr>
          <w:p w:rsidR="00E218C2" w:rsidRPr="00E218C2" w:rsidRDefault="00E218C2" w:rsidP="00E218C2">
            <w:pPr>
              <w:spacing w:line="240" w:lineRule="auto"/>
              <w:jc w:val="left"/>
              <w:rPr>
                <w:rFonts w:cs="Frankruhel"/>
                <w:sz w:val="24"/>
                <w:rtl/>
              </w:rPr>
            </w:pPr>
            <w:r>
              <w:rPr>
                <w:sz w:val="24"/>
                <w:rtl/>
              </w:rPr>
              <w:t xml:space="preserve">סעיף 8 </w:t>
            </w:r>
          </w:p>
        </w:tc>
        <w:tc>
          <w:tcPr>
            <w:tcW w:w="5669" w:type="dxa"/>
          </w:tcPr>
          <w:p w:rsidR="00E218C2" w:rsidRPr="00E218C2" w:rsidRDefault="00E218C2" w:rsidP="00E218C2">
            <w:pPr>
              <w:spacing w:line="240" w:lineRule="auto"/>
              <w:jc w:val="left"/>
              <w:rPr>
                <w:rFonts w:cs="Frankruhel"/>
                <w:sz w:val="24"/>
                <w:rtl/>
              </w:rPr>
            </w:pPr>
            <w:r>
              <w:rPr>
                <w:sz w:val="24"/>
                <w:rtl/>
              </w:rPr>
              <w:t>תחילה</w:t>
            </w:r>
          </w:p>
        </w:tc>
        <w:tc>
          <w:tcPr>
            <w:tcW w:w="567" w:type="dxa"/>
          </w:tcPr>
          <w:p w:rsidR="00E218C2" w:rsidRPr="00E218C2" w:rsidRDefault="00E218C2" w:rsidP="00E218C2">
            <w:pPr>
              <w:spacing w:line="240" w:lineRule="auto"/>
              <w:jc w:val="left"/>
              <w:rPr>
                <w:rStyle w:val="Hyperlink"/>
                <w:rtl/>
              </w:rPr>
            </w:pPr>
            <w:hyperlink w:anchor="Seif8" w:tooltip="תחילה" w:history="1">
              <w:r w:rsidRPr="00E218C2">
                <w:rPr>
                  <w:rStyle w:val="Hyperlink"/>
                </w:rPr>
                <w:t>Go</w:t>
              </w:r>
            </w:hyperlink>
          </w:p>
        </w:tc>
        <w:tc>
          <w:tcPr>
            <w:tcW w:w="850" w:type="dxa"/>
          </w:tcPr>
          <w:p w:rsidR="00E218C2" w:rsidRPr="00E218C2" w:rsidRDefault="00E218C2" w:rsidP="00E218C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AC0F95" w:rsidRDefault="00AC0F95">
      <w:pPr>
        <w:pStyle w:val="big-header"/>
        <w:ind w:left="0" w:right="1134"/>
        <w:rPr>
          <w:rFonts w:cs="FrankRuehl"/>
          <w:sz w:val="32"/>
          <w:rtl/>
        </w:rPr>
      </w:pPr>
    </w:p>
    <w:p w:rsidR="00AC0F95" w:rsidRDefault="00AC0F95" w:rsidP="00CF2ED3">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הסדרים במגזר החקלאי המשפחתי (הפסקת הליכים והעברתם למשקם), תשנ"ג</w:t>
      </w:r>
      <w:r w:rsidR="00CF2ED3">
        <w:rPr>
          <w:rFonts w:cs="FrankRuehl" w:hint="cs"/>
          <w:sz w:val="32"/>
          <w:rtl/>
        </w:rPr>
        <w:t>-</w:t>
      </w:r>
      <w:r>
        <w:rPr>
          <w:rFonts w:cs="FrankRuehl"/>
          <w:sz w:val="32"/>
          <w:rtl/>
        </w:rPr>
        <w:t>1992</w:t>
      </w:r>
      <w:r w:rsidR="00CF2ED3">
        <w:rPr>
          <w:rStyle w:val="a6"/>
          <w:rFonts w:cs="FrankRuehl"/>
          <w:sz w:val="32"/>
          <w:rtl/>
        </w:rPr>
        <w:footnoteReference w:customMarkFollows="1" w:id="1"/>
        <w:t>*</w:t>
      </w:r>
    </w:p>
    <w:p w:rsidR="00AC0F95" w:rsidRDefault="00AC0F95" w:rsidP="00CF2ED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7(ד) ו-35(ב) לחוק הסדרים במגזר</w:t>
      </w:r>
      <w:r>
        <w:rPr>
          <w:rStyle w:val="default"/>
          <w:rFonts w:cs="FrankRuehl"/>
          <w:rtl/>
        </w:rPr>
        <w:t xml:space="preserve"> ה</w:t>
      </w:r>
      <w:r>
        <w:rPr>
          <w:rStyle w:val="default"/>
          <w:rFonts w:cs="FrankRuehl" w:hint="cs"/>
          <w:rtl/>
        </w:rPr>
        <w:t>חקלאי המשפחתי, תשנ"ב</w:t>
      </w:r>
      <w:r w:rsidR="00CF2ED3">
        <w:rPr>
          <w:rStyle w:val="default"/>
          <w:rFonts w:cs="FrankRuehl" w:hint="cs"/>
          <w:rtl/>
        </w:rPr>
        <w:t>-</w:t>
      </w:r>
      <w:r>
        <w:rPr>
          <w:rStyle w:val="default"/>
          <w:rFonts w:cs="FrankRuehl"/>
          <w:rtl/>
        </w:rPr>
        <w:t>1</w:t>
      </w:r>
      <w:r>
        <w:rPr>
          <w:rStyle w:val="default"/>
          <w:rFonts w:cs="FrankRuehl" w:hint="cs"/>
          <w:rtl/>
        </w:rPr>
        <w:t xml:space="preserve">992 (להלן </w:t>
      </w:r>
      <w:r w:rsidR="0043685D">
        <w:rPr>
          <w:rStyle w:val="default"/>
          <w:rFonts w:cs="FrankRuehl"/>
          <w:rtl/>
        </w:rPr>
        <w:t>–</w:t>
      </w:r>
      <w:r>
        <w:rPr>
          <w:rStyle w:val="default"/>
          <w:rFonts w:cs="FrankRuehl"/>
          <w:rtl/>
        </w:rPr>
        <w:t xml:space="preserve"> </w:t>
      </w:r>
      <w:r>
        <w:rPr>
          <w:rStyle w:val="default"/>
          <w:rFonts w:cs="FrankRuehl" w:hint="cs"/>
          <w:rtl/>
        </w:rPr>
        <w:t>החוק), סעיף 88 לחוק ההוצאה לפועל, תשכ"ז</w:t>
      </w:r>
      <w:r w:rsidR="00CF2ED3">
        <w:rPr>
          <w:rStyle w:val="default"/>
          <w:rFonts w:cs="FrankRuehl" w:hint="cs"/>
          <w:rtl/>
        </w:rPr>
        <w:t>-</w:t>
      </w:r>
      <w:r>
        <w:rPr>
          <w:rStyle w:val="default"/>
          <w:rFonts w:cs="FrankRuehl"/>
          <w:rtl/>
        </w:rPr>
        <w:t xml:space="preserve">1967, </w:t>
      </w:r>
      <w:r>
        <w:rPr>
          <w:rStyle w:val="default"/>
          <w:rFonts w:cs="FrankRuehl" w:hint="cs"/>
          <w:rtl/>
        </w:rPr>
        <w:t xml:space="preserve">סעיף 108 לחוק בתי המשפט </w:t>
      </w:r>
      <w:r>
        <w:rPr>
          <w:rStyle w:val="default"/>
          <w:rFonts w:cs="FrankRuehl"/>
          <w:rtl/>
        </w:rPr>
        <w:t>[נ</w:t>
      </w:r>
      <w:r>
        <w:rPr>
          <w:rStyle w:val="default"/>
          <w:rFonts w:cs="FrankRuehl" w:hint="cs"/>
          <w:rtl/>
        </w:rPr>
        <w:t>וסח משולב], תשמ"ד</w:t>
      </w:r>
      <w:r w:rsidR="00CF2ED3">
        <w:rPr>
          <w:rStyle w:val="default"/>
          <w:rFonts w:cs="FrankRuehl" w:hint="cs"/>
          <w:rtl/>
        </w:rPr>
        <w:t>-</w:t>
      </w:r>
      <w:r>
        <w:rPr>
          <w:rStyle w:val="default"/>
          <w:rFonts w:cs="FrankRuehl"/>
          <w:rtl/>
        </w:rPr>
        <w:t xml:space="preserve">1984, </w:t>
      </w:r>
      <w:r>
        <w:rPr>
          <w:rStyle w:val="default"/>
          <w:rFonts w:cs="FrankRuehl" w:hint="cs"/>
          <w:rtl/>
        </w:rPr>
        <w:t>ושאר הסמכויות הנתונות לי לפי כל דין, ובאישור ועדת הכלכלה של הכנסת, אני מתקין תקנות אלה:</w:t>
      </w:r>
    </w:p>
    <w:p w:rsidR="00AC0F95" w:rsidRDefault="00AC0F95">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22.45pt;z-index:251654144" o:allowincell="f" filled="f" stroked="f" strokecolor="lime" strokeweight=".25pt">
            <v:textbox inset="0,0,0,0">
              <w:txbxContent>
                <w:p w:rsidR="00AC0F95" w:rsidRDefault="00AC0F95">
                  <w:pPr>
                    <w:spacing w:line="160" w:lineRule="exact"/>
                    <w:jc w:val="left"/>
                    <w:rPr>
                      <w:rFonts w:cs="Miriam"/>
                      <w:noProof/>
                      <w:sz w:val="18"/>
                      <w:szCs w:val="18"/>
                      <w:rtl/>
                    </w:rPr>
                  </w:pPr>
                  <w:r>
                    <w:rPr>
                      <w:rFonts w:cs="Miriam"/>
                      <w:sz w:val="18"/>
                      <w:szCs w:val="18"/>
                      <w:rtl/>
                    </w:rPr>
                    <w:t>הו</w:t>
                  </w:r>
                  <w:r>
                    <w:rPr>
                      <w:rFonts w:cs="Miriam" w:hint="cs"/>
                      <w:sz w:val="18"/>
                      <w:szCs w:val="18"/>
                      <w:rtl/>
                    </w:rPr>
                    <w:t>דעה בדבר תחולת הוראות החוק</w:t>
                  </w:r>
                </w:p>
              </w:txbxContent>
            </v:textbox>
            <w10:anchorlock/>
          </v:rect>
        </w:pict>
      </w:r>
      <w:r>
        <w:rPr>
          <w:rStyle w:val="big-number"/>
          <w:rFonts w:cs="Miriam"/>
          <w:rtl/>
        </w:rPr>
        <w:t>1.</w:t>
      </w:r>
      <w:r>
        <w:rPr>
          <w:rStyle w:val="big-number"/>
          <w:rFonts w:cs="Miriam"/>
          <w:rtl/>
        </w:rPr>
        <w:tab/>
      </w:r>
      <w:r>
        <w:rPr>
          <w:rStyle w:val="default"/>
          <w:rFonts w:cs="FrankRuehl"/>
          <w:rtl/>
        </w:rPr>
        <w:t>הו</w:t>
      </w:r>
      <w:r>
        <w:rPr>
          <w:rStyle w:val="default"/>
          <w:rFonts w:cs="FrankRuehl" w:hint="cs"/>
          <w:rtl/>
        </w:rPr>
        <w:t xml:space="preserve">דעה בדבר תחולת הוראות החוק לפי סעיף 7(ב)(1) לחוק, והודעת חייב לפי סעיף 7(ב)(2) לחוק כי רצונו שהוראות החוק לא יחולו עליו, תוגש בכתב למי </w:t>
      </w:r>
      <w:r>
        <w:rPr>
          <w:rStyle w:val="default"/>
          <w:rFonts w:cs="FrankRuehl"/>
          <w:rtl/>
        </w:rPr>
        <w:t>שב</w:t>
      </w:r>
      <w:r>
        <w:rPr>
          <w:rStyle w:val="default"/>
          <w:rFonts w:cs="FrankRuehl" w:hint="cs"/>
          <w:rtl/>
        </w:rPr>
        <w:t>פניו מתנהל ההליך, במספר עותקים כמספר הנושים והחייבים בתיק ההליך בתוספת עותק אחד.</w:t>
      </w:r>
    </w:p>
    <w:p w:rsidR="00AC0F95" w:rsidRDefault="00AC0F95" w:rsidP="00CF2ED3">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5.75pt;z-index:251655168" o:allowincell="f" filled="f" stroked="f" strokecolor="lime" strokeweight=".25pt">
            <v:textbox inset="0,0,0,0">
              <w:txbxContent>
                <w:p w:rsidR="00AC0F95" w:rsidRDefault="00AC0F95">
                  <w:pPr>
                    <w:spacing w:line="160" w:lineRule="exact"/>
                    <w:jc w:val="left"/>
                    <w:rPr>
                      <w:rFonts w:cs="Miriam"/>
                      <w:noProof/>
                      <w:sz w:val="18"/>
                      <w:szCs w:val="18"/>
                      <w:rtl/>
                    </w:rPr>
                  </w:pPr>
                  <w:r>
                    <w:rPr>
                      <w:rFonts w:cs="Miriam"/>
                      <w:sz w:val="18"/>
                      <w:szCs w:val="18"/>
                      <w:rtl/>
                    </w:rPr>
                    <w:t>הש</w:t>
                  </w:r>
                  <w:r>
                    <w:rPr>
                      <w:rFonts w:cs="Miriam" w:hint="cs"/>
                      <w:sz w:val="18"/>
                      <w:szCs w:val="18"/>
                      <w:rtl/>
                    </w:rPr>
                    <w:t>היית הלי</w:t>
                  </w:r>
                  <w:r>
                    <w:rPr>
                      <w:rFonts w:cs="Miriam"/>
                      <w:sz w:val="18"/>
                      <w:szCs w:val="18"/>
                      <w:rtl/>
                    </w:rPr>
                    <w:t>כ</w:t>
                  </w:r>
                  <w:r>
                    <w:rPr>
                      <w:rFonts w:cs="Miriam" w:hint="cs"/>
                      <w:sz w:val="18"/>
                      <w:szCs w:val="18"/>
                      <w:rtl/>
                    </w:rPr>
                    <w:t>ים</w:t>
                  </w:r>
                </w:p>
              </w:txbxContent>
            </v:textbox>
            <w10:anchorlock/>
          </v:rect>
        </w:pict>
      </w:r>
      <w:r>
        <w:rPr>
          <w:rStyle w:val="big-number"/>
          <w:rFonts w:cs="Miriam"/>
          <w:rtl/>
        </w:rPr>
        <w:t>2.</w:t>
      </w:r>
      <w:r>
        <w:rPr>
          <w:rStyle w:val="big-number"/>
          <w:rFonts w:cs="Miriam"/>
          <w:rtl/>
        </w:rPr>
        <w:tab/>
      </w:r>
      <w:r>
        <w:rPr>
          <w:rStyle w:val="default"/>
          <w:rFonts w:cs="FrankRuehl"/>
          <w:rtl/>
        </w:rPr>
        <w:t>ני</w:t>
      </w:r>
      <w:r>
        <w:rPr>
          <w:rStyle w:val="default"/>
          <w:rFonts w:cs="FrankRuehl" w:hint="cs"/>
          <w:rtl/>
        </w:rPr>
        <w:t>תנה הודעה בדבר תחולת הוראות החוק, רשאי מי שבפניו מתנהל ההליך, על פי בקשה, להורות על השהיה של הליך שננקט נגד החייב עד למתן החלטתו בדבר העברת ההליך למשקם; לענין זה, "השה</w:t>
      </w:r>
      <w:r>
        <w:rPr>
          <w:rStyle w:val="default"/>
          <w:rFonts w:cs="FrankRuehl"/>
          <w:rtl/>
        </w:rPr>
        <w:t>יה</w:t>
      </w:r>
      <w:r>
        <w:rPr>
          <w:rStyle w:val="default"/>
          <w:rFonts w:cs="FrankRuehl" w:hint="cs"/>
          <w:rtl/>
        </w:rPr>
        <w:t xml:space="preserve">" </w:t>
      </w:r>
      <w:r w:rsidR="0043685D">
        <w:rPr>
          <w:rStyle w:val="default"/>
          <w:rFonts w:cs="FrankRuehl"/>
          <w:rtl/>
        </w:rPr>
        <w:t>–</w:t>
      </w:r>
      <w:r>
        <w:rPr>
          <w:rStyle w:val="default"/>
          <w:rFonts w:cs="FrankRuehl"/>
          <w:rtl/>
        </w:rPr>
        <w:t xml:space="preserve"> כ</w:t>
      </w:r>
      <w:r>
        <w:rPr>
          <w:rStyle w:val="default"/>
          <w:rFonts w:cs="FrankRuehl" w:hint="cs"/>
          <w:rtl/>
        </w:rPr>
        <w:t>משמעותה בסעיף 16 לחוק ההוצאה לפועל, תשכ"ז</w:t>
      </w:r>
      <w:r w:rsidR="00CF2ED3">
        <w:rPr>
          <w:rStyle w:val="default"/>
          <w:rFonts w:cs="FrankRuehl" w:hint="cs"/>
          <w:rtl/>
        </w:rPr>
        <w:t>-</w:t>
      </w:r>
      <w:r>
        <w:rPr>
          <w:rStyle w:val="default"/>
          <w:rFonts w:cs="FrankRuehl"/>
          <w:rtl/>
        </w:rPr>
        <w:t>1967.</w:t>
      </w:r>
    </w:p>
    <w:p w:rsidR="00AC0F95" w:rsidRDefault="00AC0F95">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2.7pt;z-index:251656192" o:allowincell="f" filled="f" stroked="f" strokecolor="lime" strokeweight=".25pt">
            <v:textbox inset="0,0,0,0">
              <w:txbxContent>
                <w:p w:rsidR="00AC0F95" w:rsidRDefault="00AC0F95">
                  <w:pPr>
                    <w:spacing w:line="160" w:lineRule="exact"/>
                    <w:jc w:val="left"/>
                    <w:rPr>
                      <w:rFonts w:cs="Miriam"/>
                      <w:noProof/>
                      <w:sz w:val="18"/>
                      <w:szCs w:val="18"/>
                      <w:rtl/>
                    </w:rPr>
                  </w:pPr>
                  <w:r>
                    <w:rPr>
                      <w:rFonts w:cs="Miriam"/>
                      <w:sz w:val="18"/>
                      <w:szCs w:val="18"/>
                      <w:rtl/>
                    </w:rPr>
                    <w:t>תג</w:t>
                  </w:r>
                  <w:r>
                    <w:rPr>
                      <w:rFonts w:cs="Miriam" w:hint="cs"/>
                      <w:sz w:val="18"/>
                      <w:szCs w:val="18"/>
                      <w:rtl/>
                    </w:rPr>
                    <w:t>ובת הצדדים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rtl/>
        </w:rPr>
        <w:tab/>
        <w:t>ה</w:t>
      </w:r>
      <w:r>
        <w:rPr>
          <w:rStyle w:val="default"/>
          <w:rFonts w:cs="FrankRuehl" w:hint="cs"/>
          <w:rtl/>
        </w:rPr>
        <w:t xml:space="preserve">ומצאה לצדדים האחרים בתיק ההליך הודעה בדבר תחולת הוראות החוק, רשאים הם, תוך 15 ימים מיום ההמצאה, למסור למי שבפניו מתנהל ההליך את תגובתם, בכתב, לענין קיום התנאים להפסקת ההליך; כתב התגובה יימסר </w:t>
      </w:r>
      <w:r>
        <w:rPr>
          <w:rStyle w:val="default"/>
          <w:rFonts w:cs="FrankRuehl"/>
          <w:rtl/>
        </w:rPr>
        <w:t>במ</w:t>
      </w:r>
      <w:r>
        <w:rPr>
          <w:rStyle w:val="default"/>
          <w:rFonts w:cs="FrankRuehl" w:hint="cs"/>
          <w:rtl/>
        </w:rPr>
        <w:t>ספר עותקים כמספר הנושים והחייבים בתיק בתוספת עותק אחד.</w:t>
      </w:r>
    </w:p>
    <w:p w:rsidR="00AC0F95" w:rsidRDefault="00AC0F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שבפניו מתנהל ההליך רשאי, על פי בקשת צד, לתת לו הזדמנות לטעון טענות נוספות בעל פה, וכן רשאי הוא להחליט לאלתר על יסוד כתב ההודעה והתגובה שבפניו.</w:t>
      </w:r>
    </w:p>
    <w:p w:rsidR="00AC0F95" w:rsidRDefault="00AC0F95">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9.35pt;z-index:251657216" o:allowincell="f" filled="f" stroked="f" strokecolor="lime" strokeweight=".25pt">
            <v:textbox inset="0,0,0,0">
              <w:txbxContent>
                <w:p w:rsidR="00AC0F95" w:rsidRDefault="00AC0F95">
                  <w:pPr>
                    <w:spacing w:line="160" w:lineRule="exact"/>
                    <w:jc w:val="left"/>
                    <w:rPr>
                      <w:rFonts w:cs="Miriam"/>
                      <w:noProof/>
                      <w:sz w:val="18"/>
                      <w:szCs w:val="18"/>
                      <w:rtl/>
                    </w:rPr>
                  </w:pPr>
                  <w:r>
                    <w:rPr>
                      <w:rFonts w:cs="Miriam"/>
                      <w:sz w:val="18"/>
                      <w:szCs w:val="18"/>
                      <w:rtl/>
                    </w:rPr>
                    <w:t>הע</w:t>
                  </w:r>
                  <w:r>
                    <w:rPr>
                      <w:rFonts w:cs="Miriam" w:hint="cs"/>
                      <w:sz w:val="18"/>
                      <w:szCs w:val="18"/>
                      <w:rtl/>
                    </w:rPr>
                    <w:t>ברת הליכים למשקם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מי שבפניו מתנהל ההליך נגד החייב כי נ</w:t>
      </w:r>
      <w:r>
        <w:rPr>
          <w:rStyle w:val="default"/>
          <w:rFonts w:cs="FrankRuehl"/>
          <w:rtl/>
        </w:rPr>
        <w:t>תק</w:t>
      </w:r>
      <w:r>
        <w:rPr>
          <w:rStyle w:val="default"/>
          <w:rFonts w:cs="FrankRuehl" w:hint="cs"/>
          <w:rtl/>
        </w:rPr>
        <w:t>יימו התנאים להפסקתו, יורה על הפסקת ההליך והעברתו למשקם, אלא אם כן הודיע החייב כי רצונו שהוראות החוק לא יחולו עליו.</w:t>
      </w:r>
    </w:p>
    <w:p w:rsidR="00AC0F95" w:rsidRDefault="00AC0F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יתנה החלטה על הפסקת ההליך והעברתו למשקם, רשאי מי שבפניו מתנהל ההליך להורות כי ישארו בתוקפם צווים וסעדים זמניים שניתנו בהליך, כל עוד לא החליט אחרת מי שבפניו מתנהל ההליך או המשקם לפי הענין; נכסים שעוקלו או שכונסו במסגרת ההליך, לא יימכרו ולא ימומשו</w:t>
      </w:r>
      <w:r>
        <w:rPr>
          <w:rStyle w:val="default"/>
          <w:rFonts w:cs="FrankRuehl"/>
          <w:rtl/>
        </w:rPr>
        <w:t xml:space="preserve"> ב</w:t>
      </w:r>
      <w:r>
        <w:rPr>
          <w:rStyle w:val="default"/>
          <w:rFonts w:cs="FrankRuehl" w:hint="cs"/>
          <w:rtl/>
        </w:rPr>
        <w:t>דרך אחרת, אלא על פי החלטת המשקם.</w:t>
      </w:r>
    </w:p>
    <w:p w:rsidR="00AC0F95" w:rsidRDefault="00AC0F95" w:rsidP="004368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מי</w:t>
      </w:r>
      <w:r>
        <w:rPr>
          <w:rStyle w:val="default"/>
          <w:rFonts w:cs="FrankRuehl" w:hint="cs"/>
          <w:rtl/>
        </w:rPr>
        <w:t xml:space="preserve"> שבפניו מתנהל ההליך יציין בהחלטה להעברת ההליך מהו ההליך שהופסק, ומהם הצווים והסעדים הזמניים שניתנו בו, וכן יפרט כל</w:t>
      </w:r>
      <w:r>
        <w:rPr>
          <w:rStyle w:val="default"/>
          <w:rFonts w:cs="FrankRuehl"/>
          <w:rtl/>
        </w:rPr>
        <w:t xml:space="preserve"> נ</w:t>
      </w:r>
      <w:r>
        <w:rPr>
          <w:rStyle w:val="default"/>
          <w:rFonts w:cs="FrankRuehl" w:hint="cs"/>
          <w:rtl/>
        </w:rPr>
        <w:t>כס אשר עוקל בידי החייב או בידי צד שלישי.</w:t>
      </w:r>
    </w:p>
    <w:p w:rsidR="00AC0F95" w:rsidRDefault="00AC0F9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ותק של ההחלטה להעברת ההליכים יישלח למשקם בדואר רשו</w:t>
      </w:r>
      <w:r>
        <w:rPr>
          <w:rStyle w:val="default"/>
          <w:rFonts w:cs="FrankRuehl"/>
          <w:rtl/>
        </w:rPr>
        <w:t>ם.</w:t>
      </w:r>
    </w:p>
    <w:p w:rsidR="00AC0F95" w:rsidRDefault="00AC0F95" w:rsidP="00CF2ED3">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7.25pt;z-index:251658240" o:allowincell="f" filled="f" stroked="f" strokecolor="lime" strokeweight=".25pt">
            <v:textbox inset="0,0,0,0">
              <w:txbxContent>
                <w:p w:rsidR="00AC0F95" w:rsidRDefault="00AC0F95">
                  <w:pPr>
                    <w:spacing w:line="160" w:lineRule="exact"/>
                    <w:jc w:val="left"/>
                    <w:rPr>
                      <w:rFonts w:cs="Miriam"/>
                      <w:noProof/>
                      <w:sz w:val="18"/>
                      <w:szCs w:val="18"/>
                      <w:rtl/>
                    </w:rPr>
                  </w:pPr>
                  <w:r>
                    <w:rPr>
                      <w:rFonts w:cs="Miriam"/>
                      <w:sz w:val="18"/>
                      <w:szCs w:val="18"/>
                      <w:rtl/>
                    </w:rPr>
                    <w:t>הע</w:t>
                  </w:r>
                  <w:r>
                    <w:rPr>
                      <w:rFonts w:cs="Miriam" w:hint="cs"/>
                      <w:sz w:val="18"/>
                      <w:szCs w:val="18"/>
                      <w:rtl/>
                    </w:rPr>
                    <w:t>ברה של הליכים אחרים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יתנה </w:t>
      </w:r>
      <w:r>
        <w:rPr>
          <w:rStyle w:val="default"/>
          <w:rFonts w:cs="FrankRuehl"/>
          <w:rtl/>
        </w:rPr>
        <w:t>ה</w:t>
      </w:r>
      <w:r>
        <w:rPr>
          <w:rStyle w:val="default"/>
          <w:rFonts w:cs="FrankRuehl" w:hint="cs"/>
          <w:rtl/>
        </w:rPr>
        <w:t>חלטה על הפסקת הליך והעברתו למשקם, יודיעו</w:t>
      </w:r>
      <w:r>
        <w:rPr>
          <w:rStyle w:val="default"/>
          <w:rFonts w:cs="FrankRuehl"/>
          <w:rtl/>
        </w:rPr>
        <w:t xml:space="preserve"> ה</w:t>
      </w:r>
      <w:r>
        <w:rPr>
          <w:rStyle w:val="default"/>
          <w:rFonts w:cs="FrankRuehl" w:hint="cs"/>
          <w:rtl/>
        </w:rPr>
        <w:t>צדדים למשקם על כל הליך אחר שעניינו חוב בסיסי המתנהל נגד החייב, והמשקם יודיע על כך למי שבפניו מתנהל אותו הליך.</w:t>
      </w:r>
    </w:p>
    <w:p w:rsidR="00AC0F95" w:rsidRDefault="00AC0F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 כאמור בתקנת משנה (א) וראה מי שבפניו מתנהל ההליך האחר כי עניינו של ההליך חוב</w:t>
      </w:r>
      <w:r>
        <w:rPr>
          <w:rStyle w:val="default"/>
          <w:rFonts w:cs="FrankRuehl"/>
          <w:rtl/>
        </w:rPr>
        <w:t xml:space="preserve"> ב</w:t>
      </w:r>
      <w:r>
        <w:rPr>
          <w:rStyle w:val="default"/>
          <w:rFonts w:cs="FrankRuehl" w:hint="cs"/>
          <w:rtl/>
        </w:rPr>
        <w:t>סיסי, יורה על ה</w:t>
      </w:r>
      <w:r>
        <w:rPr>
          <w:rStyle w:val="default"/>
          <w:rFonts w:cs="FrankRuehl"/>
          <w:rtl/>
        </w:rPr>
        <w:t>פ</w:t>
      </w:r>
      <w:r>
        <w:rPr>
          <w:rStyle w:val="default"/>
          <w:rFonts w:cs="FrankRuehl" w:hint="cs"/>
          <w:rtl/>
        </w:rPr>
        <w:t>סקת ההליך והעברתו למשקם.</w:t>
      </w:r>
    </w:p>
    <w:p w:rsidR="00AC0F95" w:rsidRDefault="00AC0F9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הוראות של תקנות 1 עד 5 יחולו על העברת הליכים לפי תקנה זו, בשינויים המחוייבים.</w:t>
      </w:r>
    </w:p>
    <w:p w:rsidR="00AC0F95" w:rsidRDefault="00AC0F95">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8.5pt;z-index:251659264" o:allowincell="f" filled="f" stroked="f" strokecolor="lime" strokeweight=".25pt">
            <v:textbox inset="0,0,0,0">
              <w:txbxContent>
                <w:p w:rsidR="00AC0F95" w:rsidRDefault="00AC0F95">
                  <w:pPr>
                    <w:spacing w:line="160" w:lineRule="exact"/>
                    <w:jc w:val="left"/>
                    <w:rPr>
                      <w:rFonts w:cs="Miriam"/>
                      <w:noProof/>
                      <w:sz w:val="18"/>
                      <w:szCs w:val="18"/>
                      <w:rtl/>
                    </w:rPr>
                  </w:pPr>
                  <w:r>
                    <w:rPr>
                      <w:rFonts w:cs="Miriam"/>
                      <w:sz w:val="18"/>
                      <w:szCs w:val="18"/>
                      <w:rtl/>
                    </w:rPr>
                    <w:t>המ</w:t>
                  </w:r>
                  <w:r>
                    <w:rPr>
                      <w:rFonts w:cs="Miriam" w:hint="cs"/>
                      <w:sz w:val="18"/>
                      <w:szCs w:val="18"/>
                      <w:rtl/>
                    </w:rPr>
                    <w:t>שכת הדיון בפני המשקם</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שקם רשאי להמשיך את הדיון בהליך שהועבר אליו מן השלב שבו הופסק, אלא אם כן ראה לנכון, מטעמים שיירשמו, להתחיל את הדיון משלב קוד</w:t>
      </w:r>
      <w:r>
        <w:rPr>
          <w:rStyle w:val="default"/>
          <w:rFonts w:cs="FrankRuehl"/>
          <w:rtl/>
        </w:rPr>
        <w:t>ם.</w:t>
      </w:r>
    </w:p>
    <w:p w:rsidR="00AC0F95" w:rsidRDefault="00AC0F95" w:rsidP="00CF2ED3">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3.6pt;z-index:251660288" o:allowincell="f" filled="f" stroked="f" strokecolor="lime" strokeweight=".25pt">
            <v:textbox inset="0,0,0,0">
              <w:txbxContent>
                <w:p w:rsidR="00AC0F95" w:rsidRDefault="00AC0F95">
                  <w:pPr>
                    <w:spacing w:line="160" w:lineRule="exact"/>
                    <w:jc w:val="left"/>
                    <w:rPr>
                      <w:rFonts w:cs="Miriam"/>
                      <w:noProof/>
                      <w:sz w:val="18"/>
                      <w:szCs w:val="18"/>
                      <w:rtl/>
                    </w:rPr>
                  </w:pPr>
                  <w:r>
                    <w:rPr>
                      <w:rFonts w:cs="Miriam"/>
                      <w:sz w:val="18"/>
                      <w:szCs w:val="18"/>
                      <w:rtl/>
                    </w:rPr>
                    <w:t>המ</w:t>
                  </w:r>
                  <w:r>
                    <w:rPr>
                      <w:rFonts w:cs="Miriam" w:hint="cs"/>
                      <w:sz w:val="18"/>
                      <w:szCs w:val="18"/>
                      <w:rtl/>
                    </w:rPr>
                    <w:t>צאת מסמכים</w:t>
                  </w:r>
                </w:p>
              </w:txbxContent>
            </v:textbox>
            <w10:anchorlock/>
          </v:rect>
        </w:pict>
      </w:r>
      <w:r>
        <w:rPr>
          <w:rStyle w:val="big-number"/>
          <w:rFonts w:cs="Miriam"/>
          <w:rtl/>
        </w:rPr>
        <w:t>7.</w:t>
      </w:r>
      <w:r>
        <w:rPr>
          <w:rStyle w:val="big-number"/>
          <w:rFonts w:cs="Miriam"/>
          <w:rtl/>
        </w:rPr>
        <w:tab/>
      </w:r>
      <w:r>
        <w:rPr>
          <w:rStyle w:val="default"/>
          <w:rFonts w:cs="FrankRuehl"/>
          <w:rtl/>
        </w:rPr>
        <w:t>על</w:t>
      </w:r>
      <w:r>
        <w:rPr>
          <w:rStyle w:val="default"/>
          <w:rFonts w:cs="FrankRuehl" w:hint="cs"/>
          <w:rtl/>
        </w:rPr>
        <w:t xml:space="preserve"> המצאת מסמכים לפי תקנות אלה יחולו הוראות פרק ל"ב לתקנות סדר הדין האזרחי, תשמ"ד</w:t>
      </w:r>
      <w:r w:rsidR="00CF2ED3">
        <w:rPr>
          <w:rStyle w:val="default"/>
          <w:rFonts w:cs="FrankRuehl" w:hint="cs"/>
          <w:rtl/>
        </w:rPr>
        <w:t>-</w:t>
      </w:r>
      <w:r>
        <w:rPr>
          <w:rStyle w:val="default"/>
          <w:rFonts w:cs="FrankRuehl"/>
          <w:rtl/>
        </w:rPr>
        <w:t>1984.</w:t>
      </w:r>
    </w:p>
    <w:p w:rsidR="00AC0F95" w:rsidRDefault="00AC0F95">
      <w:pPr>
        <w:pStyle w:val="P00"/>
        <w:spacing w:before="72"/>
        <w:ind w:left="0" w:right="1134"/>
        <w:rPr>
          <w:rStyle w:val="default"/>
          <w:rFonts w:cs="FrankRuehl" w:hint="cs"/>
          <w:rtl/>
        </w:rPr>
      </w:pPr>
      <w:bookmarkStart w:id="7" w:name="Seif8"/>
      <w:bookmarkEnd w:id="7"/>
      <w:r>
        <w:rPr>
          <w:lang w:val="he-IL"/>
        </w:rPr>
        <w:lastRenderedPageBreak/>
        <w:pict>
          <v:rect id="_x0000_s1033" style="position:absolute;left:0;text-align:left;margin-left:464.5pt;margin-top:8.05pt;width:75.05pt;height:22.4pt;z-index:251661312" o:allowincell="f" filled="f" stroked="f" strokecolor="lime" strokeweight=".25pt">
            <v:textbox inset="0,0,0,0">
              <w:txbxContent>
                <w:p w:rsidR="00AC0F95" w:rsidRDefault="00AC0F9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p w:rsidR="00AC0F95" w:rsidRDefault="00AC0F95" w:rsidP="00CF2ED3">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sidR="00CF2ED3">
                    <w:rPr>
                      <w:rFonts w:cs="Miriam" w:hint="cs"/>
                      <w:sz w:val="18"/>
                      <w:szCs w:val="18"/>
                      <w:rtl/>
                    </w:rPr>
                    <w:t>-</w:t>
                  </w:r>
                  <w:r>
                    <w:rPr>
                      <w:rFonts w:cs="Miriam"/>
                      <w:sz w:val="18"/>
                      <w:szCs w:val="18"/>
                      <w:rtl/>
                    </w:rPr>
                    <w:t>1992</w:t>
                  </w:r>
                </w:p>
              </w:txbxContent>
            </v:textbox>
            <w10:anchorlock/>
          </v:rect>
        </w:pict>
      </w:r>
      <w:r>
        <w:rPr>
          <w:rStyle w:val="big-number"/>
          <w:rFonts w:cs="Miriam"/>
          <w:rtl/>
        </w:rPr>
        <w:t>8.</w:t>
      </w:r>
      <w:r>
        <w:rPr>
          <w:rStyle w:val="big-number"/>
          <w:rFonts w:cs="Miriam"/>
          <w:rtl/>
        </w:rPr>
        <w:tab/>
      </w:r>
      <w:r>
        <w:rPr>
          <w:rStyle w:val="default"/>
          <w:rFonts w:cs="FrankRuehl"/>
          <w:rtl/>
        </w:rPr>
        <w:t>תח</w:t>
      </w:r>
      <w:r>
        <w:rPr>
          <w:rStyle w:val="default"/>
          <w:rFonts w:cs="FrankRuehl" w:hint="cs"/>
          <w:rtl/>
        </w:rPr>
        <w:t>ילתן של תקנות אלה ביום ט"ז בכסלו תשנ"ג (11 בדצמבר 1992).</w:t>
      </w:r>
    </w:p>
    <w:p w:rsidR="001D0D6A" w:rsidRPr="0043685D" w:rsidRDefault="001D0D6A" w:rsidP="001D0D6A">
      <w:pPr>
        <w:pStyle w:val="P00"/>
        <w:tabs>
          <w:tab w:val="clear" w:pos="6259"/>
        </w:tabs>
        <w:spacing w:before="0"/>
        <w:ind w:left="0" w:right="1134"/>
        <w:rPr>
          <w:rFonts w:cs="FrankRuehl" w:hint="cs"/>
          <w:vanish/>
          <w:szCs w:val="20"/>
          <w:shd w:val="clear" w:color="auto" w:fill="FFFF99"/>
          <w:rtl/>
        </w:rPr>
      </w:pPr>
      <w:bookmarkStart w:id="8" w:name="Rov10"/>
      <w:r w:rsidRPr="0043685D">
        <w:rPr>
          <w:rFonts w:cs="FrankRuehl" w:hint="cs"/>
          <w:vanish/>
          <w:color w:val="FF0000"/>
          <w:szCs w:val="20"/>
          <w:shd w:val="clear" w:color="auto" w:fill="FFFF99"/>
          <w:rtl/>
        </w:rPr>
        <w:t>מיום 24.12.1992</w:t>
      </w:r>
    </w:p>
    <w:p w:rsidR="001D0D6A" w:rsidRPr="0043685D" w:rsidRDefault="001D0D6A" w:rsidP="001D0D6A">
      <w:pPr>
        <w:pStyle w:val="P00"/>
        <w:spacing w:before="0"/>
        <w:ind w:left="0" w:right="1134"/>
        <w:rPr>
          <w:rFonts w:cs="FrankRuehl" w:hint="cs"/>
          <w:b/>
          <w:bCs/>
          <w:vanish/>
          <w:szCs w:val="20"/>
          <w:shd w:val="clear" w:color="auto" w:fill="FFFF99"/>
          <w:rtl/>
        </w:rPr>
      </w:pPr>
      <w:r w:rsidRPr="0043685D">
        <w:rPr>
          <w:rFonts w:cs="FrankRuehl" w:hint="cs"/>
          <w:b/>
          <w:bCs/>
          <w:vanish/>
          <w:szCs w:val="20"/>
          <w:shd w:val="clear" w:color="auto" w:fill="FFFF99"/>
          <w:rtl/>
        </w:rPr>
        <w:t>תק' תשנ"ב-1992</w:t>
      </w:r>
    </w:p>
    <w:p w:rsidR="001D0D6A" w:rsidRPr="0043685D" w:rsidRDefault="001D0D6A" w:rsidP="001D0D6A">
      <w:pPr>
        <w:pStyle w:val="P00"/>
        <w:spacing w:before="0"/>
        <w:ind w:left="0" w:right="1134"/>
        <w:rPr>
          <w:rFonts w:cs="FrankRuehl" w:hint="cs"/>
          <w:vanish/>
          <w:szCs w:val="20"/>
          <w:shd w:val="clear" w:color="auto" w:fill="FFFF99"/>
          <w:rtl/>
        </w:rPr>
      </w:pPr>
      <w:hyperlink r:id="rId6" w:history="1">
        <w:r w:rsidRPr="0043685D">
          <w:rPr>
            <w:rStyle w:val="Hyperlink"/>
            <w:rFonts w:cs="FrankRuehl" w:hint="cs"/>
            <w:vanish/>
            <w:szCs w:val="20"/>
            <w:shd w:val="clear" w:color="auto" w:fill="FFFF99"/>
            <w:rtl/>
          </w:rPr>
          <w:t>ק"ת תשנ"ב מס' 5489</w:t>
        </w:r>
      </w:hyperlink>
      <w:r w:rsidRPr="0043685D">
        <w:rPr>
          <w:rFonts w:cs="FrankRuehl" w:hint="cs"/>
          <w:vanish/>
          <w:szCs w:val="20"/>
          <w:shd w:val="clear" w:color="auto" w:fill="FFFF99"/>
          <w:rtl/>
        </w:rPr>
        <w:t xml:space="preserve"> מיום 24.12.1992 עמ' 246</w:t>
      </w:r>
    </w:p>
    <w:p w:rsidR="001D0D6A" w:rsidRPr="0043685D" w:rsidRDefault="001D0D6A" w:rsidP="001D0D6A">
      <w:pPr>
        <w:pStyle w:val="P00"/>
        <w:spacing w:before="0"/>
        <w:ind w:left="0" w:right="1134"/>
        <w:rPr>
          <w:rFonts w:cs="FrankRuehl" w:hint="cs"/>
          <w:b/>
          <w:bCs/>
          <w:vanish/>
          <w:szCs w:val="20"/>
          <w:shd w:val="clear" w:color="auto" w:fill="FFFF99"/>
          <w:rtl/>
        </w:rPr>
      </w:pPr>
      <w:r w:rsidRPr="0043685D">
        <w:rPr>
          <w:rFonts w:cs="FrankRuehl" w:hint="cs"/>
          <w:b/>
          <w:bCs/>
          <w:vanish/>
          <w:szCs w:val="20"/>
          <w:shd w:val="clear" w:color="auto" w:fill="FFFF99"/>
          <w:rtl/>
        </w:rPr>
        <w:t>החלפת תקנה 8</w:t>
      </w:r>
    </w:p>
    <w:p w:rsidR="001D0D6A" w:rsidRPr="0043685D" w:rsidRDefault="001D0D6A" w:rsidP="001D0D6A">
      <w:pPr>
        <w:pStyle w:val="P00"/>
        <w:ind w:left="0" w:right="1134"/>
        <w:rPr>
          <w:rFonts w:cs="FrankRuehl" w:hint="cs"/>
          <w:vanish/>
          <w:szCs w:val="20"/>
          <w:shd w:val="clear" w:color="auto" w:fill="FFFF99"/>
          <w:rtl/>
        </w:rPr>
      </w:pPr>
      <w:r w:rsidRPr="0043685D">
        <w:rPr>
          <w:rFonts w:cs="FrankRuehl" w:hint="cs"/>
          <w:vanish/>
          <w:szCs w:val="20"/>
          <w:shd w:val="clear" w:color="auto" w:fill="FFFF99"/>
          <w:rtl/>
        </w:rPr>
        <w:t>הנוסח הקודם:</w:t>
      </w:r>
    </w:p>
    <w:p w:rsidR="001D0D6A" w:rsidRPr="001D0D6A" w:rsidRDefault="001D0D6A" w:rsidP="001D0D6A">
      <w:pPr>
        <w:pStyle w:val="P00"/>
        <w:spacing w:before="0"/>
        <w:ind w:left="0" w:right="1134"/>
        <w:rPr>
          <w:rFonts w:cs="FrankRuehl" w:hint="cs"/>
          <w:strike/>
          <w:sz w:val="2"/>
          <w:szCs w:val="2"/>
          <w:rtl/>
        </w:rPr>
      </w:pPr>
      <w:r w:rsidRPr="0043685D">
        <w:rPr>
          <w:rFonts w:cs="FrankRuehl" w:hint="cs"/>
          <w:strike/>
          <w:vanish/>
          <w:sz w:val="22"/>
          <w:szCs w:val="22"/>
          <w:shd w:val="clear" w:color="auto" w:fill="FFFF99"/>
          <w:rtl/>
        </w:rPr>
        <w:t>8.</w:t>
      </w:r>
      <w:r w:rsidRPr="0043685D">
        <w:rPr>
          <w:rFonts w:cs="FrankRuehl" w:hint="cs"/>
          <w:strike/>
          <w:vanish/>
          <w:sz w:val="22"/>
          <w:szCs w:val="22"/>
          <w:shd w:val="clear" w:color="auto" w:fill="FFFF99"/>
          <w:rtl/>
        </w:rPr>
        <w:tab/>
        <w:t>תקפן של תקנות אלה לשלושים ימים מיום פרסומן.</w:t>
      </w:r>
      <w:bookmarkEnd w:id="8"/>
    </w:p>
    <w:p w:rsidR="001D0D6A" w:rsidRDefault="001D0D6A">
      <w:pPr>
        <w:pStyle w:val="P00"/>
        <w:spacing w:before="72"/>
        <w:ind w:left="0" w:right="1134"/>
        <w:rPr>
          <w:rStyle w:val="default"/>
          <w:rFonts w:cs="FrankRuehl" w:hint="cs"/>
          <w:rtl/>
        </w:rPr>
      </w:pPr>
    </w:p>
    <w:p w:rsidR="00AC0F95" w:rsidRDefault="00AC0F95">
      <w:pPr>
        <w:pStyle w:val="P00"/>
        <w:spacing w:before="72"/>
        <w:ind w:left="0" w:right="1134"/>
        <w:rPr>
          <w:rStyle w:val="default"/>
          <w:rFonts w:cs="FrankRuehl"/>
          <w:rtl/>
        </w:rPr>
      </w:pPr>
    </w:p>
    <w:p w:rsidR="00AC0F95" w:rsidRDefault="00AC0F95" w:rsidP="0043685D">
      <w:pPr>
        <w:pStyle w:val="sig-0"/>
        <w:tabs>
          <w:tab w:val="clear" w:pos="4820"/>
          <w:tab w:val="center" w:pos="5670"/>
        </w:tabs>
        <w:spacing w:before="72"/>
        <w:ind w:left="0" w:right="1134"/>
        <w:rPr>
          <w:rFonts w:cs="FrankRuehl"/>
          <w:sz w:val="26"/>
          <w:rtl/>
        </w:rPr>
      </w:pPr>
      <w:r>
        <w:rPr>
          <w:rFonts w:cs="FrankRuehl"/>
          <w:sz w:val="26"/>
          <w:rtl/>
        </w:rPr>
        <w:t xml:space="preserve">ט' </w:t>
      </w:r>
      <w:r>
        <w:rPr>
          <w:rFonts w:cs="FrankRuehl" w:hint="cs"/>
          <w:sz w:val="26"/>
          <w:rtl/>
        </w:rPr>
        <w:t>בחשון תשנ"ג (5 בנובמבר 1992)</w:t>
      </w:r>
      <w:r>
        <w:rPr>
          <w:rFonts w:cs="FrankRuehl"/>
          <w:sz w:val="26"/>
          <w:rtl/>
        </w:rPr>
        <w:tab/>
        <w:t>ד</w:t>
      </w:r>
      <w:r>
        <w:rPr>
          <w:rFonts w:cs="FrankRuehl" w:hint="cs"/>
          <w:sz w:val="26"/>
          <w:rtl/>
        </w:rPr>
        <w:t>וד ליבאי</w:t>
      </w:r>
    </w:p>
    <w:p w:rsidR="00AC0F95" w:rsidRDefault="00AC0F95" w:rsidP="0043685D">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המשפטים</w:t>
      </w:r>
    </w:p>
    <w:p w:rsidR="00CF2ED3" w:rsidRPr="00CF2ED3" w:rsidRDefault="00CF2ED3" w:rsidP="00CF2ED3">
      <w:pPr>
        <w:pStyle w:val="P00"/>
        <w:spacing w:before="72"/>
        <w:ind w:left="0" w:right="1134"/>
        <w:rPr>
          <w:rStyle w:val="default"/>
          <w:rFonts w:cs="FrankRuehl" w:hint="cs"/>
          <w:rtl/>
        </w:rPr>
      </w:pPr>
    </w:p>
    <w:p w:rsidR="00CF2ED3" w:rsidRPr="00CF2ED3" w:rsidRDefault="00CF2ED3" w:rsidP="00CF2ED3">
      <w:pPr>
        <w:pStyle w:val="P00"/>
        <w:spacing w:before="72"/>
        <w:ind w:left="0" w:right="1134"/>
        <w:rPr>
          <w:rStyle w:val="default"/>
          <w:rFonts w:cs="FrankRuehl"/>
          <w:rtl/>
        </w:rPr>
      </w:pPr>
    </w:p>
    <w:p w:rsidR="00AC0F95" w:rsidRPr="00CF2ED3" w:rsidRDefault="00AC0F95" w:rsidP="00CF2ED3">
      <w:pPr>
        <w:pStyle w:val="P00"/>
        <w:spacing w:before="72"/>
        <w:ind w:left="0" w:right="1134"/>
        <w:rPr>
          <w:rStyle w:val="default"/>
          <w:rFonts w:cs="FrankRuehl"/>
          <w:rtl/>
        </w:rPr>
      </w:pPr>
      <w:bookmarkStart w:id="9" w:name="LawPartEnd"/>
    </w:p>
    <w:bookmarkEnd w:id="9"/>
    <w:p w:rsidR="00E218C2" w:rsidRDefault="00E218C2" w:rsidP="00CF2ED3">
      <w:pPr>
        <w:pStyle w:val="P00"/>
        <w:spacing w:before="72"/>
        <w:ind w:left="0" w:right="1134"/>
        <w:rPr>
          <w:rStyle w:val="default"/>
          <w:rFonts w:cs="FrankRuehl"/>
          <w:rtl/>
        </w:rPr>
      </w:pPr>
    </w:p>
    <w:p w:rsidR="00E218C2" w:rsidRDefault="00E218C2" w:rsidP="00CF2ED3">
      <w:pPr>
        <w:pStyle w:val="P00"/>
        <w:spacing w:before="72"/>
        <w:ind w:left="0" w:right="1134"/>
        <w:rPr>
          <w:rStyle w:val="default"/>
          <w:rFonts w:cs="FrankRuehl"/>
          <w:rtl/>
        </w:rPr>
      </w:pPr>
    </w:p>
    <w:p w:rsidR="00E218C2" w:rsidRDefault="00E218C2" w:rsidP="00E218C2">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AC0F95" w:rsidRPr="00E218C2" w:rsidRDefault="00AC0F95" w:rsidP="00E218C2">
      <w:pPr>
        <w:pStyle w:val="P00"/>
        <w:spacing w:before="72"/>
        <w:ind w:left="0" w:right="1134"/>
        <w:jc w:val="center"/>
        <w:rPr>
          <w:rStyle w:val="default"/>
          <w:rFonts w:cs="David"/>
          <w:color w:val="0000FF"/>
          <w:szCs w:val="24"/>
          <w:u w:val="single"/>
          <w:rtl/>
        </w:rPr>
      </w:pPr>
    </w:p>
    <w:sectPr w:rsidR="00AC0F95" w:rsidRPr="00E218C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46A0" w:rsidRDefault="00DE46A0">
      <w:r>
        <w:separator/>
      </w:r>
    </w:p>
  </w:endnote>
  <w:endnote w:type="continuationSeparator" w:id="0">
    <w:p w:rsidR="00DE46A0" w:rsidRDefault="00DE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0F95" w:rsidRDefault="00AC0F9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C0F95" w:rsidRDefault="00AC0F9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C0F95" w:rsidRDefault="00AC0F9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2ED3">
      <w:rPr>
        <w:rFonts w:cs="TopType Jerushalmi"/>
        <w:noProof/>
        <w:color w:val="000000"/>
        <w:sz w:val="14"/>
        <w:szCs w:val="14"/>
      </w:rPr>
      <w:t>D:\Yael\hakika\Revadim\158_008.doc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0F95" w:rsidRDefault="00AC0F9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218C2">
      <w:rPr>
        <w:rFonts w:hAnsi="FrankRuehl" w:cs="FrankRuehl"/>
        <w:noProof/>
        <w:sz w:val="24"/>
        <w:szCs w:val="24"/>
        <w:rtl/>
      </w:rPr>
      <w:t>3</w:t>
    </w:r>
    <w:r>
      <w:rPr>
        <w:rFonts w:hAnsi="FrankRuehl" w:cs="FrankRuehl"/>
        <w:sz w:val="24"/>
        <w:szCs w:val="24"/>
        <w:rtl/>
      </w:rPr>
      <w:fldChar w:fldCharType="end"/>
    </w:r>
  </w:p>
  <w:p w:rsidR="00AC0F95" w:rsidRDefault="00AC0F9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C0F95" w:rsidRDefault="00AC0F9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2ED3">
      <w:rPr>
        <w:rFonts w:cs="TopType Jerushalmi"/>
        <w:noProof/>
        <w:color w:val="000000"/>
        <w:sz w:val="14"/>
        <w:szCs w:val="14"/>
      </w:rPr>
      <w:t>D:\Yael\hakika\Revadim\158_008.doc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46A0" w:rsidRDefault="00DE46A0" w:rsidP="00CF2ED3">
      <w:pPr>
        <w:spacing w:before="60" w:line="240" w:lineRule="auto"/>
        <w:ind w:right="1134"/>
      </w:pPr>
      <w:r>
        <w:separator/>
      </w:r>
    </w:p>
  </w:footnote>
  <w:footnote w:type="continuationSeparator" w:id="0">
    <w:p w:rsidR="00DE46A0" w:rsidRDefault="00DE46A0">
      <w:r>
        <w:continuationSeparator/>
      </w:r>
    </w:p>
  </w:footnote>
  <w:footnote w:id="1">
    <w:p w:rsidR="00CF2ED3" w:rsidRDefault="00CF2ED3" w:rsidP="00CF2E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F2ED3">
        <w:rPr>
          <w:rFonts w:cs="FrankRuehl"/>
          <w:rtl/>
        </w:rPr>
        <w:t xml:space="preserve">* </w:t>
      </w:r>
      <w:r>
        <w:rPr>
          <w:rFonts w:cs="FrankRuehl"/>
          <w:rtl/>
        </w:rPr>
        <w:t>פו</w:t>
      </w:r>
      <w:r>
        <w:rPr>
          <w:rFonts w:cs="FrankRuehl" w:hint="cs"/>
          <w:rtl/>
        </w:rPr>
        <w:t xml:space="preserve">רסמו </w:t>
      </w:r>
      <w:hyperlink r:id="rId1" w:history="1">
        <w:r w:rsidRPr="00F14B64">
          <w:rPr>
            <w:rStyle w:val="Hyperlink"/>
            <w:rFonts w:cs="FrankRuehl" w:hint="cs"/>
            <w:rtl/>
          </w:rPr>
          <w:t>ק"ת ת</w:t>
        </w:r>
        <w:r w:rsidRPr="00F14B64">
          <w:rPr>
            <w:rStyle w:val="Hyperlink"/>
            <w:rFonts w:cs="FrankRuehl" w:hint="cs"/>
            <w:rtl/>
          </w:rPr>
          <w:t>שנ"ג מס' 5479</w:t>
        </w:r>
      </w:hyperlink>
      <w:r>
        <w:rPr>
          <w:rFonts w:cs="FrankRuehl" w:hint="cs"/>
          <w:rtl/>
        </w:rPr>
        <w:t xml:space="preserve"> מיום 12.11.1992 עמ' 58.</w:t>
      </w:r>
    </w:p>
    <w:p w:rsidR="00CF2ED3" w:rsidRPr="00CF2ED3" w:rsidRDefault="00CF2ED3" w:rsidP="00CF2E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F14B64">
          <w:rPr>
            <w:rStyle w:val="Hyperlink"/>
            <w:rFonts w:cs="FrankRuehl" w:hint="cs"/>
            <w:rtl/>
          </w:rPr>
          <w:t xml:space="preserve">ק"ת </w:t>
        </w:r>
        <w:r w:rsidRPr="00F14B64">
          <w:rPr>
            <w:rStyle w:val="Hyperlink"/>
            <w:rFonts w:cs="FrankRuehl" w:hint="cs"/>
            <w:rtl/>
          </w:rPr>
          <w:t>תשנ"ג מס' 5489</w:t>
        </w:r>
      </w:hyperlink>
      <w:r>
        <w:rPr>
          <w:rFonts w:cs="FrankRuehl" w:hint="cs"/>
          <w:rtl/>
        </w:rPr>
        <w:t xml:space="preserve"> מיום 24.12.1992 עמ' 246 </w:t>
      </w:r>
      <w:r>
        <w:rPr>
          <w:rFonts w:cs="FrankRuehl"/>
          <w:rtl/>
        </w:rPr>
        <w:t>–</w:t>
      </w:r>
      <w:r>
        <w:rPr>
          <w:rFonts w:cs="FrankRuehl" w:hint="cs"/>
          <w:rtl/>
        </w:rPr>
        <w:t xml:space="preserve"> תק' תשנ"ג-1992.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0F95" w:rsidRDefault="00AC0F9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במגזר החקלאי המשפחתי (הפסקת הליכים והעברתם למשקם), תשנ"ג–1992</w:t>
    </w:r>
  </w:p>
  <w:p w:rsidR="00AC0F95" w:rsidRDefault="00AC0F9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0F95" w:rsidRDefault="00AC0F9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0F95" w:rsidRDefault="00AC0F95" w:rsidP="00CF2ED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הסדרים במגזר החקלאי המשפחתי (הפסקת הליכים והעברתם למשקם), </w:t>
    </w:r>
    <w:r w:rsidR="00CF2ED3">
      <w:rPr>
        <w:rFonts w:hAnsi="FrankRuehl" w:cs="FrankRuehl" w:hint="cs"/>
        <w:color w:val="000000"/>
        <w:sz w:val="28"/>
        <w:szCs w:val="28"/>
        <w:rtl/>
      </w:rPr>
      <w:br/>
    </w:r>
    <w:r>
      <w:rPr>
        <w:rFonts w:hAnsi="FrankRuehl" w:cs="FrankRuehl"/>
        <w:color w:val="000000"/>
        <w:sz w:val="28"/>
        <w:szCs w:val="28"/>
        <w:rtl/>
      </w:rPr>
      <w:t>תשנ"ג</w:t>
    </w:r>
    <w:r w:rsidR="00CF2ED3">
      <w:rPr>
        <w:rFonts w:hAnsi="FrankRuehl" w:cs="FrankRuehl" w:hint="cs"/>
        <w:color w:val="000000"/>
        <w:sz w:val="28"/>
        <w:szCs w:val="28"/>
        <w:rtl/>
      </w:rPr>
      <w:t>-</w:t>
    </w:r>
    <w:r>
      <w:rPr>
        <w:rFonts w:hAnsi="FrankRuehl" w:cs="FrankRuehl"/>
        <w:color w:val="000000"/>
        <w:sz w:val="28"/>
        <w:szCs w:val="28"/>
        <w:rtl/>
      </w:rPr>
      <w:t>1992</w:t>
    </w:r>
  </w:p>
  <w:p w:rsidR="00AC0F95" w:rsidRDefault="00AC0F9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0F95" w:rsidRDefault="00AC0F9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55E8"/>
    <w:rsid w:val="000B1599"/>
    <w:rsid w:val="001655E8"/>
    <w:rsid w:val="001D0D6A"/>
    <w:rsid w:val="00232E53"/>
    <w:rsid w:val="0043685D"/>
    <w:rsid w:val="004B6E4A"/>
    <w:rsid w:val="006A5CEC"/>
    <w:rsid w:val="00AC0F95"/>
    <w:rsid w:val="00C17DB9"/>
    <w:rsid w:val="00CF2ED3"/>
    <w:rsid w:val="00DE46A0"/>
    <w:rsid w:val="00E218C2"/>
    <w:rsid w:val="00F14B64"/>
    <w:rsid w:val="00FF75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E56A3D4-2DB7-4136-8B82-BB931206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1D0D6A"/>
    <w:rPr>
      <w:color w:val="800080"/>
      <w:u w:val="single"/>
    </w:rPr>
  </w:style>
  <w:style w:type="paragraph" w:styleId="a5">
    <w:name w:val="footnote text"/>
    <w:basedOn w:val="a"/>
    <w:semiHidden/>
    <w:rsid w:val="00CF2ED3"/>
    <w:rPr>
      <w:sz w:val="20"/>
      <w:szCs w:val="20"/>
    </w:rPr>
  </w:style>
  <w:style w:type="character" w:styleId="a6">
    <w:name w:val="footnote reference"/>
    <w:basedOn w:val="a0"/>
    <w:semiHidden/>
    <w:rsid w:val="00CF2E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489.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489.pdf" TargetMode="External"/><Relationship Id="rId1" Type="http://schemas.openxmlformats.org/officeDocument/2006/relationships/hyperlink" Target="http://www.nevo.co.il/Law_word/law06/TAK-54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פרק 158</vt:lpstr>
    </vt:vector>
  </TitlesOfParts>
  <Company/>
  <LinksUpToDate>false</LinksUpToDate>
  <CharactersWithSpaces>3903</CharactersWithSpaces>
  <SharedDoc>false</SharedDoc>
  <HLinks>
    <vt:vector size="72" baseType="variant">
      <vt:variant>
        <vt:i4>393283</vt:i4>
      </vt:variant>
      <vt:variant>
        <vt:i4>51</vt:i4>
      </vt:variant>
      <vt:variant>
        <vt:i4>0</vt:i4>
      </vt:variant>
      <vt:variant>
        <vt:i4>5</vt:i4>
      </vt:variant>
      <vt:variant>
        <vt:lpwstr>http://www.nevo.co.il/advertisements/nevo-100.doc</vt:lpwstr>
      </vt:variant>
      <vt:variant>
        <vt:lpwstr/>
      </vt:variant>
      <vt:variant>
        <vt:i4>7602181</vt:i4>
      </vt:variant>
      <vt:variant>
        <vt:i4>48</vt:i4>
      </vt:variant>
      <vt:variant>
        <vt:i4>0</vt:i4>
      </vt:variant>
      <vt:variant>
        <vt:i4>5</vt:i4>
      </vt:variant>
      <vt:variant>
        <vt:lpwstr>http://www.nevo.co.il/Law_word/law06/TAK-5489.pdf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7602181</vt:i4>
      </vt:variant>
      <vt:variant>
        <vt:i4>3</vt:i4>
      </vt:variant>
      <vt:variant>
        <vt:i4>0</vt:i4>
      </vt:variant>
      <vt:variant>
        <vt:i4>5</vt:i4>
      </vt:variant>
      <vt:variant>
        <vt:lpwstr>http://www.nevo.co.il/Law_word/law06/TAK-5489.pdf</vt:lpwstr>
      </vt:variant>
      <vt:variant>
        <vt:lpwstr/>
      </vt:variant>
      <vt:variant>
        <vt:i4>8060933</vt:i4>
      </vt:variant>
      <vt:variant>
        <vt:i4>0</vt:i4>
      </vt:variant>
      <vt:variant>
        <vt:i4>0</vt:i4>
      </vt:variant>
      <vt:variant>
        <vt:i4>5</vt:i4>
      </vt:variant>
      <vt:variant>
        <vt:lpwstr>http://www.nevo.co.il/Law_word/law06/TAK-5479.pdf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0158</vt:lpwstr>
  </property>
  <property fmtid="{D5CDD505-2E9C-101B-9397-08002B2CF9AE}" pid="3" name="CHNAME">
    <vt:lpwstr>חקלאות</vt:lpwstr>
  </property>
  <property fmtid="{D5CDD505-2E9C-101B-9397-08002B2CF9AE}" pid="4" name="LAWNAME">
    <vt:lpwstr>תקנות הסדרים במגזר החקלאי המשפחתי (הפסקת הליכים והעברתם למשקם), תשנ"ג-1992</vt:lpwstr>
  </property>
  <property fmtid="{D5CDD505-2E9C-101B-9397-08002B2CF9AE}" pid="5" name="LAWNUMBER">
    <vt:lpwstr>0008</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המגזר החקלאי המשפחתי </vt:lpwstr>
  </property>
  <property fmtid="{D5CDD505-2E9C-101B-9397-08002B2CF9AE}" pid="10" name="NOSE41">
    <vt:lpwstr>משקמים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הסדרים במגזר החקלאי המשפחתי</vt:lpwstr>
  </property>
  <property fmtid="{D5CDD505-2E9C-101B-9397-08002B2CF9AE}" pid="48" name="MEKOR_SAIF1">
    <vt:lpwstr>7XדX;35XבX</vt:lpwstr>
  </property>
  <property fmtid="{D5CDD505-2E9C-101B-9397-08002B2CF9AE}" pid="49" name="MEKOR_NAME2">
    <vt:lpwstr>חוק ההוצאה לפועל</vt:lpwstr>
  </property>
  <property fmtid="{D5CDD505-2E9C-101B-9397-08002B2CF9AE}" pid="50" name="MEKOR_SAIF2">
    <vt:lpwstr>88X</vt:lpwstr>
  </property>
  <property fmtid="{D5CDD505-2E9C-101B-9397-08002B2CF9AE}" pid="51" name="MEKOR_NAME3">
    <vt:lpwstr>חוק בתי המשפט [נוסח משולב]</vt:lpwstr>
  </property>
  <property fmtid="{D5CDD505-2E9C-101B-9397-08002B2CF9AE}" pid="52" name="MEKOR_SAIF3">
    <vt:lpwstr>108X</vt:lpwstr>
  </property>
</Properties>
</file>