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A671" w14:textId="77777777" w:rsidR="006473B6" w:rsidRDefault="006473B6">
      <w:pPr>
        <w:pStyle w:val="big-header"/>
        <w:ind w:left="0" w:right="1134"/>
        <w:rPr>
          <w:lang w:eastAsia="en-US"/>
        </w:rPr>
      </w:pPr>
      <w:r>
        <w:rPr>
          <w:rFonts w:hint="cs"/>
          <w:rtl/>
          <w:lang w:eastAsia="en-US"/>
        </w:rPr>
        <w:t xml:space="preserve">תקנות הסדרים במשק המדינה (תיקוני חקיקה) (מתן שירות שוויוני), </w:t>
      </w:r>
      <w:r>
        <w:rPr>
          <w:rtl/>
          <w:lang w:eastAsia="en-US"/>
        </w:rPr>
        <w:br/>
      </w:r>
      <w:r>
        <w:rPr>
          <w:rFonts w:hint="cs"/>
          <w:rtl/>
          <w:lang w:eastAsia="en-US"/>
        </w:rPr>
        <w:t>תשס"ז-2007</w:t>
      </w:r>
    </w:p>
    <w:p w14:paraId="4CCA1E62" w14:textId="77777777" w:rsidR="008143D6" w:rsidRPr="008143D6" w:rsidRDefault="008143D6" w:rsidP="008143D6">
      <w:pPr>
        <w:spacing w:line="320" w:lineRule="auto"/>
        <w:jc w:val="left"/>
        <w:rPr>
          <w:rFonts w:cs="FrankRuehl"/>
          <w:szCs w:val="26"/>
          <w:rtl/>
          <w:lang w:eastAsia="en-US"/>
        </w:rPr>
      </w:pPr>
    </w:p>
    <w:p w14:paraId="00FC6D92" w14:textId="77777777" w:rsidR="008143D6" w:rsidRDefault="008143D6" w:rsidP="008143D6">
      <w:pPr>
        <w:spacing w:line="320" w:lineRule="auto"/>
        <w:jc w:val="left"/>
        <w:rPr>
          <w:rtl/>
          <w:lang w:eastAsia="en-US"/>
        </w:rPr>
      </w:pPr>
    </w:p>
    <w:p w14:paraId="6F0436F4" w14:textId="77777777" w:rsidR="008143D6" w:rsidRPr="008143D6" w:rsidRDefault="008143D6" w:rsidP="008143D6">
      <w:pPr>
        <w:spacing w:line="320" w:lineRule="auto"/>
        <w:jc w:val="left"/>
        <w:rPr>
          <w:rFonts w:cs="Miriam"/>
          <w:szCs w:val="22"/>
          <w:rtl/>
          <w:lang w:eastAsia="en-US"/>
        </w:rPr>
      </w:pPr>
      <w:r w:rsidRPr="008143D6">
        <w:rPr>
          <w:rFonts w:cs="Miriam"/>
          <w:szCs w:val="22"/>
          <w:rtl/>
          <w:lang w:eastAsia="en-US"/>
        </w:rPr>
        <w:t>משפט פרטי וכלכלה</w:t>
      </w:r>
      <w:r w:rsidRPr="008143D6">
        <w:rPr>
          <w:rFonts w:cs="FrankRuehl"/>
          <w:szCs w:val="26"/>
          <w:rtl/>
          <w:lang w:eastAsia="en-US"/>
        </w:rPr>
        <w:t xml:space="preserve"> – כספים – תקציב ומשק המדינה</w:t>
      </w:r>
    </w:p>
    <w:p w14:paraId="0FBD2256" w14:textId="77777777" w:rsidR="006473B6" w:rsidRDefault="006473B6">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76621" w:rsidRPr="00A76621" w14:paraId="4EC2DC6C" w14:textId="77777777" w:rsidTr="00A76621">
        <w:tblPrEx>
          <w:tblCellMar>
            <w:top w:w="0" w:type="dxa"/>
            <w:bottom w:w="0" w:type="dxa"/>
          </w:tblCellMar>
        </w:tblPrEx>
        <w:tc>
          <w:tcPr>
            <w:tcW w:w="1247" w:type="dxa"/>
          </w:tcPr>
          <w:p w14:paraId="65DAE746"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19E764D0"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5D13471E" w14:textId="77777777" w:rsidR="00A76621" w:rsidRPr="00A76621" w:rsidRDefault="00A76621" w:rsidP="00A76621">
            <w:pPr>
              <w:spacing w:line="240" w:lineRule="auto"/>
              <w:jc w:val="left"/>
              <w:rPr>
                <w:rStyle w:val="Hyperlink"/>
                <w:rFonts w:hint="cs"/>
                <w:rtl/>
              </w:rPr>
            </w:pPr>
            <w:hyperlink w:anchor="Seif1" w:tooltip="הגדרות" w:history="1">
              <w:r w:rsidRPr="00A76621">
                <w:rPr>
                  <w:rStyle w:val="Hyperlink"/>
                </w:rPr>
                <w:t>Go</w:t>
              </w:r>
            </w:hyperlink>
          </w:p>
        </w:tc>
        <w:tc>
          <w:tcPr>
            <w:tcW w:w="850" w:type="dxa"/>
          </w:tcPr>
          <w:p w14:paraId="479C35A5" w14:textId="77777777" w:rsidR="00A76621" w:rsidRPr="00A76621" w:rsidRDefault="00A76621" w:rsidP="00A7662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6621" w:rsidRPr="00A76621" w14:paraId="1CAC7A9F" w14:textId="77777777" w:rsidTr="00A76621">
        <w:tblPrEx>
          <w:tblCellMar>
            <w:top w:w="0" w:type="dxa"/>
            <w:bottom w:w="0" w:type="dxa"/>
          </w:tblCellMar>
        </w:tblPrEx>
        <w:tc>
          <w:tcPr>
            <w:tcW w:w="1247" w:type="dxa"/>
          </w:tcPr>
          <w:p w14:paraId="248F0124"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1D2B76C1"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אי הפליה באספקת גז</w:t>
            </w:r>
          </w:p>
        </w:tc>
        <w:tc>
          <w:tcPr>
            <w:tcW w:w="567" w:type="dxa"/>
          </w:tcPr>
          <w:p w14:paraId="27779831" w14:textId="77777777" w:rsidR="00A76621" w:rsidRPr="00A76621" w:rsidRDefault="00A76621" w:rsidP="00A76621">
            <w:pPr>
              <w:spacing w:line="240" w:lineRule="auto"/>
              <w:jc w:val="left"/>
              <w:rPr>
                <w:rStyle w:val="Hyperlink"/>
                <w:rFonts w:hint="cs"/>
                <w:rtl/>
              </w:rPr>
            </w:pPr>
            <w:hyperlink w:anchor="Seif2" w:tooltip="אי הפליה באספקת גז" w:history="1">
              <w:r w:rsidRPr="00A76621">
                <w:rPr>
                  <w:rStyle w:val="Hyperlink"/>
                </w:rPr>
                <w:t>Go</w:t>
              </w:r>
            </w:hyperlink>
          </w:p>
        </w:tc>
        <w:tc>
          <w:tcPr>
            <w:tcW w:w="850" w:type="dxa"/>
          </w:tcPr>
          <w:p w14:paraId="32164D9E" w14:textId="77777777" w:rsidR="00A76621" w:rsidRPr="00A76621" w:rsidRDefault="00A76621" w:rsidP="00A7662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6621" w:rsidRPr="00A76621" w14:paraId="07BBDF7F" w14:textId="77777777" w:rsidTr="00A76621">
        <w:tblPrEx>
          <w:tblCellMar>
            <w:top w:w="0" w:type="dxa"/>
            <w:bottom w:w="0" w:type="dxa"/>
          </w:tblCellMar>
        </w:tblPrEx>
        <w:tc>
          <w:tcPr>
            <w:tcW w:w="1247" w:type="dxa"/>
          </w:tcPr>
          <w:p w14:paraId="1FE8DF89"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43D43FF8"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מסירת מידע</w:t>
            </w:r>
          </w:p>
        </w:tc>
        <w:tc>
          <w:tcPr>
            <w:tcW w:w="567" w:type="dxa"/>
          </w:tcPr>
          <w:p w14:paraId="40A6E596" w14:textId="77777777" w:rsidR="00A76621" w:rsidRPr="00A76621" w:rsidRDefault="00A76621" w:rsidP="00A76621">
            <w:pPr>
              <w:spacing w:line="240" w:lineRule="auto"/>
              <w:jc w:val="left"/>
              <w:rPr>
                <w:rStyle w:val="Hyperlink"/>
                <w:rFonts w:hint="cs"/>
                <w:rtl/>
              </w:rPr>
            </w:pPr>
            <w:hyperlink w:anchor="Seif3" w:tooltip="מסירת מידע" w:history="1">
              <w:r w:rsidRPr="00A76621">
                <w:rPr>
                  <w:rStyle w:val="Hyperlink"/>
                </w:rPr>
                <w:t>Go</w:t>
              </w:r>
            </w:hyperlink>
          </w:p>
        </w:tc>
        <w:tc>
          <w:tcPr>
            <w:tcW w:w="850" w:type="dxa"/>
          </w:tcPr>
          <w:p w14:paraId="5DC272D3" w14:textId="77777777" w:rsidR="00A76621" w:rsidRPr="00A76621" w:rsidRDefault="00A76621" w:rsidP="00A7662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6621" w:rsidRPr="00A76621" w14:paraId="204AB766" w14:textId="77777777" w:rsidTr="00A76621">
        <w:tblPrEx>
          <w:tblCellMar>
            <w:top w:w="0" w:type="dxa"/>
            <w:bottom w:w="0" w:type="dxa"/>
          </w:tblCellMar>
        </w:tblPrEx>
        <w:tc>
          <w:tcPr>
            <w:tcW w:w="1247" w:type="dxa"/>
          </w:tcPr>
          <w:p w14:paraId="4D79D29E"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5591DC2D"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עונשין</w:t>
            </w:r>
          </w:p>
        </w:tc>
        <w:tc>
          <w:tcPr>
            <w:tcW w:w="567" w:type="dxa"/>
          </w:tcPr>
          <w:p w14:paraId="57B88FF3" w14:textId="77777777" w:rsidR="00A76621" w:rsidRPr="00A76621" w:rsidRDefault="00A76621" w:rsidP="00A76621">
            <w:pPr>
              <w:spacing w:line="240" w:lineRule="auto"/>
              <w:jc w:val="left"/>
              <w:rPr>
                <w:rStyle w:val="Hyperlink"/>
                <w:rFonts w:hint="cs"/>
                <w:rtl/>
              </w:rPr>
            </w:pPr>
            <w:hyperlink w:anchor="Seif4" w:tooltip="עונשין" w:history="1">
              <w:r w:rsidRPr="00A76621">
                <w:rPr>
                  <w:rStyle w:val="Hyperlink"/>
                </w:rPr>
                <w:t>Go</w:t>
              </w:r>
            </w:hyperlink>
          </w:p>
        </w:tc>
        <w:tc>
          <w:tcPr>
            <w:tcW w:w="850" w:type="dxa"/>
          </w:tcPr>
          <w:p w14:paraId="5E7742CE" w14:textId="77777777" w:rsidR="00A76621" w:rsidRPr="00A76621" w:rsidRDefault="00A76621" w:rsidP="00A7662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76621" w:rsidRPr="00A76621" w14:paraId="4D7AE245" w14:textId="77777777" w:rsidTr="00A76621">
        <w:tblPrEx>
          <w:tblCellMar>
            <w:top w:w="0" w:type="dxa"/>
            <w:bottom w:w="0" w:type="dxa"/>
          </w:tblCellMar>
        </w:tblPrEx>
        <w:tc>
          <w:tcPr>
            <w:tcW w:w="1247" w:type="dxa"/>
          </w:tcPr>
          <w:p w14:paraId="6D6A805F"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29CB9ED2" w14:textId="77777777" w:rsidR="00A76621" w:rsidRPr="00A76621" w:rsidRDefault="00A76621" w:rsidP="00A76621">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03989DC2" w14:textId="77777777" w:rsidR="00A76621" w:rsidRPr="00A76621" w:rsidRDefault="00A76621" w:rsidP="00A76621">
            <w:pPr>
              <w:spacing w:line="240" w:lineRule="auto"/>
              <w:jc w:val="left"/>
              <w:rPr>
                <w:rStyle w:val="Hyperlink"/>
                <w:rFonts w:hint="cs"/>
                <w:rtl/>
              </w:rPr>
            </w:pPr>
            <w:hyperlink w:anchor="Seif5" w:tooltip="תחילה" w:history="1">
              <w:r w:rsidRPr="00A76621">
                <w:rPr>
                  <w:rStyle w:val="Hyperlink"/>
                </w:rPr>
                <w:t>Go</w:t>
              </w:r>
            </w:hyperlink>
          </w:p>
        </w:tc>
        <w:tc>
          <w:tcPr>
            <w:tcW w:w="850" w:type="dxa"/>
          </w:tcPr>
          <w:p w14:paraId="10E8C930" w14:textId="77777777" w:rsidR="00A76621" w:rsidRPr="00A76621" w:rsidRDefault="00A76621" w:rsidP="00A76621">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14:paraId="7E4754DE" w14:textId="77777777" w:rsidR="006473B6" w:rsidRDefault="006473B6">
      <w:pPr>
        <w:pStyle w:val="P00"/>
        <w:spacing w:before="72"/>
        <w:ind w:left="0" w:right="1134"/>
        <w:rPr>
          <w:rFonts w:hint="cs"/>
          <w:rtl/>
          <w:lang w:eastAsia="en-US"/>
        </w:rPr>
      </w:pPr>
    </w:p>
    <w:p w14:paraId="118FC6C2" w14:textId="77777777" w:rsidR="006473B6" w:rsidRDefault="006473B6" w:rsidP="008143D6">
      <w:pPr>
        <w:pStyle w:val="big-header"/>
        <w:ind w:left="0" w:right="1134"/>
        <w:rPr>
          <w:rStyle w:val="default"/>
          <w:rFonts w:hint="cs"/>
          <w:sz w:val="22"/>
          <w:szCs w:val="22"/>
          <w:rtl/>
          <w:lang w:eastAsia="en-US"/>
        </w:rPr>
      </w:pPr>
      <w:r>
        <w:rPr>
          <w:rtl/>
          <w:lang w:eastAsia="en-US"/>
        </w:rPr>
        <w:br w:type="page"/>
      </w:r>
      <w:r>
        <w:rPr>
          <w:rFonts w:hint="cs"/>
          <w:rtl/>
          <w:lang w:eastAsia="en-US"/>
        </w:rPr>
        <w:lastRenderedPageBreak/>
        <w:t xml:space="preserve">תקנות הסדרים במשק המדינה (תיקוני חקיקה) (מתן שירות שוויוני), </w:t>
      </w:r>
      <w:r>
        <w:rPr>
          <w:rtl/>
          <w:lang w:eastAsia="en-US"/>
        </w:rPr>
        <w:br/>
      </w:r>
      <w:r>
        <w:rPr>
          <w:rFonts w:hint="cs"/>
          <w:rtl/>
          <w:lang w:eastAsia="en-US"/>
        </w:rPr>
        <w:t>תשס"ז-2007</w:t>
      </w:r>
      <w:r>
        <w:rPr>
          <w:rStyle w:val="default"/>
          <w:sz w:val="22"/>
          <w:szCs w:val="22"/>
          <w:rtl/>
          <w:lang w:eastAsia="en-US"/>
        </w:rPr>
        <w:footnoteReference w:customMarkFollows="1" w:id="1"/>
        <w:t>*</w:t>
      </w:r>
    </w:p>
    <w:p w14:paraId="53C8A890"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בתוקף סמכותי לפי סעיפים 16 ו</w:t>
      </w:r>
      <w:r>
        <w:rPr>
          <w:rStyle w:val="default"/>
          <w:rFonts w:cs="FrankRuehl" w:hint="cs"/>
          <w:rtl/>
          <w:lang w:eastAsia="en-US"/>
        </w:rPr>
        <w:t>-</w:t>
      </w:r>
      <w:r>
        <w:rPr>
          <w:rStyle w:val="default"/>
          <w:rFonts w:cs="FrankRuehl"/>
          <w:rtl/>
          <w:lang w:eastAsia="en-US"/>
        </w:rPr>
        <w:t>19 לחוק הסדרים במשק המדינה (תיקוני חקיקה), התשמ"ט</w:t>
      </w:r>
      <w:r>
        <w:rPr>
          <w:rStyle w:val="default"/>
          <w:rFonts w:cs="FrankRuehl" w:hint="cs"/>
          <w:rtl/>
          <w:lang w:eastAsia="en-US"/>
        </w:rPr>
        <w:t>-1989</w:t>
      </w:r>
      <w:r>
        <w:rPr>
          <w:rStyle w:val="default"/>
          <w:rFonts w:cs="FrankRuehl"/>
          <w:rtl/>
          <w:lang w:eastAsia="en-US"/>
        </w:rPr>
        <w:t xml:space="preserve"> (להלן – החוק), ובאישור ועדת הכספים של הכנסת, אני מתקין תקנות אלה</w:t>
      </w:r>
      <w:r>
        <w:rPr>
          <w:rStyle w:val="default"/>
          <w:rFonts w:cs="FrankRuehl" w:hint="cs"/>
          <w:rtl/>
          <w:lang w:eastAsia="en-US"/>
        </w:rPr>
        <w:t>:</w:t>
      </w:r>
    </w:p>
    <w:p w14:paraId="53F77CF8" w14:textId="77777777" w:rsidR="006473B6" w:rsidRDefault="006473B6">
      <w:pPr>
        <w:pStyle w:val="P00"/>
        <w:spacing w:before="72"/>
        <w:ind w:left="0" w:right="1134"/>
        <w:rPr>
          <w:rStyle w:val="default"/>
          <w:rFonts w:cs="FrankRuehl" w:hint="cs"/>
          <w:rtl/>
          <w:lang w:eastAsia="en-US"/>
        </w:rPr>
      </w:pPr>
      <w:bookmarkStart w:id="0" w:name="Seif1"/>
      <w:bookmarkEnd w:id="0"/>
      <w:r>
        <w:rPr>
          <w:lang w:val="he-IL"/>
        </w:rPr>
        <w:pict w14:anchorId="793A9372">
          <v:rect id="_x0000_s1026" style="position:absolute;left:0;text-align:left;margin-left:464.5pt;margin-top:8.05pt;width:75.05pt;height:11.4pt;z-index:251655680" o:allowincell="f" filled="f" stroked="f" strokecolor="lime" strokeweight=".25pt">
            <v:textbox style="mso-next-textbox:#_x0000_s1026" inset="0,0,0,0">
              <w:txbxContent>
                <w:p w14:paraId="48C991D8" w14:textId="77777777" w:rsidR="006473B6" w:rsidRDefault="006473B6">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בתקנות אלה –</w:t>
      </w:r>
    </w:p>
    <w:p w14:paraId="58821C12"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"בית זיקוק" – חברה העוסקת בזיקוק ובמכירה של מוצרי נפט;</w:t>
      </w:r>
    </w:p>
    <w:p w14:paraId="127BC08C"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"ספק גז" – כהגדרתו בסעיף 14 לחוק, ובלבד שהוא בעל רישיון לפי סעיף 10 לחוק הגז (בטיחות ורישוי), התשמ"ט</w:t>
      </w:r>
      <w:r>
        <w:rPr>
          <w:rStyle w:val="default"/>
          <w:rFonts w:cs="FrankRuehl" w:hint="cs"/>
          <w:rtl/>
          <w:lang w:eastAsia="en-US"/>
        </w:rPr>
        <w:t>-1989</w:t>
      </w:r>
      <w:r>
        <w:rPr>
          <w:rStyle w:val="default"/>
          <w:rFonts w:cs="FrankRuehl"/>
          <w:rtl/>
          <w:lang w:eastAsia="en-US"/>
        </w:rPr>
        <w:t xml:space="preserve"> (להלן – חוק הגז);</w:t>
      </w:r>
    </w:p>
    <w:p w14:paraId="309684D1"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"שירות תשתית" – אחסון, הזרמה או ניפוק של גז הנמכר או משווק על ידי בית זיקוק.</w:t>
      </w:r>
    </w:p>
    <w:p w14:paraId="1972041E" w14:textId="77777777" w:rsidR="006473B6" w:rsidRDefault="006473B6">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57377187">
          <v:shapetype id="_x0000_t202" coordsize="21600,21600" o:spt="202" path="m,l,21600r21600,l21600,xe">
            <v:stroke joinstyle="miter"/>
            <v:path gradientshapeok="t" o:connecttype="rect"/>
          </v:shapetype>
          <v:shape id="_x0000_s1147" type="#_x0000_t202" style="position:absolute;left:0;text-align:left;margin-left:470.25pt;margin-top:7.1pt;width:1in;height:16.25pt;z-index:251656704" filled="f" stroked="f">
            <v:textbox inset="1mm,0,1mm,0">
              <w:txbxContent>
                <w:p w14:paraId="0E2FBF37" w14:textId="77777777" w:rsidR="006473B6" w:rsidRDefault="006473B6">
                  <w:pPr>
                    <w:spacing w:line="160" w:lineRule="exact"/>
                    <w:jc w:val="left"/>
                    <w:rPr>
                      <w:rFonts w:cs="Miriam" w:hint="cs"/>
                      <w:szCs w:val="18"/>
                      <w:rtl/>
                      <w:lang w:eastAsia="en-US"/>
                    </w:rPr>
                  </w:pPr>
                  <w:r>
                    <w:rPr>
                      <w:rFonts w:cs="Miriam" w:hint="cs"/>
                      <w:szCs w:val="18"/>
                      <w:rtl/>
                      <w:lang w:eastAsia="en-US"/>
                    </w:rPr>
                    <w:t>אי-הפליה באספקת גז</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בית זיקוק לא יפלה באספקת גז בין ספקי גז שונים; לענין זה, "הפליה" – קביעה של</w:t>
      </w:r>
      <w:r>
        <w:rPr>
          <w:rStyle w:val="default"/>
          <w:rFonts w:cs="FrankRuehl" w:hint="cs"/>
          <w:rtl/>
          <w:lang w:eastAsia="en-US"/>
        </w:rPr>
        <w:t xml:space="preserve"> </w:t>
      </w:r>
      <w:r>
        <w:rPr>
          <w:rStyle w:val="default"/>
          <w:rFonts w:cs="FrankRuehl"/>
          <w:rtl/>
          <w:lang w:eastAsia="en-US"/>
        </w:rPr>
        <w:t>תנאי התקשרות שונים לספקי גז שונים, מסיבות שאינן עניניות ושלא על בסיס קריטריונים אובייקטיביים, מקובלים וידועים ברבים, בין השאר בכל אחד מתחומים אלה:</w:t>
      </w:r>
    </w:p>
    <w:p w14:paraId="4614C399" w14:textId="77777777" w:rsidR="006473B6" w:rsidRDefault="006473B6">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כמות הגז המסופקת ואיכותו;</w:t>
      </w:r>
    </w:p>
    <w:p w14:paraId="25A0901D" w14:textId="77777777" w:rsidR="006473B6" w:rsidRDefault="006473B6">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תנאי אשראי הניתנים לצרכנים בעלי רמות סיכון כלכלי והיקפי פעילות דומים;</w:t>
      </w:r>
    </w:p>
    <w:p w14:paraId="1BC55F9C" w14:textId="77777777" w:rsidR="006473B6" w:rsidRDefault="006473B6">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קנסות ותשלומים אחרים בשל אי</w:t>
      </w:r>
      <w:r>
        <w:rPr>
          <w:rStyle w:val="default"/>
          <w:rFonts w:cs="FrankRuehl" w:hint="cs"/>
          <w:rtl/>
          <w:lang w:eastAsia="en-US"/>
        </w:rPr>
        <w:t>-</w:t>
      </w:r>
      <w:r>
        <w:rPr>
          <w:rStyle w:val="default"/>
          <w:rFonts w:cs="FrankRuehl"/>
          <w:rtl/>
          <w:lang w:eastAsia="en-US"/>
        </w:rPr>
        <w:t>משיכה במועד של גז שהוזמן, לרבות תשלום בעבור אחסון הגז שלא נמשך ושמירתו בעבור ספק הגז;</w:t>
      </w:r>
    </w:p>
    <w:p w14:paraId="7DF1AA8D" w14:textId="77777777" w:rsidR="006473B6" w:rsidRDefault="006473B6">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מועדי הספקה;</w:t>
      </w:r>
    </w:p>
    <w:p w14:paraId="3B28DCFB" w14:textId="77777777" w:rsidR="006473B6" w:rsidRDefault="006473B6">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מקומות הספקה;</w:t>
      </w:r>
    </w:p>
    <w:p w14:paraId="29B26978" w14:textId="77777777" w:rsidR="006473B6" w:rsidRDefault="006473B6">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גישה למקומות ההספקה ומקומות חניה.</w:t>
      </w:r>
    </w:p>
    <w:p w14:paraId="3C84E3BB"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המחיר שבית זיקוק מוכר בו גפ"מ, יהיה אחיד במועד ההספקה לכל טון גפ"מ.</w:t>
      </w:r>
    </w:p>
    <w:p w14:paraId="51214D2E"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המחיר שבית זיקוק נותן בו שירות תשתית יהיה אחיד במועד ההספקה לכל טון גפ"מ שהוא מוכר.</w:t>
      </w:r>
    </w:p>
    <w:p w14:paraId="059ACC29"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לא יסרב בית זיקוק סירוב בלתי סביר לספק גפ"מ, ולא יתנה התקשרות לרכישת גפ"מ בתנאים אשר מטבעם או לפי תנאי מסחר מקובלים אינם נוגעים לנושא ההתקשרות.</w:t>
      </w:r>
    </w:p>
    <w:p w14:paraId="1E96EA55"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לא יקבע בית זיקוק לעסקות דומות תנאי התקשרות שונים באופן העשוי להעניק ללקוחות או לספקים מסוימים יתרון בלתי הוגן כלפי המתחרים בהם.</w:t>
      </w:r>
    </w:p>
    <w:p w14:paraId="1EA88384"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w:t>
      </w:r>
      <w:r>
        <w:rPr>
          <w:rStyle w:val="default"/>
          <w:rFonts w:cs="FrankRuehl" w:hint="cs"/>
          <w:rtl/>
          <w:lang w:eastAsia="en-US"/>
        </w:rPr>
        <w:tab/>
      </w:r>
      <w:r>
        <w:rPr>
          <w:rStyle w:val="default"/>
          <w:rFonts w:cs="FrankRuehl"/>
          <w:rtl/>
          <w:lang w:eastAsia="en-US"/>
        </w:rPr>
        <w:t>על אף האמור בסעיפים קטנים (ד) ו</w:t>
      </w:r>
      <w:r>
        <w:rPr>
          <w:rStyle w:val="default"/>
          <w:rFonts w:cs="FrankRuehl" w:hint="cs"/>
          <w:rtl/>
          <w:lang w:eastAsia="en-US"/>
        </w:rPr>
        <w:t>-</w:t>
      </w:r>
      <w:r>
        <w:rPr>
          <w:rStyle w:val="default"/>
          <w:rFonts w:cs="FrankRuehl"/>
          <w:rtl/>
          <w:lang w:eastAsia="en-US"/>
        </w:rPr>
        <w:t>(ה), רשאי בית זיקוק לפטור חברה בת וחברה קשורה, כמשמעותן בחוק ניירות ערך, התשכ"ח</w:t>
      </w:r>
      <w:r>
        <w:rPr>
          <w:rStyle w:val="default"/>
          <w:rFonts w:cs="FrankRuehl" w:hint="cs"/>
          <w:rtl/>
          <w:lang w:eastAsia="en-US"/>
        </w:rPr>
        <w:t>-1968</w:t>
      </w:r>
      <w:r>
        <w:rPr>
          <w:rStyle w:val="default"/>
          <w:rFonts w:cs="FrankRuehl"/>
          <w:rtl/>
          <w:lang w:eastAsia="en-US"/>
        </w:rPr>
        <w:t>, מחובת הפקדת ערבות, ולא יראו פטור כאמור כהפליה לענין סעיף קטן (א).</w:t>
      </w:r>
    </w:p>
    <w:p w14:paraId="41CA211D" w14:textId="77777777" w:rsidR="006473B6" w:rsidRDefault="006473B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(ז)</w:t>
      </w:r>
      <w:r>
        <w:rPr>
          <w:rStyle w:val="default"/>
          <w:rFonts w:cs="FrankRuehl" w:hint="cs"/>
          <w:rtl/>
          <w:lang w:eastAsia="en-US"/>
        </w:rPr>
        <w:tab/>
      </w:r>
      <w:r>
        <w:rPr>
          <w:rStyle w:val="default"/>
          <w:rFonts w:cs="FrankRuehl"/>
          <w:rtl/>
          <w:lang w:eastAsia="en-US"/>
        </w:rPr>
        <w:t>בית זיקוק לא ימסור לספק גז מידע הנוגע לייצור ולהספקה של הגז, העשוי לתת בידי ספק הגז יתרון על פני מתחריו, אלא אם כן סופק המידע בשלמותו באותו מועד לכל שאר ספקי הגז.</w:t>
      </w:r>
    </w:p>
    <w:p w14:paraId="02653E4A" w14:textId="77777777" w:rsidR="006473B6" w:rsidRDefault="006473B6">
      <w:pPr>
        <w:pStyle w:val="P00"/>
        <w:spacing w:before="72"/>
        <w:ind w:left="0" w:right="1134"/>
        <w:rPr>
          <w:rStyle w:val="default"/>
          <w:rFonts w:cs="FrankRuehl" w:hint="cs"/>
          <w:rtl/>
          <w:lang w:eastAsia="en-US"/>
        </w:rPr>
      </w:pPr>
      <w:bookmarkStart w:id="2" w:name="Seif3"/>
      <w:bookmarkEnd w:id="2"/>
      <w:r>
        <w:rPr>
          <w:lang w:val="he-IL"/>
        </w:rPr>
        <w:pict w14:anchorId="050B1E4A">
          <v:rect id="_x0000_s1263" style="position:absolute;left:0;text-align:left;margin-left:464.5pt;margin-top:8.05pt;width:75.05pt;height:13.35pt;z-index:251657728" o:allowincell="f" filled="f" stroked="f" strokecolor="lime" strokeweight=".25pt">
            <v:textbox style="mso-next-textbox:#_x0000_s1263" inset="0,0,0,0">
              <w:txbxContent>
                <w:p w14:paraId="0C596BE3" w14:textId="77777777" w:rsidR="006473B6" w:rsidRDefault="006473B6">
                  <w:pPr>
                    <w:spacing w:line="160" w:lineRule="exact"/>
                    <w:jc w:val="left"/>
                    <w:rPr>
                      <w:rFonts w:cs="Miriam" w:hint="cs"/>
                      <w:noProof/>
                      <w:szCs w:val="18"/>
                      <w:rtl/>
                      <w:lang w:eastAsia="en-US"/>
                    </w:rPr>
                  </w:pPr>
                  <w:r>
                    <w:rPr>
                      <w:rFonts w:cs="Miriam" w:hint="cs"/>
                      <w:szCs w:val="18"/>
                      <w:rtl/>
                      <w:lang w:eastAsia="en-US"/>
                    </w:rPr>
                    <w:t>מסירת מידע</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בית זיקוק ימסור למנהל שמונה לפי סעיף 3 לחוק הגז, כל מידע שיבקש, והדרוש לו לבחינת עמידה של בית זיקוק בדרישות תקנות אלה.</w:t>
      </w:r>
    </w:p>
    <w:p w14:paraId="01134DD1" w14:textId="77777777" w:rsidR="006473B6" w:rsidRDefault="006473B6">
      <w:pPr>
        <w:pStyle w:val="P00"/>
        <w:spacing w:before="72"/>
        <w:ind w:left="0" w:right="1134"/>
        <w:rPr>
          <w:rStyle w:val="default"/>
          <w:rFonts w:cs="FrankRuehl" w:hint="cs"/>
          <w:rtl/>
          <w:lang w:eastAsia="en-US"/>
        </w:rPr>
      </w:pPr>
      <w:bookmarkStart w:id="3" w:name="Seif4"/>
      <w:bookmarkEnd w:id="3"/>
      <w:r>
        <w:rPr>
          <w:lang w:val="he-IL"/>
        </w:rPr>
        <w:pict w14:anchorId="1695B2FC">
          <v:rect id="_x0000_s1264" style="position:absolute;left:0;text-align:left;margin-left:464.5pt;margin-top:8.05pt;width:75.05pt;height:14.05pt;z-index:251658752" o:allowincell="f" filled="f" stroked="f" strokecolor="lime" strokeweight=".25pt">
            <v:textbox style="mso-next-textbox:#_x0000_s1264" inset="0,0,0,0">
              <w:txbxContent>
                <w:p w14:paraId="06BC978B" w14:textId="77777777" w:rsidR="006473B6" w:rsidRDefault="006473B6">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rtl/>
          <w:lang w:eastAsia="en-US"/>
        </w:rPr>
        <w:t>העושה אחד מאלה, דינו קנס כאמור בסעיף 61(א)(1) לחוק העונשין, התשל"ז</w:t>
      </w:r>
      <w:r>
        <w:rPr>
          <w:rStyle w:val="default"/>
          <w:rFonts w:cs="FrankRuehl" w:hint="cs"/>
          <w:rtl/>
          <w:lang w:eastAsia="en-US"/>
        </w:rPr>
        <w:t>-1977</w:t>
      </w:r>
      <w:r>
        <w:rPr>
          <w:rStyle w:val="default"/>
          <w:rFonts w:cs="FrankRuehl"/>
          <w:rtl/>
          <w:lang w:eastAsia="en-US"/>
        </w:rPr>
        <w:t>:</w:t>
      </w:r>
    </w:p>
    <w:p w14:paraId="5C9CEF7E" w14:textId="77777777" w:rsidR="006473B6" w:rsidRDefault="006473B6">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מפלה בין ספקי גז בניגוד לתקנה 2;</w:t>
      </w:r>
    </w:p>
    <w:p w14:paraId="0B9C97D4" w14:textId="77777777" w:rsidR="006473B6" w:rsidRDefault="006473B6">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מסרב למסור מידע שהתבקש למסור לפי תקנה 3</w:t>
      </w:r>
      <w:r>
        <w:rPr>
          <w:rStyle w:val="default"/>
          <w:rFonts w:cs="FrankRuehl" w:hint="cs"/>
          <w:rtl/>
          <w:lang w:eastAsia="en-US"/>
        </w:rPr>
        <w:t>.</w:t>
      </w:r>
    </w:p>
    <w:p w14:paraId="11794555" w14:textId="77777777" w:rsidR="006473B6" w:rsidRDefault="006473B6">
      <w:pPr>
        <w:pStyle w:val="P00"/>
        <w:spacing w:before="72"/>
        <w:ind w:left="0" w:right="1134"/>
        <w:rPr>
          <w:rStyle w:val="default"/>
          <w:rFonts w:cs="FrankRuehl" w:hint="cs"/>
          <w:rtl/>
          <w:lang w:eastAsia="en-US"/>
        </w:rPr>
      </w:pPr>
      <w:bookmarkStart w:id="4" w:name="Seif5"/>
      <w:bookmarkEnd w:id="4"/>
      <w:r>
        <w:rPr>
          <w:lang w:val="he-IL"/>
        </w:rPr>
        <w:pict w14:anchorId="08002692">
          <v:rect id="_x0000_s1265" style="position:absolute;left:0;text-align:left;margin-left:464.5pt;margin-top:8.05pt;width:75.05pt;height:11.4pt;z-index:251659776" o:allowincell="f" filled="f" stroked="f" strokecolor="lime" strokeweight=".25pt">
            <v:textbox style="mso-next-textbox:#_x0000_s1265" inset="0,0,0,0">
              <w:txbxContent>
                <w:p w14:paraId="6B71AB62" w14:textId="77777777" w:rsidR="006473B6" w:rsidRDefault="006473B6">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rtl/>
          <w:lang w:eastAsia="en-US"/>
        </w:rPr>
        <w:t>תחילתן של תקנות אלה ב</w:t>
      </w:r>
      <w:r>
        <w:rPr>
          <w:rStyle w:val="default"/>
          <w:rFonts w:cs="FrankRuehl" w:hint="cs"/>
          <w:rtl/>
          <w:lang w:eastAsia="en-US"/>
        </w:rPr>
        <w:t>-</w:t>
      </w:r>
      <w:r>
        <w:rPr>
          <w:rStyle w:val="default"/>
          <w:rFonts w:cs="FrankRuehl"/>
          <w:rtl/>
          <w:lang w:eastAsia="en-US"/>
        </w:rPr>
        <w:t>1 בחודש שאחרי פרסומן.</w:t>
      </w:r>
    </w:p>
    <w:p w14:paraId="746592E3" w14:textId="77777777" w:rsidR="006473B6" w:rsidRDefault="006473B6">
      <w:pPr>
        <w:pStyle w:val="P00"/>
        <w:spacing w:before="72"/>
        <w:ind w:left="0" w:right="1134"/>
        <w:rPr>
          <w:rFonts w:hint="cs"/>
          <w:rtl/>
          <w:lang w:eastAsia="en-US"/>
        </w:rPr>
      </w:pPr>
    </w:p>
    <w:p w14:paraId="77C0F377" w14:textId="77777777" w:rsidR="006473B6" w:rsidRDefault="006473B6">
      <w:pPr>
        <w:pStyle w:val="P00"/>
        <w:spacing w:before="72"/>
        <w:ind w:left="0" w:right="1134"/>
        <w:rPr>
          <w:rFonts w:hint="cs"/>
          <w:rtl/>
          <w:lang w:eastAsia="en-US"/>
        </w:rPr>
      </w:pPr>
    </w:p>
    <w:p w14:paraId="404916BD" w14:textId="77777777" w:rsidR="006473B6" w:rsidRDefault="006473B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כ"ד בטבת התשס"ז (14 בינואר 2007)</w:t>
      </w:r>
    </w:p>
    <w:p w14:paraId="4EFA29E6" w14:textId="77777777" w:rsidR="006473B6" w:rsidRDefault="006473B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vertAlign w:val="subscript"/>
          <w:rtl/>
          <w:lang w:eastAsia="en-US"/>
        </w:rPr>
      </w:pPr>
      <w:r>
        <w:rPr>
          <w:rFonts w:hint="cs"/>
          <w:rtl/>
          <w:lang w:eastAsia="en-US"/>
        </w:rPr>
        <w:tab/>
        <w:t>בנימין (פואד) בן אליעזר</w:t>
      </w:r>
    </w:p>
    <w:p w14:paraId="6E264334" w14:textId="77777777" w:rsidR="006473B6" w:rsidRDefault="006473B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lang w:eastAsia="en-US"/>
        </w:rPr>
      </w:pPr>
      <w:r>
        <w:rPr>
          <w:rFonts w:hint="cs"/>
          <w:sz w:val="22"/>
          <w:szCs w:val="22"/>
          <w:rtl/>
          <w:lang w:eastAsia="en-US"/>
        </w:rPr>
        <w:tab/>
        <w:t>שר התשתיות הלאומיות</w:t>
      </w:r>
    </w:p>
    <w:p w14:paraId="4CED1C40" w14:textId="77777777" w:rsidR="006473B6" w:rsidRDefault="006473B6">
      <w:pPr>
        <w:pStyle w:val="P00"/>
        <w:spacing w:before="72"/>
        <w:ind w:left="0" w:right="1134"/>
        <w:rPr>
          <w:rStyle w:val="default"/>
          <w:rFonts w:cs="FrankRuehl" w:hint="cs"/>
          <w:rtl/>
          <w:lang w:eastAsia="en-US"/>
        </w:rPr>
      </w:pPr>
    </w:p>
    <w:p w14:paraId="3F618E8E" w14:textId="77777777" w:rsidR="006473B6" w:rsidRDefault="006473B6">
      <w:pPr>
        <w:pStyle w:val="P00"/>
        <w:spacing w:before="72"/>
        <w:ind w:left="0" w:right="1134"/>
        <w:rPr>
          <w:rStyle w:val="default"/>
          <w:rFonts w:cs="FrankRuehl" w:hint="cs"/>
          <w:rtl/>
          <w:lang w:eastAsia="en-US"/>
        </w:rPr>
      </w:pPr>
    </w:p>
    <w:p w14:paraId="1CA6A61E" w14:textId="77777777" w:rsidR="00A76621" w:rsidRDefault="00A76621">
      <w:pPr>
        <w:pStyle w:val="P00"/>
        <w:spacing w:before="72"/>
        <w:ind w:left="0" w:right="1134"/>
        <w:rPr>
          <w:rStyle w:val="default"/>
          <w:rFonts w:cs="FrankRuehl"/>
          <w:rtl/>
          <w:lang w:eastAsia="en-US"/>
        </w:rPr>
      </w:pPr>
    </w:p>
    <w:p w14:paraId="403FA025" w14:textId="77777777" w:rsidR="00A76621" w:rsidRDefault="00A76621">
      <w:pPr>
        <w:pStyle w:val="P00"/>
        <w:spacing w:before="72"/>
        <w:ind w:left="0" w:right="1134"/>
        <w:rPr>
          <w:rStyle w:val="default"/>
          <w:rFonts w:cs="FrankRuehl"/>
          <w:rtl/>
          <w:lang w:eastAsia="en-US"/>
        </w:rPr>
      </w:pPr>
    </w:p>
    <w:p w14:paraId="63EF7DB6" w14:textId="77777777" w:rsidR="00A76621" w:rsidRDefault="00A76621" w:rsidP="00A76621">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75B699E3" w14:textId="77777777" w:rsidR="006473B6" w:rsidRPr="00A76621" w:rsidRDefault="006473B6" w:rsidP="00A76621">
      <w:pPr>
        <w:pStyle w:val="P00"/>
        <w:spacing w:before="72"/>
        <w:ind w:left="0" w:right="1134"/>
        <w:jc w:val="center"/>
        <w:rPr>
          <w:rStyle w:val="default"/>
          <w:rFonts w:cs="David" w:hint="cs"/>
          <w:color w:val="0000FF"/>
          <w:szCs w:val="24"/>
          <w:u w:val="single"/>
          <w:rtl/>
          <w:lang w:eastAsia="en-US"/>
        </w:rPr>
      </w:pPr>
    </w:p>
    <w:sectPr w:rsidR="006473B6" w:rsidRPr="00A7662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E46A3" w14:textId="77777777" w:rsidR="006473B6" w:rsidRDefault="006473B6">
      <w:r>
        <w:separator/>
      </w:r>
    </w:p>
  </w:endnote>
  <w:endnote w:type="continuationSeparator" w:id="0">
    <w:p w14:paraId="37ABB935" w14:textId="77777777" w:rsidR="006473B6" w:rsidRDefault="0064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A531" w14:textId="77777777" w:rsidR="006473B6" w:rsidRDefault="006473B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28CB1F7F" w14:textId="77777777" w:rsidR="006473B6" w:rsidRDefault="006473B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38404AF" w14:textId="77777777" w:rsidR="006473B6" w:rsidRDefault="006473B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Z:\000000000000-law\yael\07-02-11\999_730.doc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E04A" w14:textId="77777777" w:rsidR="006473B6" w:rsidRDefault="006473B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A76621">
      <w:rPr>
        <w:noProof/>
        <w:sz w:val="24"/>
        <w:szCs w:val="24"/>
        <w:rtl/>
        <w:lang w:eastAsia="en-US"/>
      </w:rPr>
      <w:t>2</w:t>
    </w:r>
    <w:r>
      <w:rPr>
        <w:rFonts w:hAnsi="FrankRuehl"/>
        <w:sz w:val="24"/>
        <w:szCs w:val="24"/>
        <w:rtl/>
      </w:rPr>
      <w:fldChar w:fldCharType="end"/>
    </w:r>
  </w:p>
  <w:p w14:paraId="19383D18" w14:textId="77777777" w:rsidR="006473B6" w:rsidRDefault="006473B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1D8C7CC4" w14:textId="77777777" w:rsidR="006473B6" w:rsidRDefault="006473B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Z:\000000000000-law\yael\07-02-11\999_730.doc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46B49" w14:textId="77777777" w:rsidR="006473B6" w:rsidRDefault="006473B6">
      <w:pPr>
        <w:spacing w:before="60" w:line="240" w:lineRule="auto"/>
        <w:ind w:right="1134"/>
      </w:pPr>
      <w:r>
        <w:separator/>
      </w:r>
    </w:p>
  </w:footnote>
  <w:footnote w:type="continuationSeparator" w:id="0">
    <w:p w14:paraId="0BFBBFBA" w14:textId="77777777" w:rsidR="006473B6" w:rsidRDefault="006473B6">
      <w:pPr>
        <w:spacing w:before="60" w:line="240" w:lineRule="auto"/>
        <w:ind w:right="1134"/>
      </w:pPr>
      <w:r>
        <w:separator/>
      </w:r>
    </w:p>
  </w:footnote>
  <w:footnote w:id="1">
    <w:p w14:paraId="62CC3A0E" w14:textId="77777777" w:rsidR="006473B6" w:rsidRDefault="006473B6">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sz w:val="20"/>
          <w:lang w:eastAsia="en-US"/>
        </w:rPr>
        <w:t>*</w:t>
      </w:r>
      <w:r>
        <w:rPr>
          <w:rFonts w:hint="cs"/>
          <w:sz w:val="20"/>
          <w:rtl/>
          <w:lang w:eastAsia="en-US"/>
        </w:rPr>
        <w:t xml:space="preserve"> פורסמו </w:t>
      </w:r>
      <w:hyperlink r:id="rId1" w:history="1">
        <w:r>
          <w:rPr>
            <w:rStyle w:val="Hyperlink"/>
            <w:rFonts w:hint="cs"/>
            <w:rtl/>
            <w:lang w:eastAsia="en-US"/>
          </w:rPr>
          <w:t xml:space="preserve">ק"ת </w:t>
        </w:r>
        <w:r>
          <w:rPr>
            <w:rStyle w:val="Hyperlink"/>
            <w:rFonts w:hint="cs"/>
            <w:rtl/>
            <w:lang w:eastAsia="en-US"/>
          </w:rPr>
          <w:t>ת</w:t>
        </w:r>
        <w:r>
          <w:rPr>
            <w:rStyle w:val="Hyperlink"/>
            <w:rFonts w:hint="cs"/>
            <w:rtl/>
            <w:lang w:eastAsia="en-US"/>
          </w:rPr>
          <w:t>שס"ז מס' 6562</w:t>
        </w:r>
      </w:hyperlink>
      <w:r>
        <w:rPr>
          <w:rFonts w:hint="cs"/>
          <w:rtl/>
          <w:lang w:eastAsia="en-US"/>
        </w:rPr>
        <w:t xml:space="preserve"> מיום 8.2.2007 עמ' 570.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51FCA" w14:textId="77777777" w:rsidR="006473B6" w:rsidRDefault="006473B6">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E7142C0" w14:textId="77777777" w:rsidR="006473B6" w:rsidRDefault="006473B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5A1AACB2" w14:textId="77777777" w:rsidR="006473B6" w:rsidRDefault="006473B6">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D94C" w14:textId="77777777" w:rsidR="006473B6" w:rsidRDefault="006473B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הסדרים במשק המדינה (תיקוני חקיקה) (מתן שירות שוויוני)</w:t>
    </w:r>
    <w:r>
      <w:rPr>
        <w:color w:val="000000"/>
        <w:sz w:val="28"/>
        <w:szCs w:val="28"/>
        <w:rtl/>
        <w:lang w:eastAsia="en-US"/>
      </w:rPr>
      <w:t>, תשס"</w:t>
    </w:r>
    <w:r>
      <w:rPr>
        <w:rFonts w:hint="cs"/>
        <w:color w:val="000000"/>
        <w:sz w:val="28"/>
        <w:szCs w:val="28"/>
        <w:rtl/>
        <w:lang w:eastAsia="en-US"/>
      </w:rPr>
      <w:t>ז</w:t>
    </w:r>
    <w:r>
      <w:rPr>
        <w:color w:val="000000"/>
        <w:sz w:val="28"/>
        <w:szCs w:val="28"/>
        <w:rtl/>
        <w:lang w:eastAsia="en-US"/>
      </w:rPr>
      <w:t>-200</w:t>
    </w:r>
    <w:r>
      <w:rPr>
        <w:rFonts w:hint="cs"/>
        <w:color w:val="000000"/>
        <w:sz w:val="28"/>
        <w:szCs w:val="28"/>
        <w:rtl/>
        <w:lang w:eastAsia="en-US"/>
      </w:rPr>
      <w:t>7</w:t>
    </w:r>
  </w:p>
  <w:p w14:paraId="31B5EB0A" w14:textId="77777777" w:rsidR="006473B6" w:rsidRDefault="006473B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B069B7A" w14:textId="77777777" w:rsidR="006473B6" w:rsidRDefault="006473B6">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43D6"/>
    <w:rsid w:val="006473B6"/>
    <w:rsid w:val="008143D6"/>
    <w:rsid w:val="00A76621"/>
    <w:rsid w:val="00A953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9C2BE2"/>
  <w15:chartTrackingRefBased/>
  <w15:docId w15:val="{6DE639FB-4750-4ABE-9C9A-856FB51E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2937</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7929871</vt:i4>
      </vt:variant>
      <vt:variant>
        <vt:i4>0</vt:i4>
      </vt:variant>
      <vt:variant>
        <vt:i4>0</vt:i4>
      </vt:variant>
      <vt:variant>
        <vt:i4>5</vt:i4>
      </vt:variant>
      <vt:variant>
        <vt:lpwstr>http://www.nevo.co.il/Law_word/law06/tak-6562.pdf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משק המדינה</vt:lpwstr>
  </property>
  <property fmtid="{D5CDD505-2E9C-101B-9397-08002B2CF9AE}" pid="4" name="LAWNAME">
    <vt:lpwstr>תקנות הסדרים במשק המדינה (תיקוני חקיקה) (מתן שירות שוויוני), תשס"ז-2007</vt:lpwstr>
  </property>
  <property fmtid="{D5CDD505-2E9C-101B-9397-08002B2CF9AE}" pid="5" name="LAWNUMBER">
    <vt:lpwstr>0730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http://www.nevo.co.il/Law_word/law06/tak-6562.pdf;רשומות - תקנות כלליות#פורסמו ק"ת תשס"ז מס' 6562 #מיום 8.2.2007 #עמ' 570</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תקציב ומשק המדינה</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