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B446" w14:textId="77777777" w:rsidR="00EA487E" w:rsidRPr="00EA487E" w:rsidRDefault="00A10CC3" w:rsidP="009D105D">
      <w:pPr>
        <w:pStyle w:val="big-header"/>
        <w:ind w:left="0" w:right="1134"/>
        <w:rPr>
          <w:rFonts w:cs="FrankRuehl" w:hint="cs"/>
          <w:sz w:val="32"/>
          <w:rtl/>
        </w:rPr>
      </w:pPr>
      <w:r w:rsidRPr="00EA487E">
        <w:rPr>
          <w:rFonts w:cs="FrankRuehl"/>
          <w:rtl/>
        </w:rPr>
        <w:t>תקנות הסדרת העיסוק בייעוץ השקעות</w:t>
      </w:r>
      <w:r w:rsidRPr="00EA487E">
        <w:rPr>
          <w:rFonts w:cs="FrankRuehl" w:hint="cs"/>
          <w:rtl/>
        </w:rPr>
        <w:t>, בשיווק השקעות</w:t>
      </w:r>
      <w:r w:rsidRPr="00EA487E">
        <w:rPr>
          <w:rFonts w:cs="FrankRuehl"/>
          <w:rtl/>
        </w:rPr>
        <w:t xml:space="preserve"> ובניהול תיקי השקעות (</w:t>
      </w:r>
      <w:r w:rsidR="009D105D">
        <w:rPr>
          <w:rFonts w:cs="FrankRuehl" w:hint="cs"/>
          <w:rtl/>
        </w:rPr>
        <w:t>נכס לעניין עיסוק פטור מרישיון), תשע"ה-2014</w:t>
      </w:r>
    </w:p>
    <w:p w14:paraId="7CCEC202" w14:textId="77777777" w:rsidR="00EA487E" w:rsidRDefault="00EA487E" w:rsidP="00EA487E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22F5CC1A" w14:textId="77777777" w:rsidR="00163122" w:rsidRPr="00EA487E" w:rsidRDefault="00163122" w:rsidP="00EA487E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4AA3C135" w14:textId="77777777" w:rsidR="00EA487E" w:rsidRDefault="00EA487E" w:rsidP="00EA487E">
      <w:pPr>
        <w:spacing w:line="320" w:lineRule="auto"/>
        <w:jc w:val="left"/>
        <w:rPr>
          <w:rFonts w:cs="FrankRuehl"/>
          <w:szCs w:val="26"/>
          <w:rtl/>
        </w:rPr>
      </w:pPr>
      <w:r w:rsidRPr="00EA487E">
        <w:rPr>
          <w:rFonts w:cs="Miriam"/>
          <w:szCs w:val="22"/>
          <w:rtl/>
        </w:rPr>
        <w:t>משפט פרטי וכלכלה</w:t>
      </w:r>
      <w:r w:rsidRPr="00EA487E">
        <w:rPr>
          <w:rFonts w:cs="FrankRuehl"/>
          <w:szCs w:val="26"/>
          <w:rtl/>
        </w:rPr>
        <w:t xml:space="preserve"> – כספים – השקעות  – ייעוץ השקעות </w:t>
      </w:r>
    </w:p>
    <w:p w14:paraId="0737FE33" w14:textId="77777777" w:rsidR="00EA487E" w:rsidRDefault="00EA487E" w:rsidP="00EA487E">
      <w:pPr>
        <w:spacing w:line="320" w:lineRule="auto"/>
        <w:jc w:val="left"/>
        <w:rPr>
          <w:rFonts w:cs="FrankRuehl"/>
          <w:szCs w:val="26"/>
          <w:rtl/>
        </w:rPr>
      </w:pPr>
      <w:r w:rsidRPr="00EA487E">
        <w:rPr>
          <w:rFonts w:cs="Miriam"/>
          <w:szCs w:val="22"/>
          <w:rtl/>
        </w:rPr>
        <w:t>משפט פרטי וכלכלה</w:t>
      </w:r>
      <w:r w:rsidRPr="00EA487E">
        <w:rPr>
          <w:rFonts w:cs="FrankRuehl"/>
          <w:szCs w:val="26"/>
          <w:rtl/>
        </w:rPr>
        <w:t xml:space="preserve"> – הסדרת עיסוק – יועצי השקעות</w:t>
      </w:r>
    </w:p>
    <w:p w14:paraId="0A1FAC3E" w14:textId="77777777" w:rsidR="00EA487E" w:rsidRPr="00EA487E" w:rsidRDefault="00EA487E" w:rsidP="00EA487E">
      <w:pPr>
        <w:spacing w:line="320" w:lineRule="auto"/>
        <w:jc w:val="left"/>
        <w:rPr>
          <w:rFonts w:cs="Miriam" w:hint="cs"/>
          <w:szCs w:val="22"/>
          <w:rtl/>
        </w:rPr>
      </w:pPr>
      <w:r w:rsidRPr="00EA487E">
        <w:rPr>
          <w:rFonts w:cs="Miriam"/>
          <w:szCs w:val="22"/>
          <w:rtl/>
        </w:rPr>
        <w:t>רשויות ומשפט מנהלי</w:t>
      </w:r>
      <w:r w:rsidRPr="00EA487E">
        <w:rPr>
          <w:rFonts w:cs="FrankRuehl"/>
          <w:szCs w:val="26"/>
          <w:rtl/>
        </w:rPr>
        <w:t xml:space="preserve"> – הסדרת עיסוק – יועצי השקעות </w:t>
      </w:r>
    </w:p>
    <w:p w14:paraId="7C1F8576" w14:textId="77777777" w:rsidR="00A10CC3" w:rsidRDefault="00A10CC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E328D" w:rsidRPr="008E328D" w14:paraId="1887F3A3" w14:textId="77777777" w:rsidTr="008E32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4FEFE2" w14:textId="77777777" w:rsidR="008E328D" w:rsidRPr="008E328D" w:rsidRDefault="008E328D" w:rsidP="008E32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5B2A038" w14:textId="77777777" w:rsidR="008E328D" w:rsidRPr="008E328D" w:rsidRDefault="008E328D" w:rsidP="008E32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פטור מייעוץ לקרן פיקדונות ומילוות</w:t>
            </w:r>
          </w:p>
        </w:tc>
        <w:tc>
          <w:tcPr>
            <w:tcW w:w="567" w:type="dxa"/>
          </w:tcPr>
          <w:p w14:paraId="60B96C7E" w14:textId="77777777" w:rsidR="008E328D" w:rsidRPr="008E328D" w:rsidRDefault="008E328D" w:rsidP="008E328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טור מייעוץ לקרן פיקדונות ומילוות" w:history="1">
              <w:r w:rsidRPr="008E32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840A32" w14:textId="77777777" w:rsidR="008E328D" w:rsidRPr="008E328D" w:rsidRDefault="008E328D" w:rsidP="008E32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29A7507" w14:textId="77777777" w:rsidR="00A10CC3" w:rsidRPr="00EA487E" w:rsidRDefault="00A10CC3" w:rsidP="009D105D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הס</w:t>
      </w:r>
      <w:r>
        <w:rPr>
          <w:rFonts w:cs="FrankRuehl"/>
          <w:sz w:val="32"/>
          <w:rtl/>
        </w:rPr>
        <w:t>ד</w:t>
      </w:r>
      <w:r>
        <w:rPr>
          <w:rFonts w:cs="FrankRuehl" w:hint="cs"/>
          <w:sz w:val="32"/>
          <w:rtl/>
        </w:rPr>
        <w:t>רת העיסוק בייעוץ השקעות, בשיווק השקעות ובניהול תיקי השקעות (</w:t>
      </w:r>
      <w:r w:rsidR="009D105D">
        <w:rPr>
          <w:rFonts w:cs="FrankRuehl" w:hint="cs"/>
          <w:rtl/>
        </w:rPr>
        <w:t>נכס לעניין עיסוק פטור מרישיון), תשע"ה-2014</w:t>
      </w:r>
      <w:r>
        <w:rPr>
          <w:rStyle w:val="default"/>
          <w:rtl/>
        </w:rPr>
        <w:footnoteReference w:customMarkFollows="1" w:id="1"/>
        <w:t>*</w:t>
      </w:r>
    </w:p>
    <w:p w14:paraId="6A886BF3" w14:textId="77777777" w:rsidR="00A10CC3" w:rsidRDefault="00A10CC3" w:rsidP="009D10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</w:t>
      </w:r>
      <w:r w:rsidR="009D105D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</w:t>
      </w:r>
      <w:r w:rsidR="009D105D">
        <w:rPr>
          <w:rStyle w:val="default"/>
          <w:rFonts w:cs="FrankRuehl" w:hint="cs"/>
          <w:rtl/>
        </w:rPr>
        <w:t>3(א)(12) ו-42</w:t>
      </w:r>
      <w:r>
        <w:rPr>
          <w:rStyle w:val="default"/>
          <w:rFonts w:cs="FrankRuehl" w:hint="cs"/>
          <w:rtl/>
        </w:rPr>
        <w:t xml:space="preserve"> לחוק הסדרת העיסוק בייעוץ השקעות, בשיווק השקעות ובניהול תיקי השקעות, </w:t>
      </w:r>
      <w:r w:rsidR="009D105D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תשנ"ה-199</w:t>
      </w:r>
      <w:r w:rsidR="009D105D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 w:hint="cs"/>
          <w:rtl/>
        </w:rPr>
        <w:t xml:space="preserve">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</w:t>
      </w:r>
      <w:r>
        <w:rPr>
          <w:rStyle w:val="default"/>
          <w:rFonts w:cs="FrankRuehl"/>
          <w:rtl/>
        </w:rPr>
        <w:t>וק</w:t>
      </w:r>
      <w:r>
        <w:rPr>
          <w:rStyle w:val="default"/>
          <w:rFonts w:cs="FrankRuehl" w:hint="cs"/>
          <w:rtl/>
        </w:rPr>
        <w:t xml:space="preserve">), </w:t>
      </w:r>
      <w:r w:rsidR="009D105D">
        <w:rPr>
          <w:rStyle w:val="default"/>
          <w:rFonts w:cs="FrankRuehl" w:hint="cs"/>
          <w:rtl/>
        </w:rPr>
        <w:t>בהתייעצות עם הרשות</w:t>
      </w:r>
      <w:r>
        <w:rPr>
          <w:rStyle w:val="default"/>
          <w:rFonts w:cs="FrankRuehl" w:hint="cs"/>
          <w:rtl/>
        </w:rPr>
        <w:t xml:space="preserve"> ובאישור ועדת הכספים של הכנסת, אני מתקין תקנות אלה:</w:t>
      </w:r>
    </w:p>
    <w:p w14:paraId="0EA24463" w14:textId="77777777" w:rsidR="00A10CC3" w:rsidRDefault="00A10CC3" w:rsidP="009D10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AFB9B43">
          <v:rect id="_x0000_s1026" style="position:absolute;left:0;text-align:left;margin-left:464.5pt;margin-top:8.05pt;width:75.05pt;height:18.55pt;z-index:251657728" o:allowincell="f" filled="f" stroked="f" strokecolor="lime" strokeweight=".25pt">
            <v:textbox inset="0,0,0,0">
              <w:txbxContent>
                <w:p w14:paraId="06A94E43" w14:textId="77777777" w:rsidR="00A10CC3" w:rsidRDefault="009D105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מייעוץ לקרן פיקדונות ומילוות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9D105D">
        <w:rPr>
          <w:rStyle w:val="default"/>
          <w:rFonts w:cs="FrankRuehl" w:hint="cs"/>
          <w:rtl/>
        </w:rPr>
        <w:t xml:space="preserve">ייעוץ השקעות או שיווק השקעות בנוגע לקפ"מ אינו טעון רישיון לפי החוק; לעניין זה, "קפ"מ" </w:t>
      </w:r>
      <w:r w:rsidR="009D105D">
        <w:rPr>
          <w:rStyle w:val="default"/>
          <w:rFonts w:cs="FrankRuehl"/>
          <w:rtl/>
        </w:rPr>
        <w:t>–</w:t>
      </w:r>
      <w:r w:rsidR="009D105D">
        <w:rPr>
          <w:rStyle w:val="default"/>
          <w:rFonts w:cs="FrankRuehl" w:hint="cs"/>
          <w:rtl/>
        </w:rPr>
        <w:t xml:space="preserve"> כהגדרתה בתקנות השקעות משותפות בנאמנות (נכסים שמותר לקנות ולהחזיק בקרן ושיעוריהם המרביים), התשנ"ה-1994.</w:t>
      </w:r>
    </w:p>
    <w:p w14:paraId="02264E27" w14:textId="77777777" w:rsidR="00A10CC3" w:rsidRDefault="00A10CC3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1290ECE3" w14:textId="77777777" w:rsidR="00A10CC3" w:rsidRDefault="00A10CC3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5CDC7537" w14:textId="77777777" w:rsidR="00A10CC3" w:rsidRDefault="009D105D" w:rsidP="009D105D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ט' בחשוון התשע"ה (2 בנובמבר 2014</w:t>
      </w:r>
      <w:r w:rsidR="00A10CC3">
        <w:rPr>
          <w:rFonts w:cs="FrankRuehl"/>
          <w:sz w:val="26"/>
          <w:rtl/>
        </w:rPr>
        <w:t>)</w:t>
      </w:r>
      <w:r w:rsidR="00A10CC3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יאיר לפיד</w:t>
      </w:r>
    </w:p>
    <w:p w14:paraId="1089AB08" w14:textId="77777777" w:rsidR="00A10CC3" w:rsidRDefault="00A10CC3" w:rsidP="009D105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0C73028A" w14:textId="77777777" w:rsidR="009D105D" w:rsidRDefault="009D105D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33351730" w14:textId="77777777" w:rsidR="00A10CC3" w:rsidRDefault="00A10CC3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16C768FA" w14:textId="77777777" w:rsidR="00A10CC3" w:rsidRDefault="00A10CC3">
      <w:pPr>
        <w:pStyle w:val="P00"/>
        <w:spacing w:before="72"/>
        <w:ind w:left="0" w:right="1134"/>
        <w:rPr>
          <w:rFonts w:cs="FrankRuehl"/>
          <w:sz w:val="26"/>
          <w:rtl/>
        </w:rPr>
      </w:pPr>
      <w:bookmarkStart w:id="1" w:name="LawPartEnd"/>
    </w:p>
    <w:bookmarkEnd w:id="1"/>
    <w:p w14:paraId="7B12FECE" w14:textId="77777777" w:rsidR="008E328D" w:rsidRDefault="008E328D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22C629B0" w14:textId="77777777" w:rsidR="008E328D" w:rsidRDefault="008E328D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2739FA5D" w14:textId="77777777" w:rsidR="008E328D" w:rsidRDefault="008E328D" w:rsidP="008E328D">
      <w:pPr>
        <w:pStyle w:val="P00"/>
        <w:spacing w:before="72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64688D0" w14:textId="77777777" w:rsidR="003D7BD2" w:rsidRPr="008E328D" w:rsidRDefault="003D7BD2" w:rsidP="008E328D">
      <w:pPr>
        <w:pStyle w:val="P00"/>
        <w:spacing w:before="72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3D7BD2" w:rsidRPr="008E328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F7F41" w14:textId="77777777" w:rsidR="00753481" w:rsidRDefault="00753481">
      <w:r>
        <w:separator/>
      </w:r>
    </w:p>
  </w:endnote>
  <w:endnote w:type="continuationSeparator" w:id="0">
    <w:p w14:paraId="03A2C3B1" w14:textId="77777777" w:rsidR="00753481" w:rsidRDefault="0075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51A60" w14:textId="77777777" w:rsidR="00A10CC3" w:rsidRDefault="00A10CC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A91983C" w14:textId="77777777" w:rsidR="00A10CC3" w:rsidRDefault="00A10CC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E8A1AF2" w14:textId="77777777" w:rsidR="00A10CC3" w:rsidRDefault="00A10CC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lang w:val="pl-PL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7716F" w:rsidRPr="0047716F">
      <w:rPr>
        <w:rFonts w:cs="TopType Jerushalmi"/>
        <w:noProof/>
        <w:color w:val="000000"/>
        <w:sz w:val="14"/>
        <w:szCs w:val="14"/>
        <w:lang w:val="pl-PL"/>
      </w:rPr>
      <w:t>Z:\00000000000000000000000=2014------------------------\LawsForTableRun\06\P181K4_002.doc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A06C" w14:textId="77777777" w:rsidR="00A10CC3" w:rsidRDefault="00A10CC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E328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4761046" w14:textId="77777777" w:rsidR="00A10CC3" w:rsidRDefault="00A10CC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05B1A62" w14:textId="77777777" w:rsidR="00A10CC3" w:rsidRDefault="00A10CC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lang w:val="pl-PL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7716F" w:rsidRPr="0047716F">
      <w:rPr>
        <w:rFonts w:cs="TopType Jerushalmi"/>
        <w:noProof/>
        <w:color w:val="000000"/>
        <w:sz w:val="14"/>
        <w:szCs w:val="14"/>
        <w:lang w:val="pl-PL"/>
      </w:rPr>
      <w:t>Z:\00000000000000000000000=2014------------------------\LawsForTableRun\06\P181K4_002.doc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00B04" w14:textId="77777777" w:rsidR="00753481" w:rsidRDefault="0075348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B29FCBF" w14:textId="77777777" w:rsidR="00753481" w:rsidRDefault="00753481">
      <w:pPr>
        <w:spacing w:before="60" w:line="240" w:lineRule="auto"/>
        <w:ind w:right="1134"/>
      </w:pPr>
      <w:r>
        <w:separator/>
      </w:r>
    </w:p>
  </w:footnote>
  <w:footnote w:id="1">
    <w:p w14:paraId="0FAD0182" w14:textId="77777777" w:rsidR="00FF10EB" w:rsidRDefault="00A10CC3" w:rsidP="00FF10E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FF10EB">
          <w:rPr>
            <w:rStyle w:val="Hyperlink"/>
            <w:rFonts w:cs="FrankRuehl" w:hint="cs"/>
            <w:rtl/>
          </w:rPr>
          <w:t>ק"ת תש</w:t>
        </w:r>
        <w:r w:rsidR="009D105D" w:rsidRPr="00FF10EB">
          <w:rPr>
            <w:rStyle w:val="Hyperlink"/>
            <w:rFonts w:cs="FrankRuehl" w:hint="cs"/>
            <w:rtl/>
          </w:rPr>
          <w:t>ע"ה</w:t>
        </w:r>
        <w:r w:rsidRPr="00FF10EB">
          <w:rPr>
            <w:rStyle w:val="Hyperlink"/>
            <w:rFonts w:cs="FrankRuehl" w:hint="cs"/>
            <w:rtl/>
          </w:rPr>
          <w:t xml:space="preserve"> מס' </w:t>
        </w:r>
        <w:r w:rsidR="009D105D" w:rsidRPr="00FF10EB">
          <w:rPr>
            <w:rStyle w:val="Hyperlink"/>
            <w:rFonts w:cs="FrankRuehl" w:hint="cs"/>
            <w:rtl/>
          </w:rPr>
          <w:t>7441</w:t>
        </w:r>
      </w:hyperlink>
      <w:r>
        <w:rPr>
          <w:rFonts w:cs="FrankRuehl" w:hint="cs"/>
          <w:rtl/>
        </w:rPr>
        <w:t xml:space="preserve"> מיום </w:t>
      </w:r>
      <w:r w:rsidR="009D105D">
        <w:rPr>
          <w:rFonts w:cs="FrankRuehl" w:hint="cs"/>
          <w:rtl/>
        </w:rPr>
        <w:t>19.11.2014</w:t>
      </w:r>
      <w:r>
        <w:rPr>
          <w:rFonts w:cs="FrankRuehl" w:hint="cs"/>
          <w:rtl/>
        </w:rPr>
        <w:t xml:space="preserve"> עמ' </w:t>
      </w:r>
      <w:r w:rsidR="009D105D">
        <w:rPr>
          <w:rFonts w:cs="FrankRuehl" w:hint="cs"/>
          <w:rtl/>
        </w:rPr>
        <w:t>213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300E6" w14:textId="77777777" w:rsidR="00A10CC3" w:rsidRDefault="00A10CC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הסדרת העיסוק בייעוץ השקעות ובניהול תיקי השקעות (בקשה לרשיון, בחינות, התמחות ואגרות), תשנ"ז- 1997</w:t>
    </w:r>
  </w:p>
  <w:p w14:paraId="7BC6470D" w14:textId="77777777" w:rsidR="00A10CC3" w:rsidRDefault="00A10CC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A0B337" w14:textId="77777777" w:rsidR="00A10CC3" w:rsidRDefault="00A10CC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F7E98" w14:textId="77777777" w:rsidR="00A10CC3" w:rsidRDefault="00A10CC3" w:rsidP="009D105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הסדרת העיסוק בייעוץ השקעות</w:t>
    </w:r>
    <w:r>
      <w:rPr>
        <w:rFonts w:hAnsi="FrankRuehl" w:cs="FrankRuehl" w:hint="cs"/>
        <w:color w:val="000000"/>
        <w:sz w:val="28"/>
        <w:szCs w:val="28"/>
        <w:rtl/>
      </w:rPr>
      <w:t>, בשיווק השקעות</w:t>
    </w:r>
    <w:r>
      <w:rPr>
        <w:rFonts w:hAnsi="FrankRuehl" w:cs="FrankRuehl"/>
        <w:color w:val="000000"/>
        <w:sz w:val="28"/>
        <w:szCs w:val="28"/>
        <w:rtl/>
      </w:rPr>
      <w:t xml:space="preserve"> ובניהול תיקי השקעות (</w:t>
    </w:r>
    <w:r w:rsidR="009D105D">
      <w:rPr>
        <w:rFonts w:hAnsi="FrankRuehl" w:cs="FrankRuehl" w:hint="cs"/>
        <w:color w:val="000000"/>
        <w:sz w:val="28"/>
        <w:szCs w:val="28"/>
        <w:rtl/>
      </w:rPr>
      <w:t>נכס לעניין עיסוק פטור מרישיון), תשע"ה-2014</w:t>
    </w:r>
  </w:p>
  <w:p w14:paraId="3C6857BC" w14:textId="77777777" w:rsidR="00A10CC3" w:rsidRDefault="00A10CC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9FAA69C" w14:textId="77777777" w:rsidR="00A10CC3" w:rsidRDefault="00A10CC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806"/>
    <w:multiLevelType w:val="singleLevel"/>
    <w:tmpl w:val="8ED86104"/>
    <w:lvl w:ilvl="0">
      <w:start w:val="27"/>
      <w:numFmt w:val="bullet"/>
      <w:lvlText w:val=""/>
      <w:lvlJc w:val="left"/>
      <w:pPr>
        <w:tabs>
          <w:tab w:val="num" w:pos="360"/>
        </w:tabs>
        <w:ind w:hanging="360"/>
      </w:pPr>
      <w:rPr>
        <w:rFonts w:ascii="Symbol" w:hAnsi="Symbol" w:cs="Times New Roman" w:hint="default"/>
        <w:sz w:val="22"/>
      </w:rPr>
    </w:lvl>
  </w:abstractNum>
  <w:abstractNum w:abstractNumId="1" w15:restartNumberingAfterBreak="0">
    <w:nsid w:val="135B2D8B"/>
    <w:multiLevelType w:val="singleLevel"/>
    <w:tmpl w:val="C6F2D95C"/>
    <w:lvl w:ilvl="0">
      <w:start w:val="1"/>
      <w:numFmt w:val="decimal"/>
      <w:lvlText w:val="%1-"/>
      <w:lvlJc w:val="left"/>
      <w:pPr>
        <w:tabs>
          <w:tab w:val="num" w:pos="360"/>
        </w:tabs>
        <w:ind w:hanging="360"/>
      </w:pPr>
      <w:rPr>
        <w:rFonts w:ascii="Times New Roman" w:hAnsi="Times New Roman" w:cs="FrankRuehl" w:hint="default"/>
        <w:sz w:val="26"/>
      </w:rPr>
    </w:lvl>
  </w:abstractNum>
  <w:abstractNum w:abstractNumId="2" w15:restartNumberingAfterBreak="0">
    <w:nsid w:val="36004FC1"/>
    <w:multiLevelType w:val="singleLevel"/>
    <w:tmpl w:val="C55AB186"/>
    <w:lvl w:ilvl="0">
      <w:start w:val="1"/>
      <w:numFmt w:val="decimal"/>
      <w:lvlText w:val="%1."/>
      <w:lvlJc w:val="left"/>
      <w:pPr>
        <w:tabs>
          <w:tab w:val="num" w:pos="624"/>
        </w:tabs>
        <w:ind w:hanging="624"/>
      </w:pPr>
      <w:rPr>
        <w:rFonts w:ascii="Times New Roman" w:hAnsi="Times New Roman" w:cs="FrankRuehl" w:hint="default"/>
        <w:sz w:val="26"/>
      </w:rPr>
    </w:lvl>
  </w:abstractNum>
  <w:abstractNum w:abstractNumId="3" w15:restartNumberingAfterBreak="0">
    <w:nsid w:val="75F86C22"/>
    <w:multiLevelType w:val="singleLevel"/>
    <w:tmpl w:val="5082DE2E"/>
    <w:lvl w:ilvl="0">
      <w:start w:val="1"/>
      <w:numFmt w:val="decimal"/>
      <w:lvlText w:val="%1-"/>
      <w:lvlJc w:val="left"/>
      <w:pPr>
        <w:tabs>
          <w:tab w:val="num" w:pos="360"/>
        </w:tabs>
        <w:ind w:hanging="360"/>
      </w:pPr>
      <w:rPr>
        <w:rFonts w:ascii="Times New Roman" w:hAnsi="Times New Roman" w:cs="FrankRuehl" w:hint="default"/>
        <w:sz w:val="26"/>
      </w:rPr>
    </w:lvl>
  </w:abstractNum>
  <w:num w:numId="1" w16cid:durableId="791094609">
    <w:abstractNumId w:val="0"/>
  </w:num>
  <w:num w:numId="2" w16cid:durableId="1436091997">
    <w:abstractNumId w:val="2"/>
  </w:num>
  <w:num w:numId="3" w16cid:durableId="1247574876">
    <w:abstractNumId w:val="3"/>
  </w:num>
  <w:num w:numId="4" w16cid:durableId="1159036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77C2"/>
    <w:rsid w:val="00012913"/>
    <w:rsid w:val="000362AF"/>
    <w:rsid w:val="00091F99"/>
    <w:rsid w:val="00135F4B"/>
    <w:rsid w:val="00163122"/>
    <w:rsid w:val="001649B2"/>
    <w:rsid w:val="00174C48"/>
    <w:rsid w:val="001D53A2"/>
    <w:rsid w:val="001D77C2"/>
    <w:rsid w:val="001E26A0"/>
    <w:rsid w:val="002005BA"/>
    <w:rsid w:val="00255565"/>
    <w:rsid w:val="0026053C"/>
    <w:rsid w:val="002A71A5"/>
    <w:rsid w:val="00327C5A"/>
    <w:rsid w:val="003D7BD2"/>
    <w:rsid w:val="00461548"/>
    <w:rsid w:val="0047716F"/>
    <w:rsid w:val="00503591"/>
    <w:rsid w:val="00553099"/>
    <w:rsid w:val="00553B10"/>
    <w:rsid w:val="005558B6"/>
    <w:rsid w:val="005F0D83"/>
    <w:rsid w:val="00607BC7"/>
    <w:rsid w:val="00640673"/>
    <w:rsid w:val="00661117"/>
    <w:rsid w:val="0067303D"/>
    <w:rsid w:val="00712D8D"/>
    <w:rsid w:val="00753481"/>
    <w:rsid w:val="008A7218"/>
    <w:rsid w:val="008C2581"/>
    <w:rsid w:val="008E328D"/>
    <w:rsid w:val="0095496D"/>
    <w:rsid w:val="009861AA"/>
    <w:rsid w:val="009D105D"/>
    <w:rsid w:val="00A10CC3"/>
    <w:rsid w:val="00A2005C"/>
    <w:rsid w:val="00AA66CA"/>
    <w:rsid w:val="00AC0030"/>
    <w:rsid w:val="00B14B7B"/>
    <w:rsid w:val="00B21820"/>
    <w:rsid w:val="00B36C5F"/>
    <w:rsid w:val="00B40293"/>
    <w:rsid w:val="00BA07BC"/>
    <w:rsid w:val="00BF5567"/>
    <w:rsid w:val="00C14376"/>
    <w:rsid w:val="00C45763"/>
    <w:rsid w:val="00C77761"/>
    <w:rsid w:val="00C90063"/>
    <w:rsid w:val="00CF3187"/>
    <w:rsid w:val="00D442EA"/>
    <w:rsid w:val="00DB5CD4"/>
    <w:rsid w:val="00E22280"/>
    <w:rsid w:val="00E47C86"/>
    <w:rsid w:val="00E77E10"/>
    <w:rsid w:val="00EA487E"/>
    <w:rsid w:val="00EB4ED2"/>
    <w:rsid w:val="00EC2BAA"/>
    <w:rsid w:val="00EE26C9"/>
    <w:rsid w:val="00F16EF1"/>
    <w:rsid w:val="00F806E9"/>
    <w:rsid w:val="00FB448B"/>
    <w:rsid w:val="00FC1A8E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DABC004"/>
  <w15:chartTrackingRefBased/>
  <w15:docId w15:val="{D23240F0-54A2-44EC-B0BA-EBBE63CD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</w:style>
  <w:style w:type="character" w:styleId="FollowedHyperlink">
    <w:name w:val="FollowedHyperlink"/>
    <w:basedOn w:val="a0"/>
    <w:rsid w:val="00AA66C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1120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עיסוק בייעוץ השקעות ובניהול תיקי השקעות</vt:lpwstr>
  </property>
  <property fmtid="{D5CDD505-2E9C-101B-9397-08002B2CF9AE}" pid="4" name="LAWNAME">
    <vt:lpwstr>תקנות הסדרת העיסוק בייעוץ השקעות, בשיווק השקעות ובניהול תיקי השקעות (נכס לעניין עיסוק פטור מרישיון), תשע"ה-2014</vt:lpwstr>
  </property>
  <property fmtid="{D5CDD505-2E9C-101B-9397-08002B2CF9AE}" pid="5" name="LAWNUMBER">
    <vt:lpwstr>0128</vt:lpwstr>
  </property>
  <property fmtid="{D5CDD505-2E9C-101B-9397-08002B2CF9AE}" pid="6" name="TYPE">
    <vt:lpwstr>01</vt:lpwstr>
  </property>
  <property fmtid="{D5CDD505-2E9C-101B-9397-08002B2CF9AE}" pid="7" name="LINKK6">
    <vt:lpwstr/>
  </property>
  <property fmtid="{D5CDD505-2E9C-101B-9397-08002B2CF9AE}" pid="8" name="LINKK7">
    <vt:lpwstr/>
  </property>
  <property fmtid="{D5CDD505-2E9C-101B-9397-08002B2CF9AE}" pid="9" name="LINKK8">
    <vt:lpwstr/>
  </property>
  <property fmtid="{D5CDD505-2E9C-101B-9397-08002B2CF9AE}" pid="10" name="LINKK9">
    <vt:lpwstr/>
  </property>
  <property fmtid="{D5CDD505-2E9C-101B-9397-08002B2CF9AE}" pid="11" name="LINKK10">
    <vt:lpwstr/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I4">
    <vt:lpwstr/>
  </property>
  <property fmtid="{D5CDD505-2E9C-101B-9397-08002B2CF9AE}" pid="16" name="LINKI5">
    <vt:lpwstr/>
  </property>
  <property fmtid="{D5CDD505-2E9C-101B-9397-08002B2CF9AE}" pid="17" name="MEKORSAMCHUT">
    <vt:lpwstr/>
  </property>
  <property fmtid="{D5CDD505-2E9C-101B-9397-08002B2CF9AE}" pid="18" name="NOSE11">
    <vt:lpwstr>משפט פרטי וכלכלה</vt:lpwstr>
  </property>
  <property fmtid="{D5CDD505-2E9C-101B-9397-08002B2CF9AE}" pid="19" name="NOSE21">
    <vt:lpwstr>כספים</vt:lpwstr>
  </property>
  <property fmtid="{D5CDD505-2E9C-101B-9397-08002B2CF9AE}" pid="20" name="NOSE31">
    <vt:lpwstr>השקעות </vt:lpwstr>
  </property>
  <property fmtid="{D5CDD505-2E9C-101B-9397-08002B2CF9AE}" pid="21" name="NOSE41">
    <vt:lpwstr>ייעוץ השקעות </vt:lpwstr>
  </property>
  <property fmtid="{D5CDD505-2E9C-101B-9397-08002B2CF9AE}" pid="22" name="NOSE12">
    <vt:lpwstr>משפט פרטי וכלכלה</vt:lpwstr>
  </property>
  <property fmtid="{D5CDD505-2E9C-101B-9397-08002B2CF9AE}" pid="23" name="NOSE22">
    <vt:lpwstr>הסדרת עיסוק</vt:lpwstr>
  </property>
  <property fmtid="{D5CDD505-2E9C-101B-9397-08002B2CF9AE}" pid="24" name="NOSE32">
    <vt:lpwstr>יועצי השקעות</vt:lpwstr>
  </property>
  <property fmtid="{D5CDD505-2E9C-101B-9397-08002B2CF9AE}" pid="25" name="NOSE42">
    <vt:lpwstr/>
  </property>
  <property fmtid="{D5CDD505-2E9C-101B-9397-08002B2CF9AE}" pid="26" name="NOSE13">
    <vt:lpwstr>רשויות ומשפט מנהלי</vt:lpwstr>
  </property>
  <property fmtid="{D5CDD505-2E9C-101B-9397-08002B2CF9AE}" pid="27" name="NOSE23">
    <vt:lpwstr>הסדרת עיסוק</vt:lpwstr>
  </property>
  <property fmtid="{D5CDD505-2E9C-101B-9397-08002B2CF9AE}" pid="28" name="NOSE33">
    <vt:lpwstr>יועצי השקעות </vt:lpwstr>
  </property>
  <property fmtid="{D5CDD505-2E9C-101B-9397-08002B2CF9AE}" pid="29" name="NOSE43">
    <vt:lpwstr/>
  </property>
  <property fmtid="{D5CDD505-2E9C-101B-9397-08002B2CF9AE}" pid="30" name="NOSE14">
    <vt:lpwstr/>
  </property>
  <property fmtid="{D5CDD505-2E9C-101B-9397-08002B2CF9AE}" pid="31" name="NOSE24">
    <vt:lpwstr/>
  </property>
  <property fmtid="{D5CDD505-2E9C-101B-9397-08002B2CF9AE}" pid="32" name="NOSE34">
    <vt:lpwstr/>
  </property>
  <property fmtid="{D5CDD505-2E9C-101B-9397-08002B2CF9AE}" pid="33" name="NOSE44">
    <vt:lpwstr/>
  </property>
  <property fmtid="{D5CDD505-2E9C-101B-9397-08002B2CF9AE}" pid="34" name="NOSE15">
    <vt:lpwstr/>
  </property>
  <property fmtid="{D5CDD505-2E9C-101B-9397-08002B2CF9AE}" pid="35" name="NOSE25">
    <vt:lpwstr/>
  </property>
  <property fmtid="{D5CDD505-2E9C-101B-9397-08002B2CF9AE}" pid="36" name="NOSE35">
    <vt:lpwstr/>
  </property>
  <property fmtid="{D5CDD505-2E9C-101B-9397-08002B2CF9AE}" pid="37" name="NOSE45">
    <vt:lpwstr/>
  </property>
  <property fmtid="{D5CDD505-2E9C-101B-9397-08002B2CF9AE}" pid="38" name="NOSE16">
    <vt:lpwstr/>
  </property>
  <property fmtid="{D5CDD505-2E9C-101B-9397-08002B2CF9AE}" pid="39" name="NOSE26">
    <vt:lpwstr/>
  </property>
  <property fmtid="{D5CDD505-2E9C-101B-9397-08002B2CF9AE}" pid="40" name="NOSE36">
    <vt:lpwstr/>
  </property>
  <property fmtid="{D5CDD505-2E9C-101B-9397-08002B2CF9AE}" pid="41" name="NOSE46">
    <vt:lpwstr/>
  </property>
  <property fmtid="{D5CDD505-2E9C-101B-9397-08002B2CF9AE}" pid="42" name="NOSE17">
    <vt:lpwstr/>
  </property>
  <property fmtid="{D5CDD505-2E9C-101B-9397-08002B2CF9AE}" pid="43" name="NOSE27">
    <vt:lpwstr/>
  </property>
  <property fmtid="{D5CDD505-2E9C-101B-9397-08002B2CF9AE}" pid="44" name="NOSE37">
    <vt:lpwstr/>
  </property>
  <property fmtid="{D5CDD505-2E9C-101B-9397-08002B2CF9AE}" pid="45" name="NOSE47">
    <vt:lpwstr/>
  </property>
  <property fmtid="{D5CDD505-2E9C-101B-9397-08002B2CF9AE}" pid="46" name="NOSE18">
    <vt:lpwstr/>
  </property>
  <property fmtid="{D5CDD505-2E9C-101B-9397-08002B2CF9AE}" pid="47" name="NOSE28">
    <vt:lpwstr/>
  </property>
  <property fmtid="{D5CDD505-2E9C-101B-9397-08002B2CF9AE}" pid="48" name="NOSE38">
    <vt:lpwstr/>
  </property>
  <property fmtid="{D5CDD505-2E9C-101B-9397-08002B2CF9AE}" pid="49" name="NOSE48">
    <vt:lpwstr/>
  </property>
  <property fmtid="{D5CDD505-2E9C-101B-9397-08002B2CF9AE}" pid="50" name="NOSE19">
    <vt:lpwstr/>
  </property>
  <property fmtid="{D5CDD505-2E9C-101B-9397-08002B2CF9AE}" pid="51" name="NOSE29">
    <vt:lpwstr/>
  </property>
  <property fmtid="{D5CDD505-2E9C-101B-9397-08002B2CF9AE}" pid="52" name="NOSE39">
    <vt:lpwstr/>
  </property>
  <property fmtid="{D5CDD505-2E9C-101B-9397-08002B2CF9AE}" pid="53" name="NOSE49">
    <vt:lpwstr/>
  </property>
  <property fmtid="{D5CDD505-2E9C-101B-9397-08002B2CF9AE}" pid="54" name="NOSE110">
    <vt:lpwstr/>
  </property>
  <property fmtid="{D5CDD505-2E9C-101B-9397-08002B2CF9AE}" pid="55" name="NOSE210">
    <vt:lpwstr/>
  </property>
  <property fmtid="{D5CDD505-2E9C-101B-9397-08002B2CF9AE}" pid="56" name="NOSE310">
    <vt:lpwstr/>
  </property>
  <property fmtid="{D5CDD505-2E9C-101B-9397-08002B2CF9AE}" pid="57" name="NOSE410">
    <vt:lpwstr/>
  </property>
  <property fmtid="{D5CDD505-2E9C-101B-9397-08002B2CF9AE}" pid="58" name="MEKOR_NAME1">
    <vt:lpwstr>חוק הסדרת העיסוק בייעוץ השקעות, בשיווק השקעות ובניהול תיקי השקעות</vt:lpwstr>
  </property>
  <property fmtid="{D5CDD505-2E9C-101B-9397-08002B2CF9AE}" pid="59" name="MEKOR_SAIF1">
    <vt:lpwstr>3XאX12X;42X</vt:lpwstr>
  </property>
  <property fmtid="{D5CDD505-2E9C-101B-9397-08002B2CF9AE}" pid="60" name="LINKK1">
    <vt:lpwstr>http://www.nevo.co.il/law_word/law06/tak-7441.pdf;‎רשומות - תקנות כלליות#פורסמו ק"ת תשע"ה מס' ‏‏7441 #מיום 19.11.2014 עמ' 213‏</vt:lpwstr>
  </property>
  <property fmtid="{D5CDD505-2E9C-101B-9397-08002B2CF9AE}" pid="61" name="LINKK2">
    <vt:lpwstr/>
  </property>
  <property fmtid="{D5CDD505-2E9C-101B-9397-08002B2CF9AE}" pid="62" name="LINKK3">
    <vt:lpwstr/>
  </property>
  <property fmtid="{D5CDD505-2E9C-101B-9397-08002B2CF9AE}" pid="63" name="LINKK4">
    <vt:lpwstr/>
  </property>
  <property fmtid="{D5CDD505-2E9C-101B-9397-08002B2CF9AE}" pid="64" name="LINKK5">
    <vt:lpwstr/>
  </property>
</Properties>
</file>