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6AD1" w:rsidRDefault="00236AD1">
      <w:pPr>
        <w:pStyle w:val="big-header"/>
        <w:ind w:left="0" w:right="1134"/>
        <w:rPr>
          <w:rFonts w:cs="FrankRuehl"/>
          <w:sz w:val="32"/>
        </w:rPr>
      </w:pPr>
      <w:r>
        <w:rPr>
          <w:rFonts w:cs="FrankRuehl" w:hint="cs"/>
          <w:sz w:val="32"/>
          <w:rtl/>
        </w:rPr>
        <w:t>תקנות הסדרת העיסוק ייצוג על ידי יועצי מס (אגרות), תשס"ו-2005</w:t>
      </w:r>
    </w:p>
    <w:p w:rsidR="00814365" w:rsidRPr="00814365" w:rsidRDefault="00814365" w:rsidP="00814365">
      <w:pPr>
        <w:spacing w:line="320" w:lineRule="auto"/>
        <w:rPr>
          <w:rFonts w:cs="FrankRuehl"/>
          <w:szCs w:val="26"/>
          <w:rtl/>
        </w:rPr>
      </w:pPr>
    </w:p>
    <w:p w:rsidR="00814365" w:rsidRDefault="00814365" w:rsidP="00814365">
      <w:pPr>
        <w:spacing w:line="320" w:lineRule="auto"/>
        <w:rPr>
          <w:rtl/>
        </w:rPr>
      </w:pPr>
    </w:p>
    <w:p w:rsidR="00814365" w:rsidRDefault="00814365" w:rsidP="00814365">
      <w:pPr>
        <w:spacing w:line="320" w:lineRule="auto"/>
        <w:rPr>
          <w:rFonts w:cs="FrankRuehl"/>
          <w:szCs w:val="26"/>
          <w:rtl/>
        </w:rPr>
      </w:pPr>
      <w:r w:rsidRPr="00814365">
        <w:rPr>
          <w:rFonts w:cs="Miriam"/>
          <w:szCs w:val="22"/>
          <w:rtl/>
        </w:rPr>
        <w:t>מסים</w:t>
      </w:r>
      <w:r w:rsidRPr="00814365">
        <w:rPr>
          <w:rFonts w:cs="FrankRuehl"/>
          <w:szCs w:val="26"/>
          <w:rtl/>
        </w:rPr>
        <w:t xml:space="preserve"> – מס הכנסה – יועצי מס</w:t>
      </w:r>
    </w:p>
    <w:p w:rsidR="00814365" w:rsidRDefault="00814365" w:rsidP="00814365">
      <w:pPr>
        <w:spacing w:line="320" w:lineRule="auto"/>
        <w:rPr>
          <w:rFonts w:cs="FrankRuehl"/>
          <w:szCs w:val="26"/>
          <w:rtl/>
        </w:rPr>
      </w:pPr>
      <w:r w:rsidRPr="00814365">
        <w:rPr>
          <w:rFonts w:cs="Miriam"/>
          <w:szCs w:val="22"/>
          <w:rtl/>
        </w:rPr>
        <w:t>מסים</w:t>
      </w:r>
      <w:r w:rsidRPr="00814365">
        <w:rPr>
          <w:rFonts w:cs="FrankRuehl"/>
          <w:szCs w:val="26"/>
          <w:rtl/>
        </w:rPr>
        <w:t xml:space="preserve"> – אגרות</w:t>
      </w:r>
    </w:p>
    <w:p w:rsidR="00814365" w:rsidRDefault="00814365" w:rsidP="00814365">
      <w:pPr>
        <w:spacing w:line="320" w:lineRule="auto"/>
        <w:rPr>
          <w:rFonts w:cs="FrankRuehl"/>
          <w:szCs w:val="26"/>
          <w:rtl/>
        </w:rPr>
      </w:pPr>
      <w:r w:rsidRPr="00814365">
        <w:rPr>
          <w:rFonts w:cs="Miriam"/>
          <w:szCs w:val="22"/>
          <w:rtl/>
        </w:rPr>
        <w:t>משפט פרטי וכלכלה</w:t>
      </w:r>
      <w:r w:rsidRPr="00814365">
        <w:rPr>
          <w:rFonts w:cs="FrankRuehl"/>
          <w:szCs w:val="26"/>
          <w:rtl/>
        </w:rPr>
        <w:t xml:space="preserve"> – הסדרת עיסוק – יועצי מס </w:t>
      </w:r>
    </w:p>
    <w:p w:rsidR="002B3B7C" w:rsidRPr="00814365" w:rsidRDefault="00814365" w:rsidP="00814365">
      <w:pPr>
        <w:spacing w:line="320" w:lineRule="auto"/>
        <w:rPr>
          <w:rFonts w:cs="Miriam"/>
          <w:szCs w:val="22"/>
          <w:rtl/>
        </w:rPr>
      </w:pPr>
      <w:r w:rsidRPr="00814365">
        <w:rPr>
          <w:rFonts w:cs="Miriam"/>
          <w:szCs w:val="22"/>
          <w:rtl/>
        </w:rPr>
        <w:t>רשויות ומשפט מנהלי</w:t>
      </w:r>
      <w:r w:rsidRPr="00814365">
        <w:rPr>
          <w:rFonts w:cs="FrankRuehl"/>
          <w:szCs w:val="26"/>
          <w:rtl/>
        </w:rPr>
        <w:t xml:space="preserve"> – הסדרת עיסוק – יועצי מס </w:t>
      </w:r>
    </w:p>
    <w:p w:rsidR="00236AD1" w:rsidRDefault="00236AD1">
      <w:pPr>
        <w:pStyle w:val="big-header"/>
        <w:ind w:left="0" w:right="1134"/>
        <w:rPr>
          <w:rFonts w:cs="FrankRuehl" w:hint="cs"/>
          <w:sz w:val="32"/>
          <w:rtl/>
        </w:rPr>
      </w:pPr>
      <w:r>
        <w:rPr>
          <w:rFonts w:cs="FrankRuehl" w:hint="cs"/>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236AD1">
        <w:tblPrEx>
          <w:tblCellMar>
            <w:top w:w="0" w:type="dxa"/>
            <w:bottom w:w="0" w:type="dxa"/>
          </w:tblCellMar>
        </w:tblPrEx>
        <w:trPr>
          <w:jc w:val="right"/>
        </w:trPr>
        <w:tc>
          <w:tcPr>
            <w:tcW w:w="850" w:type="dxa"/>
          </w:tcPr>
          <w:p w:rsidR="00236AD1" w:rsidRDefault="00236AD1">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Seif0</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2</w:t>
            </w:r>
            <w:r>
              <w:rPr>
                <w:rStyle w:val="default"/>
                <w:rFonts w:cs="FrankRuehl"/>
                <w:sz w:val="24"/>
                <w:szCs w:val="24"/>
                <w:rtl/>
              </w:rPr>
              <w:fldChar w:fldCharType="end"/>
            </w:r>
          </w:p>
        </w:tc>
        <w:tc>
          <w:tcPr>
            <w:tcW w:w="567" w:type="dxa"/>
          </w:tcPr>
          <w:p w:rsidR="00236AD1" w:rsidRDefault="00236AD1">
            <w:pPr>
              <w:rPr>
                <w:rStyle w:val="default"/>
                <w:rFonts w:cs="FrankRuehl" w:hint="cs"/>
                <w:sz w:val="24"/>
                <w:szCs w:val="24"/>
              </w:rPr>
            </w:pPr>
            <w:hyperlink w:anchor="Seif0" w:tooltip="קביעת אגרת בחינה לצורך קבלת רישיון" w:history="1">
              <w:r>
                <w:rPr>
                  <w:rStyle w:val="Hyperlink"/>
                </w:rPr>
                <w:t>Go</w:t>
              </w:r>
            </w:hyperlink>
          </w:p>
        </w:tc>
        <w:tc>
          <w:tcPr>
            <w:tcW w:w="5669" w:type="dxa"/>
          </w:tcPr>
          <w:p w:rsidR="00236AD1" w:rsidRDefault="00236AD1">
            <w:pPr>
              <w:rPr>
                <w:rStyle w:val="default"/>
                <w:rFonts w:cs="FrankRuehl"/>
                <w:sz w:val="24"/>
                <w:szCs w:val="24"/>
                <w:rtl/>
              </w:rPr>
            </w:pPr>
            <w:r>
              <w:rPr>
                <w:rStyle w:val="default"/>
                <w:rFonts w:cs="FrankRuehl"/>
                <w:sz w:val="24"/>
                <w:szCs w:val="24"/>
                <w:rtl/>
              </w:rPr>
              <w:t>קביעת אגרת בחינה לצורך קבלת רישיון</w:t>
            </w:r>
          </w:p>
        </w:tc>
        <w:tc>
          <w:tcPr>
            <w:tcW w:w="1247" w:type="dxa"/>
          </w:tcPr>
          <w:p w:rsidR="00236AD1" w:rsidRDefault="00236AD1">
            <w:pPr>
              <w:rPr>
                <w:rStyle w:val="default"/>
                <w:rFonts w:cs="FrankRuehl" w:hint="cs"/>
                <w:sz w:val="24"/>
                <w:szCs w:val="24"/>
              </w:rPr>
            </w:pPr>
            <w:r>
              <w:rPr>
                <w:rStyle w:val="default"/>
                <w:rFonts w:cs="FrankRuehl"/>
                <w:sz w:val="24"/>
                <w:szCs w:val="24"/>
                <w:rtl/>
              </w:rPr>
              <w:t xml:space="preserve">סעיף 1 </w:t>
            </w:r>
          </w:p>
        </w:tc>
      </w:tr>
      <w:tr w:rsidR="00236AD1">
        <w:tblPrEx>
          <w:tblCellMar>
            <w:top w:w="0" w:type="dxa"/>
            <w:bottom w:w="0" w:type="dxa"/>
          </w:tblCellMar>
        </w:tblPrEx>
        <w:trPr>
          <w:jc w:val="right"/>
        </w:trPr>
        <w:tc>
          <w:tcPr>
            <w:tcW w:w="850" w:type="dxa"/>
          </w:tcPr>
          <w:p w:rsidR="00236AD1" w:rsidRDefault="00236AD1">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Seif1</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2</w:t>
            </w:r>
            <w:r>
              <w:rPr>
                <w:rStyle w:val="default"/>
                <w:rFonts w:cs="FrankRuehl"/>
                <w:sz w:val="24"/>
                <w:szCs w:val="24"/>
                <w:rtl/>
              </w:rPr>
              <w:fldChar w:fldCharType="end"/>
            </w:r>
          </w:p>
        </w:tc>
        <w:tc>
          <w:tcPr>
            <w:tcW w:w="567" w:type="dxa"/>
          </w:tcPr>
          <w:p w:rsidR="00236AD1" w:rsidRDefault="00236AD1">
            <w:pPr>
              <w:rPr>
                <w:rStyle w:val="default"/>
                <w:rFonts w:cs="FrankRuehl" w:hint="cs"/>
                <w:sz w:val="24"/>
                <w:szCs w:val="24"/>
              </w:rPr>
            </w:pPr>
            <w:hyperlink w:anchor="Seif1" w:tooltip="אגרה לרישום בפנקס" w:history="1">
              <w:r>
                <w:rPr>
                  <w:rStyle w:val="Hyperlink"/>
                </w:rPr>
                <w:t>Go</w:t>
              </w:r>
            </w:hyperlink>
          </w:p>
        </w:tc>
        <w:tc>
          <w:tcPr>
            <w:tcW w:w="5669" w:type="dxa"/>
          </w:tcPr>
          <w:p w:rsidR="00236AD1" w:rsidRDefault="00236AD1">
            <w:pPr>
              <w:rPr>
                <w:rStyle w:val="default"/>
                <w:rFonts w:cs="FrankRuehl"/>
                <w:sz w:val="24"/>
                <w:szCs w:val="24"/>
                <w:rtl/>
              </w:rPr>
            </w:pPr>
            <w:r>
              <w:rPr>
                <w:rStyle w:val="default"/>
                <w:rFonts w:cs="FrankRuehl"/>
                <w:sz w:val="24"/>
                <w:szCs w:val="24"/>
                <w:rtl/>
              </w:rPr>
              <w:t>אגרה לרישום בפנקס</w:t>
            </w:r>
          </w:p>
        </w:tc>
        <w:tc>
          <w:tcPr>
            <w:tcW w:w="1247" w:type="dxa"/>
          </w:tcPr>
          <w:p w:rsidR="00236AD1" w:rsidRDefault="00236AD1">
            <w:pPr>
              <w:rPr>
                <w:rStyle w:val="default"/>
                <w:rFonts w:cs="FrankRuehl" w:hint="cs"/>
                <w:sz w:val="24"/>
                <w:szCs w:val="24"/>
              </w:rPr>
            </w:pPr>
            <w:r>
              <w:rPr>
                <w:rStyle w:val="default"/>
                <w:rFonts w:cs="FrankRuehl"/>
                <w:sz w:val="24"/>
                <w:szCs w:val="24"/>
                <w:rtl/>
              </w:rPr>
              <w:t xml:space="preserve">סעיף 2 </w:t>
            </w:r>
          </w:p>
        </w:tc>
      </w:tr>
      <w:tr w:rsidR="00236AD1">
        <w:tblPrEx>
          <w:tblCellMar>
            <w:top w:w="0" w:type="dxa"/>
            <w:bottom w:w="0" w:type="dxa"/>
          </w:tblCellMar>
        </w:tblPrEx>
        <w:trPr>
          <w:jc w:val="right"/>
        </w:trPr>
        <w:tc>
          <w:tcPr>
            <w:tcW w:w="850" w:type="dxa"/>
          </w:tcPr>
          <w:p w:rsidR="00236AD1" w:rsidRDefault="00236AD1">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Seif2</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2</w:t>
            </w:r>
            <w:r>
              <w:rPr>
                <w:rStyle w:val="default"/>
                <w:rFonts w:cs="FrankRuehl"/>
                <w:sz w:val="24"/>
                <w:szCs w:val="24"/>
                <w:rtl/>
              </w:rPr>
              <w:fldChar w:fldCharType="end"/>
            </w:r>
          </w:p>
        </w:tc>
        <w:tc>
          <w:tcPr>
            <w:tcW w:w="567" w:type="dxa"/>
          </w:tcPr>
          <w:p w:rsidR="00236AD1" w:rsidRDefault="00236AD1">
            <w:pPr>
              <w:rPr>
                <w:rStyle w:val="default"/>
                <w:rFonts w:cs="FrankRuehl" w:hint="cs"/>
                <w:sz w:val="24"/>
                <w:szCs w:val="24"/>
              </w:rPr>
            </w:pPr>
            <w:hyperlink w:anchor="Seif2" w:tooltip="אגרת רישום מתמחים" w:history="1">
              <w:r>
                <w:rPr>
                  <w:rStyle w:val="Hyperlink"/>
                </w:rPr>
                <w:t>Go</w:t>
              </w:r>
            </w:hyperlink>
          </w:p>
        </w:tc>
        <w:tc>
          <w:tcPr>
            <w:tcW w:w="5669" w:type="dxa"/>
          </w:tcPr>
          <w:p w:rsidR="00236AD1" w:rsidRDefault="00236AD1">
            <w:pPr>
              <w:rPr>
                <w:rStyle w:val="default"/>
                <w:rFonts w:cs="FrankRuehl"/>
                <w:sz w:val="24"/>
                <w:szCs w:val="24"/>
                <w:rtl/>
              </w:rPr>
            </w:pPr>
            <w:r>
              <w:rPr>
                <w:rStyle w:val="default"/>
                <w:rFonts w:cs="FrankRuehl"/>
                <w:sz w:val="24"/>
                <w:szCs w:val="24"/>
                <w:rtl/>
              </w:rPr>
              <w:t>אגרת רישום מתמחים</w:t>
            </w:r>
          </w:p>
        </w:tc>
        <w:tc>
          <w:tcPr>
            <w:tcW w:w="1247" w:type="dxa"/>
          </w:tcPr>
          <w:p w:rsidR="00236AD1" w:rsidRDefault="00236AD1">
            <w:pPr>
              <w:rPr>
                <w:rStyle w:val="default"/>
                <w:rFonts w:cs="FrankRuehl" w:hint="cs"/>
                <w:sz w:val="24"/>
                <w:szCs w:val="24"/>
              </w:rPr>
            </w:pPr>
            <w:r>
              <w:rPr>
                <w:rStyle w:val="default"/>
                <w:rFonts w:cs="FrankRuehl"/>
                <w:sz w:val="24"/>
                <w:szCs w:val="24"/>
                <w:rtl/>
              </w:rPr>
              <w:t xml:space="preserve">סעיף 3 </w:t>
            </w:r>
          </w:p>
        </w:tc>
      </w:tr>
      <w:tr w:rsidR="00236AD1">
        <w:tblPrEx>
          <w:tblCellMar>
            <w:top w:w="0" w:type="dxa"/>
            <w:bottom w:w="0" w:type="dxa"/>
          </w:tblCellMar>
        </w:tblPrEx>
        <w:trPr>
          <w:jc w:val="right"/>
        </w:trPr>
        <w:tc>
          <w:tcPr>
            <w:tcW w:w="850" w:type="dxa"/>
          </w:tcPr>
          <w:p w:rsidR="00236AD1" w:rsidRDefault="00236AD1">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Seif3</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2</w:t>
            </w:r>
            <w:r>
              <w:rPr>
                <w:rStyle w:val="default"/>
                <w:rFonts w:cs="FrankRuehl"/>
                <w:sz w:val="24"/>
                <w:szCs w:val="24"/>
                <w:rtl/>
              </w:rPr>
              <w:fldChar w:fldCharType="end"/>
            </w:r>
          </w:p>
        </w:tc>
        <w:tc>
          <w:tcPr>
            <w:tcW w:w="567" w:type="dxa"/>
          </w:tcPr>
          <w:p w:rsidR="00236AD1" w:rsidRDefault="00236AD1">
            <w:pPr>
              <w:rPr>
                <w:rStyle w:val="default"/>
                <w:rFonts w:cs="FrankRuehl" w:hint="cs"/>
                <w:sz w:val="24"/>
                <w:szCs w:val="24"/>
              </w:rPr>
            </w:pPr>
            <w:hyperlink w:anchor="Seif3" w:tooltip="פטור מאגרת בחינה" w:history="1">
              <w:r>
                <w:rPr>
                  <w:rStyle w:val="Hyperlink"/>
                </w:rPr>
                <w:t>Go</w:t>
              </w:r>
            </w:hyperlink>
          </w:p>
        </w:tc>
        <w:tc>
          <w:tcPr>
            <w:tcW w:w="5669" w:type="dxa"/>
          </w:tcPr>
          <w:p w:rsidR="00236AD1" w:rsidRDefault="00236AD1">
            <w:pPr>
              <w:rPr>
                <w:rStyle w:val="default"/>
                <w:rFonts w:cs="FrankRuehl"/>
                <w:sz w:val="24"/>
                <w:szCs w:val="24"/>
                <w:rtl/>
              </w:rPr>
            </w:pPr>
            <w:r>
              <w:rPr>
                <w:rStyle w:val="default"/>
                <w:rFonts w:cs="FrankRuehl"/>
                <w:sz w:val="24"/>
                <w:szCs w:val="24"/>
                <w:rtl/>
              </w:rPr>
              <w:t>פטור מאגרת בחינה</w:t>
            </w:r>
          </w:p>
        </w:tc>
        <w:tc>
          <w:tcPr>
            <w:tcW w:w="1247" w:type="dxa"/>
          </w:tcPr>
          <w:p w:rsidR="00236AD1" w:rsidRDefault="00236AD1">
            <w:pPr>
              <w:rPr>
                <w:rStyle w:val="default"/>
                <w:rFonts w:cs="FrankRuehl" w:hint="cs"/>
                <w:sz w:val="24"/>
                <w:szCs w:val="24"/>
              </w:rPr>
            </w:pPr>
            <w:r>
              <w:rPr>
                <w:rStyle w:val="default"/>
                <w:rFonts w:cs="FrankRuehl"/>
                <w:sz w:val="24"/>
                <w:szCs w:val="24"/>
                <w:rtl/>
              </w:rPr>
              <w:t xml:space="preserve">סעיף 4 </w:t>
            </w:r>
          </w:p>
        </w:tc>
      </w:tr>
      <w:tr w:rsidR="00236AD1">
        <w:tblPrEx>
          <w:tblCellMar>
            <w:top w:w="0" w:type="dxa"/>
            <w:bottom w:w="0" w:type="dxa"/>
          </w:tblCellMar>
        </w:tblPrEx>
        <w:trPr>
          <w:jc w:val="right"/>
        </w:trPr>
        <w:tc>
          <w:tcPr>
            <w:tcW w:w="850" w:type="dxa"/>
          </w:tcPr>
          <w:p w:rsidR="00236AD1" w:rsidRDefault="00236AD1">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Seif4</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2</w:t>
            </w:r>
            <w:r>
              <w:rPr>
                <w:rStyle w:val="default"/>
                <w:rFonts w:cs="FrankRuehl"/>
                <w:sz w:val="24"/>
                <w:szCs w:val="24"/>
                <w:rtl/>
              </w:rPr>
              <w:fldChar w:fldCharType="end"/>
            </w:r>
          </w:p>
        </w:tc>
        <w:tc>
          <w:tcPr>
            <w:tcW w:w="567" w:type="dxa"/>
          </w:tcPr>
          <w:p w:rsidR="00236AD1" w:rsidRDefault="00236AD1">
            <w:pPr>
              <w:rPr>
                <w:rStyle w:val="default"/>
                <w:rFonts w:cs="FrankRuehl" w:hint="cs"/>
                <w:sz w:val="24"/>
                <w:szCs w:val="24"/>
              </w:rPr>
            </w:pPr>
            <w:hyperlink w:anchor="Seif4" w:tooltip="תיאום סכומים" w:history="1">
              <w:r>
                <w:rPr>
                  <w:rStyle w:val="Hyperlink"/>
                </w:rPr>
                <w:t>Go</w:t>
              </w:r>
            </w:hyperlink>
          </w:p>
        </w:tc>
        <w:tc>
          <w:tcPr>
            <w:tcW w:w="5669" w:type="dxa"/>
          </w:tcPr>
          <w:p w:rsidR="00236AD1" w:rsidRDefault="00236AD1">
            <w:pPr>
              <w:rPr>
                <w:rStyle w:val="default"/>
                <w:rFonts w:cs="FrankRuehl"/>
                <w:sz w:val="24"/>
                <w:szCs w:val="24"/>
                <w:rtl/>
              </w:rPr>
            </w:pPr>
            <w:r>
              <w:rPr>
                <w:rStyle w:val="default"/>
                <w:rFonts w:cs="FrankRuehl"/>
                <w:sz w:val="24"/>
                <w:szCs w:val="24"/>
                <w:rtl/>
              </w:rPr>
              <w:t>תיאום סכומים</w:t>
            </w:r>
          </w:p>
        </w:tc>
        <w:tc>
          <w:tcPr>
            <w:tcW w:w="1247" w:type="dxa"/>
          </w:tcPr>
          <w:p w:rsidR="00236AD1" w:rsidRDefault="00236AD1">
            <w:pPr>
              <w:rPr>
                <w:rStyle w:val="default"/>
                <w:rFonts w:cs="FrankRuehl" w:hint="cs"/>
                <w:sz w:val="24"/>
                <w:szCs w:val="24"/>
              </w:rPr>
            </w:pPr>
            <w:r>
              <w:rPr>
                <w:rStyle w:val="default"/>
                <w:rFonts w:cs="FrankRuehl"/>
                <w:sz w:val="24"/>
                <w:szCs w:val="24"/>
                <w:rtl/>
              </w:rPr>
              <w:t xml:space="preserve">סעיף 5 </w:t>
            </w:r>
          </w:p>
        </w:tc>
      </w:tr>
      <w:tr w:rsidR="00236AD1">
        <w:tblPrEx>
          <w:tblCellMar>
            <w:top w:w="0" w:type="dxa"/>
            <w:bottom w:w="0" w:type="dxa"/>
          </w:tblCellMar>
        </w:tblPrEx>
        <w:trPr>
          <w:jc w:val="right"/>
        </w:trPr>
        <w:tc>
          <w:tcPr>
            <w:tcW w:w="850" w:type="dxa"/>
          </w:tcPr>
          <w:p w:rsidR="00236AD1" w:rsidRDefault="00236AD1">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Seif5</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2</w:t>
            </w:r>
            <w:r>
              <w:rPr>
                <w:rStyle w:val="default"/>
                <w:rFonts w:cs="FrankRuehl"/>
                <w:sz w:val="24"/>
                <w:szCs w:val="24"/>
                <w:rtl/>
              </w:rPr>
              <w:fldChar w:fldCharType="end"/>
            </w:r>
          </w:p>
        </w:tc>
        <w:tc>
          <w:tcPr>
            <w:tcW w:w="567" w:type="dxa"/>
          </w:tcPr>
          <w:p w:rsidR="00236AD1" w:rsidRDefault="00236AD1">
            <w:pPr>
              <w:rPr>
                <w:rStyle w:val="default"/>
                <w:rFonts w:cs="FrankRuehl" w:hint="cs"/>
                <w:sz w:val="24"/>
                <w:szCs w:val="24"/>
              </w:rPr>
            </w:pPr>
            <w:hyperlink w:anchor="Seif5" w:tooltip="הוראות מעבר" w:history="1">
              <w:r>
                <w:rPr>
                  <w:rStyle w:val="Hyperlink"/>
                </w:rPr>
                <w:t>Go</w:t>
              </w:r>
            </w:hyperlink>
          </w:p>
        </w:tc>
        <w:tc>
          <w:tcPr>
            <w:tcW w:w="5669" w:type="dxa"/>
          </w:tcPr>
          <w:p w:rsidR="00236AD1" w:rsidRDefault="00236AD1">
            <w:pPr>
              <w:rPr>
                <w:rStyle w:val="default"/>
                <w:rFonts w:cs="FrankRuehl"/>
                <w:sz w:val="24"/>
                <w:szCs w:val="24"/>
                <w:rtl/>
              </w:rPr>
            </w:pPr>
            <w:r>
              <w:rPr>
                <w:rStyle w:val="default"/>
                <w:rFonts w:cs="FrankRuehl"/>
                <w:sz w:val="24"/>
                <w:szCs w:val="24"/>
                <w:rtl/>
              </w:rPr>
              <w:t>הוראות מעבר</w:t>
            </w:r>
          </w:p>
        </w:tc>
        <w:tc>
          <w:tcPr>
            <w:tcW w:w="1247" w:type="dxa"/>
          </w:tcPr>
          <w:p w:rsidR="00236AD1" w:rsidRDefault="00236AD1">
            <w:pPr>
              <w:rPr>
                <w:rStyle w:val="default"/>
                <w:rFonts w:cs="FrankRuehl" w:hint="cs"/>
                <w:sz w:val="24"/>
                <w:szCs w:val="24"/>
              </w:rPr>
            </w:pPr>
            <w:r>
              <w:rPr>
                <w:rStyle w:val="default"/>
                <w:rFonts w:cs="FrankRuehl"/>
                <w:sz w:val="24"/>
                <w:szCs w:val="24"/>
                <w:rtl/>
              </w:rPr>
              <w:t xml:space="preserve">סעיף 6 </w:t>
            </w:r>
          </w:p>
        </w:tc>
      </w:tr>
    </w:tbl>
    <w:p w:rsidR="00236AD1" w:rsidRDefault="00236AD1">
      <w:pPr>
        <w:pStyle w:val="P00"/>
        <w:spacing w:before="72"/>
        <w:ind w:left="0" w:right="1134"/>
        <w:rPr>
          <w:rStyle w:val="default"/>
          <w:rFonts w:cs="FrankRuehl" w:hint="cs"/>
          <w:rtl/>
        </w:rPr>
      </w:pPr>
    </w:p>
    <w:p w:rsidR="00236AD1" w:rsidRDefault="00236AD1">
      <w:pPr>
        <w:pStyle w:val="big-header"/>
        <w:ind w:left="0" w:right="1134"/>
        <w:rPr>
          <w:rFonts w:cs="FrankRuehl" w:hint="cs"/>
          <w:sz w:val="32"/>
          <w:rtl/>
        </w:rPr>
      </w:pPr>
    </w:p>
    <w:p w:rsidR="00236AD1" w:rsidRDefault="00236AD1" w:rsidP="002B3B7C">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תקנות הסדרת העיסוק ייצוג על ידי יועצי מס (אגרות), תשס"ו-2005</w:t>
      </w:r>
      <w:r>
        <w:rPr>
          <w:rStyle w:val="default"/>
          <w:sz w:val="22"/>
          <w:szCs w:val="22"/>
          <w:rtl/>
        </w:rPr>
        <w:footnoteReference w:customMarkFollows="1" w:id="1"/>
        <w:t>*</w:t>
      </w:r>
    </w:p>
    <w:p w:rsidR="00236AD1" w:rsidRDefault="00236AD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בתוקף סמכותי לפי סעיף 38(א) לחוק הסדרת העיסוק בייצוג על ידי יועצי מס, התשס"ה</w:t>
      </w:r>
      <w:r>
        <w:rPr>
          <w:rStyle w:val="big-number"/>
          <w:rFonts w:cs="FrankRuehl" w:hint="cs"/>
          <w:sz w:val="26"/>
          <w:szCs w:val="26"/>
          <w:rtl/>
        </w:rPr>
        <w:t xml:space="preserve">-2005 </w:t>
      </w:r>
      <w:r>
        <w:rPr>
          <w:rStyle w:val="big-number"/>
          <w:rFonts w:cs="FrankRuehl"/>
          <w:sz w:val="26"/>
          <w:szCs w:val="26"/>
          <w:rtl/>
        </w:rPr>
        <w:t>(להלן – החוק), ובאישור ועדת החוקה חוק ומשפט של הכנסת, אני מתקין תקנות אלה:</w:t>
      </w:r>
    </w:p>
    <w:p w:rsidR="00236AD1" w:rsidRDefault="00236AD1">
      <w:pPr>
        <w:pStyle w:val="P00"/>
        <w:spacing w:before="72"/>
        <w:ind w:left="0" w:right="1134"/>
        <w:rPr>
          <w:rStyle w:val="big-number"/>
          <w:rFonts w:cs="FrankRuehl" w:hint="cs"/>
          <w:sz w:val="26"/>
          <w:szCs w:val="26"/>
          <w:rtl/>
        </w:rPr>
      </w:pPr>
      <w:bookmarkStart w:id="0" w:name="Seif0"/>
      <w:bookmarkEnd w:id="0"/>
      <w:r>
        <w:rPr>
          <w:rFonts w:cs="Miriam"/>
          <w:lang w:val="he-IL"/>
        </w:rPr>
        <w:pict>
          <v:rect id="_x0000_s1026" style="position:absolute;left:0;text-align:left;margin-left:463.5pt;margin-top:7.1pt;width:75.05pt;height:16.95pt;z-index:251655168" filled="f" stroked="f" strokecolor="lime" strokeweight=".25pt">
            <v:textbox style="mso-next-textbox:#_x0000_s1026" inset="1mm,0,1mm,0">
              <w:txbxContent>
                <w:p w:rsidR="00236AD1" w:rsidRDefault="00236AD1">
                  <w:pPr>
                    <w:spacing w:line="160" w:lineRule="exact"/>
                    <w:rPr>
                      <w:rFonts w:cs="Miriam" w:hint="cs"/>
                      <w:sz w:val="18"/>
                      <w:szCs w:val="18"/>
                      <w:rtl/>
                    </w:rPr>
                  </w:pPr>
                  <w:r>
                    <w:rPr>
                      <w:rFonts w:cs="Miriam" w:hint="cs"/>
                      <w:sz w:val="18"/>
                      <w:szCs w:val="18"/>
                      <w:rtl/>
                    </w:rPr>
                    <w:t>קביעת אגרת בחינה לצורך קבלת רישיון</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t>אגרה לבחינה הנדרשת לצורך רישום בפנקס וקבלת רישיון, לפי החוק, תהיה בסכום 400 שקלים חדשים ותשולם לא יאוחר מ</w:t>
      </w:r>
      <w:r>
        <w:rPr>
          <w:rStyle w:val="big-number"/>
          <w:rFonts w:cs="FrankRuehl" w:hint="cs"/>
          <w:sz w:val="26"/>
          <w:szCs w:val="26"/>
          <w:rtl/>
        </w:rPr>
        <w:t>-</w:t>
      </w:r>
      <w:r>
        <w:rPr>
          <w:rStyle w:val="big-number"/>
          <w:rFonts w:cs="FrankRuehl"/>
          <w:sz w:val="26"/>
          <w:szCs w:val="26"/>
          <w:rtl/>
        </w:rPr>
        <w:t>60 ימים לפני מועד הבחינה; הוגש ערר על תוצאות הבחינה, ישולם סכום של 100 שקלים חדשים נוספים במועד הגשת הערר.</w:t>
      </w:r>
    </w:p>
    <w:p w:rsidR="00236AD1" w:rsidRDefault="00236AD1">
      <w:pPr>
        <w:pStyle w:val="P00"/>
        <w:spacing w:before="72"/>
        <w:ind w:left="0" w:right="1134"/>
        <w:rPr>
          <w:rStyle w:val="big-number"/>
          <w:rFonts w:cs="FrankRuehl" w:hint="cs"/>
          <w:sz w:val="26"/>
          <w:szCs w:val="26"/>
          <w:rtl/>
        </w:rPr>
      </w:pPr>
      <w:bookmarkStart w:id="1" w:name="Seif1"/>
      <w:bookmarkEnd w:id="1"/>
      <w:r>
        <w:rPr>
          <w:rFonts w:cs="Miriam"/>
          <w:lang w:val="he-IL"/>
        </w:rPr>
        <w:pict>
          <v:rect id="_x0000_s1405" style="position:absolute;left:0;text-align:left;margin-left:463.5pt;margin-top:7.1pt;width:75.05pt;height:16.05pt;z-index:251656192" filled="f" stroked="f" strokecolor="lime" strokeweight=".25pt">
            <v:textbox style="mso-next-textbox:#_x0000_s1405" inset="1mm,0,1mm,0">
              <w:txbxContent>
                <w:p w:rsidR="00236AD1" w:rsidRDefault="00236AD1">
                  <w:pPr>
                    <w:spacing w:line="160" w:lineRule="exact"/>
                    <w:rPr>
                      <w:rFonts w:cs="Miriam" w:hint="cs"/>
                      <w:sz w:val="18"/>
                      <w:szCs w:val="18"/>
                      <w:rtl/>
                    </w:rPr>
                  </w:pPr>
                  <w:r>
                    <w:rPr>
                      <w:rFonts w:cs="Miriam" w:hint="cs"/>
                      <w:sz w:val="18"/>
                      <w:szCs w:val="18"/>
                      <w:rtl/>
                    </w:rPr>
                    <w:t>אגרה לרישום בפנקס</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אגרה דו</w:t>
      </w:r>
      <w:r>
        <w:rPr>
          <w:rStyle w:val="big-number"/>
          <w:rFonts w:cs="FrankRuehl" w:hint="cs"/>
          <w:sz w:val="26"/>
          <w:szCs w:val="26"/>
          <w:rtl/>
        </w:rPr>
        <w:t>-</w:t>
      </w:r>
      <w:r>
        <w:rPr>
          <w:rStyle w:val="big-number"/>
          <w:rFonts w:cs="FrankRuehl"/>
          <w:sz w:val="26"/>
          <w:szCs w:val="26"/>
          <w:rtl/>
        </w:rPr>
        <w:t>שנתית לרישום בפנקס תהיה בסכום של 1,300 שקלים חדשים ותשולם עד 31 בינואר של השנה הראשונה בתקופת השנתיים האמורה, ואולם ניתן לשלמה בשני תשלומים שנתיים שווים של 650 שקלים חדשים, אשר ישולמו עד יום 31 בינואר של כל שנה.</w:t>
      </w:r>
    </w:p>
    <w:p w:rsidR="00236AD1" w:rsidRDefault="00236AD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יועץ מס מייצג שהוא שכיר, ישלם מחצית מהאגרה הקבועה בתקנת משנה (א), אם הגיש למועצה הצהרה על היותו שכיר במועד שאינו מאוחר מ</w:t>
      </w:r>
      <w:r>
        <w:rPr>
          <w:rStyle w:val="big-number"/>
          <w:rFonts w:cs="FrankRuehl" w:hint="cs"/>
          <w:sz w:val="26"/>
          <w:szCs w:val="26"/>
          <w:rtl/>
        </w:rPr>
        <w:t>-</w:t>
      </w:r>
      <w:r>
        <w:rPr>
          <w:rStyle w:val="big-number"/>
          <w:rFonts w:cs="FrankRuehl"/>
          <w:sz w:val="26"/>
          <w:szCs w:val="26"/>
          <w:rtl/>
        </w:rPr>
        <w:t>90 ימים לפני המועד לתשלום האגרה האמורה.</w:t>
      </w:r>
    </w:p>
    <w:p w:rsidR="00236AD1" w:rsidRDefault="00236AD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יועץ מס מייצג שהגיע בתחילת השנה לגיל 70, ישלם שליש מהאגרה הקבועה בתקנת משנה (א).</w:t>
      </w:r>
    </w:p>
    <w:p w:rsidR="00236AD1" w:rsidRDefault="00236AD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(ד)</w:t>
      </w:r>
      <w:r>
        <w:rPr>
          <w:rStyle w:val="big-number"/>
          <w:rFonts w:cs="FrankRuehl" w:hint="cs"/>
          <w:sz w:val="26"/>
          <w:szCs w:val="26"/>
          <w:rtl/>
        </w:rPr>
        <w:tab/>
      </w:r>
      <w:r>
        <w:rPr>
          <w:rStyle w:val="big-number"/>
          <w:rFonts w:cs="FrankRuehl"/>
          <w:sz w:val="26"/>
          <w:szCs w:val="26"/>
          <w:rtl/>
        </w:rPr>
        <w:t>יועץ מס מייצג שמסר למועצה הצהרה במועד שאינו מאוחר מ</w:t>
      </w:r>
      <w:r>
        <w:rPr>
          <w:rStyle w:val="big-number"/>
          <w:rFonts w:cs="FrankRuehl" w:hint="cs"/>
          <w:sz w:val="26"/>
          <w:szCs w:val="26"/>
          <w:rtl/>
        </w:rPr>
        <w:t>-</w:t>
      </w:r>
      <w:r>
        <w:rPr>
          <w:rStyle w:val="big-number"/>
          <w:rFonts w:cs="FrankRuehl"/>
          <w:sz w:val="26"/>
          <w:szCs w:val="26"/>
          <w:rtl/>
        </w:rPr>
        <w:t>90 ימים מהמועד לתשלום האגרה הקבועה בתקנת משנה (א), ולפיה לא ישמש כיועץ מס מייצג בשנה המתחילה בחודש ינואר הבא, יהיה פטור מתשלום האגרה לאותה שנה.</w:t>
      </w:r>
    </w:p>
    <w:p w:rsidR="00236AD1" w:rsidRDefault="00236AD1">
      <w:pPr>
        <w:pStyle w:val="P00"/>
        <w:spacing w:before="72"/>
        <w:ind w:left="0" w:right="1134"/>
        <w:rPr>
          <w:rStyle w:val="big-number"/>
          <w:rFonts w:cs="FrankRuehl" w:hint="cs"/>
          <w:sz w:val="26"/>
          <w:szCs w:val="26"/>
          <w:rtl/>
        </w:rPr>
      </w:pPr>
      <w:bookmarkStart w:id="2" w:name="Seif2"/>
      <w:bookmarkEnd w:id="2"/>
      <w:r>
        <w:rPr>
          <w:rFonts w:cs="Miriam"/>
          <w:lang w:val="he-IL"/>
        </w:rPr>
        <w:pict>
          <v:rect id="_x0000_s1406" style="position:absolute;left:0;text-align:left;margin-left:463.5pt;margin-top:7.1pt;width:75.05pt;height:17.3pt;z-index:251657216" filled="f" stroked="f" strokecolor="lime" strokeweight=".25pt">
            <v:textbox style="mso-next-textbox:#_x0000_s1406" inset="1mm,0,1mm,0">
              <w:txbxContent>
                <w:p w:rsidR="00236AD1" w:rsidRDefault="00236AD1">
                  <w:pPr>
                    <w:spacing w:line="160" w:lineRule="exact"/>
                    <w:rPr>
                      <w:rFonts w:cs="Miriam" w:hint="cs"/>
                      <w:sz w:val="18"/>
                      <w:szCs w:val="18"/>
                      <w:rtl/>
                    </w:rPr>
                  </w:pPr>
                  <w:r>
                    <w:rPr>
                      <w:rFonts w:cs="Miriam" w:hint="cs"/>
                      <w:sz w:val="18"/>
                      <w:szCs w:val="18"/>
                      <w:rtl/>
                    </w:rPr>
                    <w:t>אגרת רישום מתמחים</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t>אגרת רישום מתמחים תהיה בסך של 100 שקלים חדשים והיא תשולם במועד הגשת הבקשה לרישום המועמד כמתמחה; היה הרישום לאחר שהמאמן הקודם נפטר, פשט את</w:t>
      </w:r>
      <w:r>
        <w:rPr>
          <w:rStyle w:val="big-number"/>
          <w:rFonts w:cs="FrankRuehl" w:hint="cs"/>
          <w:sz w:val="26"/>
          <w:szCs w:val="26"/>
          <w:rtl/>
        </w:rPr>
        <w:t xml:space="preserve"> </w:t>
      </w:r>
      <w:r>
        <w:rPr>
          <w:rStyle w:val="big-number"/>
          <w:rFonts w:cs="FrankRuehl"/>
          <w:sz w:val="26"/>
          <w:szCs w:val="26"/>
          <w:rtl/>
        </w:rPr>
        <w:t>הרגל, הפסיק עיסוקו במקצוע או בנסיבות אחרות שלדעת יושב ראש המועצה אינן מאפשרות</w:t>
      </w:r>
      <w:r>
        <w:rPr>
          <w:rStyle w:val="big-number"/>
          <w:rFonts w:cs="FrankRuehl" w:hint="cs"/>
          <w:sz w:val="26"/>
          <w:szCs w:val="26"/>
          <w:rtl/>
        </w:rPr>
        <w:t xml:space="preserve"> </w:t>
      </w:r>
      <w:r>
        <w:rPr>
          <w:rStyle w:val="big-number"/>
          <w:rFonts w:cs="FrankRuehl"/>
          <w:sz w:val="26"/>
          <w:szCs w:val="26"/>
          <w:rtl/>
        </w:rPr>
        <w:t>לאותו מתמחה להמשיך את התמחותו, לא תשולם אגרת רישום נוספת בשל רישום התמחות אצל המאמן החדש.</w:t>
      </w:r>
    </w:p>
    <w:p w:rsidR="00236AD1" w:rsidRDefault="00236AD1">
      <w:pPr>
        <w:pStyle w:val="P00"/>
        <w:spacing w:before="72"/>
        <w:ind w:left="0" w:right="1134"/>
        <w:rPr>
          <w:rStyle w:val="big-number"/>
          <w:rFonts w:cs="FrankRuehl" w:hint="cs"/>
          <w:sz w:val="26"/>
          <w:szCs w:val="26"/>
          <w:rtl/>
        </w:rPr>
      </w:pPr>
      <w:bookmarkStart w:id="3" w:name="Seif3"/>
      <w:bookmarkEnd w:id="3"/>
      <w:r>
        <w:rPr>
          <w:rFonts w:cs="Miriam"/>
          <w:lang w:val="he-IL"/>
        </w:rPr>
        <w:pict>
          <v:rect id="_x0000_s1407" style="position:absolute;left:0;text-align:left;margin-left:463.5pt;margin-top:7.1pt;width:75.05pt;height:9.45pt;z-index:251658240" filled="f" stroked="f" strokecolor="lime" strokeweight=".25pt">
            <v:textbox style="mso-next-textbox:#_x0000_s1407" inset="1mm,0,1mm,0">
              <w:txbxContent>
                <w:p w:rsidR="00236AD1" w:rsidRDefault="00236AD1">
                  <w:pPr>
                    <w:spacing w:line="160" w:lineRule="exact"/>
                    <w:rPr>
                      <w:rFonts w:cs="Miriam" w:hint="cs"/>
                      <w:sz w:val="18"/>
                      <w:szCs w:val="18"/>
                      <w:rtl/>
                    </w:rPr>
                  </w:pPr>
                  <w:r>
                    <w:rPr>
                      <w:rFonts w:cs="Miriam" w:hint="cs"/>
                      <w:sz w:val="18"/>
                      <w:szCs w:val="18"/>
                      <w:rtl/>
                    </w:rPr>
                    <w:t>פטור מאגרת בחינה</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t>יושב ראש המועצה רשאי, בנסיבות מיוחדות, לפטור מועמד לבחינות מתשלום אגרת בחינה, לענין בחינה מסוימת או לענין כל הבחינות.</w:t>
      </w:r>
    </w:p>
    <w:p w:rsidR="00236AD1" w:rsidRDefault="00236AD1">
      <w:pPr>
        <w:pStyle w:val="P00"/>
        <w:spacing w:before="72"/>
        <w:ind w:left="0" w:right="1134"/>
        <w:rPr>
          <w:rStyle w:val="big-number"/>
          <w:rFonts w:cs="FrankRuehl" w:hint="cs"/>
          <w:sz w:val="26"/>
          <w:szCs w:val="26"/>
          <w:rtl/>
        </w:rPr>
      </w:pPr>
      <w:bookmarkStart w:id="4" w:name="Seif4"/>
      <w:bookmarkEnd w:id="4"/>
      <w:r>
        <w:rPr>
          <w:rFonts w:cs="Miriam"/>
          <w:lang w:val="he-IL"/>
        </w:rPr>
        <w:pict>
          <v:rect id="_x0000_s1408" style="position:absolute;left:0;text-align:left;margin-left:463.5pt;margin-top:7.1pt;width:75.05pt;height:9.45pt;z-index:251659264" filled="f" stroked="f" strokecolor="lime" strokeweight=".25pt">
            <v:textbox style="mso-next-textbox:#_x0000_s1408" inset="1mm,0,1mm,0">
              <w:txbxContent>
                <w:p w:rsidR="00236AD1" w:rsidRDefault="00236AD1">
                  <w:pPr>
                    <w:spacing w:line="160" w:lineRule="exact"/>
                    <w:rPr>
                      <w:rFonts w:cs="Miriam" w:hint="cs"/>
                      <w:sz w:val="18"/>
                      <w:szCs w:val="18"/>
                      <w:rtl/>
                    </w:rPr>
                  </w:pPr>
                  <w:r>
                    <w:rPr>
                      <w:rFonts w:cs="Miriam" w:hint="cs"/>
                      <w:sz w:val="18"/>
                      <w:szCs w:val="18"/>
                      <w:rtl/>
                    </w:rPr>
                    <w:t>תיאום סכומים</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t>סכומי האגרות הקבועים בתקנות אלו יתואמו ביום 1 בינואר של כל שנה, לפי השינוי שבין המדד שפורסם בחודש דצמבר שקדם למועד ההתאמה לבין המדד שפורסם בחודש דצמבר שקדם לו;</w:t>
      </w:r>
    </w:p>
    <w:p w:rsidR="00236AD1" w:rsidRDefault="00236AD1">
      <w:pPr>
        <w:pStyle w:val="P00"/>
        <w:spacing w:before="72"/>
        <w:ind w:left="0" w:right="1134"/>
        <w:rPr>
          <w:rStyle w:val="big-number"/>
          <w:rFonts w:cs="FrankRuehl" w:hint="cs"/>
          <w:sz w:val="26"/>
          <w:szCs w:val="26"/>
          <w:rtl/>
        </w:rPr>
      </w:pPr>
      <w:r>
        <w:rPr>
          <w:rStyle w:val="big-number"/>
          <w:rFonts w:cs="FrankRuehl"/>
          <w:sz w:val="26"/>
          <w:szCs w:val="26"/>
          <w:rtl/>
        </w:rPr>
        <w:t>בתקנה זאת, "מדד"</w:t>
      </w:r>
      <w:r>
        <w:rPr>
          <w:rStyle w:val="big-number"/>
          <w:rFonts w:cs="FrankRuehl" w:hint="cs"/>
          <w:sz w:val="26"/>
          <w:szCs w:val="26"/>
          <w:rtl/>
        </w:rPr>
        <w:t xml:space="preserve"> </w:t>
      </w:r>
      <w:r>
        <w:rPr>
          <w:rStyle w:val="big-number"/>
          <w:rFonts w:cs="FrankRuehl"/>
          <w:sz w:val="26"/>
          <w:szCs w:val="26"/>
          <w:rtl/>
        </w:rPr>
        <w:t>– מדד המחירים לצרכן שמפרסמת הלשכה המרכזית לסטטיסטיקה.</w:t>
      </w:r>
    </w:p>
    <w:p w:rsidR="00236AD1" w:rsidRDefault="00236AD1">
      <w:pPr>
        <w:pStyle w:val="P00"/>
        <w:spacing w:before="72"/>
        <w:ind w:left="0" w:right="1134"/>
        <w:rPr>
          <w:rStyle w:val="big-number"/>
          <w:rFonts w:cs="FrankRuehl" w:hint="cs"/>
          <w:sz w:val="26"/>
          <w:szCs w:val="26"/>
          <w:rtl/>
        </w:rPr>
      </w:pPr>
      <w:bookmarkStart w:id="5" w:name="Seif5"/>
      <w:bookmarkEnd w:id="5"/>
      <w:r>
        <w:rPr>
          <w:rFonts w:cs="Miriam"/>
          <w:lang w:val="he-IL"/>
        </w:rPr>
        <w:pict>
          <v:rect id="_x0000_s1409" style="position:absolute;left:0;text-align:left;margin-left:463.5pt;margin-top:7.1pt;width:75.05pt;height:9.45pt;z-index:251660288" filled="f" stroked="f" strokecolor="lime" strokeweight=".25pt">
            <v:textbox style="mso-next-textbox:#_x0000_s1409" inset="1mm,0,1mm,0">
              <w:txbxContent>
                <w:p w:rsidR="00236AD1" w:rsidRDefault="00236AD1">
                  <w:pPr>
                    <w:spacing w:line="160" w:lineRule="exact"/>
                    <w:rPr>
                      <w:rFonts w:cs="Miriam" w:hint="cs"/>
                      <w:sz w:val="18"/>
                      <w:szCs w:val="18"/>
                      <w:rtl/>
                    </w:rPr>
                  </w:pPr>
                  <w:r>
                    <w:rPr>
                      <w:rFonts w:cs="Miriam" w:hint="cs"/>
                      <w:sz w:val="18"/>
                      <w:szCs w:val="18"/>
                      <w:rtl/>
                    </w:rPr>
                    <w:t>הוראות מעבר</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אגרה לשנת 2005 תשולם בתוך 30 ימים מיום פרסום התקנות, ואולם אם שולמה אגרה לפני תחילתו של החוק, לא תשולם אגרה נוספת לשנת 2005.</w:t>
      </w:r>
    </w:p>
    <w:p w:rsidR="00236AD1" w:rsidRDefault="00236AD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 xml:space="preserve">לענין בחינות שנערכו במהלך חודש יולי 2005 תשולם האגרה בסכום הנקוב בתקנה </w:t>
      </w:r>
      <w:r>
        <w:rPr>
          <w:rStyle w:val="big-number"/>
          <w:rFonts w:cs="FrankRuehl" w:hint="cs"/>
          <w:sz w:val="26"/>
          <w:szCs w:val="26"/>
          <w:rtl/>
        </w:rPr>
        <w:br/>
        <w:t>1</w:t>
      </w:r>
      <w:r>
        <w:rPr>
          <w:rStyle w:val="big-number"/>
          <w:rFonts w:cs="FrankRuehl"/>
          <w:sz w:val="26"/>
          <w:szCs w:val="26"/>
          <w:rtl/>
        </w:rPr>
        <w:t>, והמועד לתשלומה יהיה עד שבועיים לאחר מועד הבחינה, במקום המועד הקבוע באותה תקנה; לא שולמה עד המועד האמור, לא תיבדק הבחינה</w:t>
      </w:r>
      <w:r>
        <w:rPr>
          <w:rStyle w:val="big-number"/>
          <w:rFonts w:cs="FrankRuehl" w:hint="cs"/>
          <w:sz w:val="26"/>
          <w:szCs w:val="26"/>
          <w:rtl/>
        </w:rPr>
        <w:t>.</w:t>
      </w:r>
    </w:p>
    <w:p w:rsidR="00236AD1" w:rsidRDefault="00236AD1">
      <w:pPr>
        <w:pStyle w:val="P00"/>
        <w:spacing w:before="72"/>
        <w:ind w:left="0" w:right="1134"/>
        <w:rPr>
          <w:rStyle w:val="default"/>
          <w:rFonts w:cs="FrankRuehl" w:hint="cs"/>
          <w:rtl/>
        </w:rPr>
      </w:pPr>
    </w:p>
    <w:p w:rsidR="00236AD1" w:rsidRDefault="00236AD1">
      <w:pPr>
        <w:pStyle w:val="P00"/>
        <w:spacing w:before="72"/>
        <w:ind w:left="0" w:right="1134"/>
        <w:rPr>
          <w:rStyle w:val="default"/>
          <w:rFonts w:cs="FrankRuehl" w:hint="cs"/>
          <w:rtl/>
        </w:rPr>
      </w:pPr>
    </w:p>
    <w:p w:rsidR="00236AD1" w:rsidRDefault="00236AD1">
      <w:pPr>
        <w:pStyle w:val="P00"/>
        <w:spacing w:before="72"/>
        <w:ind w:left="0" w:right="1134"/>
        <w:rPr>
          <w:rStyle w:val="default"/>
          <w:rFonts w:cs="FrankRuehl" w:hint="cs"/>
          <w:rtl/>
        </w:rPr>
      </w:pPr>
      <w:r>
        <w:rPr>
          <w:rStyle w:val="default"/>
          <w:rFonts w:cs="FrankRuehl" w:hint="cs"/>
          <w:rtl/>
        </w:rPr>
        <w:t>כ"ו בכסלו התשס"ו (27 בדצמבר 2005)</w:t>
      </w:r>
    </w:p>
    <w:p w:rsidR="00236AD1" w:rsidRDefault="00236AD1">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ab/>
        <w:t>אהוד אולמרט</w:t>
      </w:r>
    </w:p>
    <w:p w:rsidR="00236AD1" w:rsidRDefault="00236AD1">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Pr>
          <w:rStyle w:val="default"/>
          <w:rFonts w:cs="FrankRuehl" w:hint="cs"/>
          <w:sz w:val="22"/>
          <w:szCs w:val="22"/>
          <w:rtl/>
        </w:rPr>
        <w:tab/>
        <w:t>שר האוצר</w:t>
      </w:r>
    </w:p>
    <w:p w:rsidR="00236AD1" w:rsidRDefault="00236AD1">
      <w:pPr>
        <w:pStyle w:val="sig-1"/>
        <w:widowControl/>
        <w:tabs>
          <w:tab w:val="clear" w:pos="851"/>
          <w:tab w:val="clear" w:pos="4820"/>
          <w:tab w:val="center" w:pos="1134"/>
          <w:tab w:val="center" w:pos="4536"/>
          <w:tab w:val="center" w:pos="6237"/>
        </w:tabs>
        <w:spacing w:before="72"/>
        <w:ind w:left="0" w:right="1134"/>
        <w:rPr>
          <w:rFonts w:cs="FrankRuehl" w:hint="cs"/>
          <w:sz w:val="26"/>
          <w:szCs w:val="26"/>
          <w:rtl/>
        </w:rPr>
      </w:pPr>
    </w:p>
    <w:sectPr w:rsidR="00236AD1">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658FC" w:rsidRDefault="008658FC">
      <w:r>
        <w:separator/>
      </w:r>
    </w:p>
  </w:endnote>
  <w:endnote w:type="continuationSeparator" w:id="0">
    <w:p w:rsidR="008658FC" w:rsidRDefault="00865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6AD1" w:rsidRDefault="00236AD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236AD1" w:rsidRDefault="00236AD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36AD1" w:rsidRDefault="00236AD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T:\00000000-law\yael\06-01-08\999_551.doc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6AD1" w:rsidRDefault="00236AD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14365">
      <w:rPr>
        <w:rFonts w:hAnsi="FrankRuehl" w:cs="FrankRuehl"/>
        <w:noProof/>
        <w:sz w:val="24"/>
        <w:szCs w:val="24"/>
        <w:rtl/>
      </w:rPr>
      <w:t>1</w:t>
    </w:r>
    <w:r>
      <w:rPr>
        <w:rFonts w:hAnsi="FrankRuehl" w:cs="FrankRuehl"/>
        <w:sz w:val="24"/>
        <w:szCs w:val="24"/>
        <w:rtl/>
      </w:rPr>
      <w:fldChar w:fldCharType="end"/>
    </w:r>
  </w:p>
  <w:p w:rsidR="00236AD1" w:rsidRDefault="00236AD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36AD1" w:rsidRDefault="00236AD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T:\00000000-law\yael\06-01-08\999_551.doc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658FC" w:rsidRDefault="008658FC">
      <w:r>
        <w:separator/>
      </w:r>
    </w:p>
  </w:footnote>
  <w:footnote w:type="continuationSeparator" w:id="0">
    <w:p w:rsidR="008658FC" w:rsidRDefault="008658FC">
      <w:r>
        <w:continuationSeparator/>
      </w:r>
    </w:p>
  </w:footnote>
  <w:footnote w:id="1">
    <w:p w:rsidR="00236AD1" w:rsidRDefault="00236AD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Pr>
      </w:pPr>
      <w:r>
        <w:rPr>
          <w:rFonts w:cs="FrankRuehl"/>
        </w:rPr>
        <w:t>*</w:t>
      </w:r>
      <w:r>
        <w:rPr>
          <w:rFonts w:cs="FrankRuehl" w:hint="cs"/>
          <w:rtl/>
        </w:rPr>
        <w:t xml:space="preserve"> פורסם </w:t>
      </w:r>
      <w:hyperlink r:id="rId1" w:history="1">
        <w:r>
          <w:rPr>
            <w:rStyle w:val="Hyperlink"/>
            <w:rFonts w:cs="FrankRuehl" w:hint="cs"/>
            <w:rtl/>
          </w:rPr>
          <w:t>ק"ת תשס"ו מס' 6449</w:t>
        </w:r>
      </w:hyperlink>
      <w:r>
        <w:rPr>
          <w:rFonts w:cs="FrankRuehl" w:hint="cs"/>
          <w:rtl/>
        </w:rPr>
        <w:t xml:space="preserve"> מיום 29.12.2005 עמ' 297.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6AD1" w:rsidRDefault="00236AD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236AD1" w:rsidRDefault="00236AD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36AD1" w:rsidRDefault="00236AD1">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6AD1" w:rsidRDefault="00236AD1">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הסדרת העיסוק בייצוג על ידי יועצי מס (אגרות), תשס"ו-2005</w:t>
    </w:r>
  </w:p>
  <w:p w:rsidR="00236AD1" w:rsidRDefault="00236AD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36AD1" w:rsidRDefault="00236AD1">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971441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36AD1"/>
    <w:rsid w:val="00236AD1"/>
    <w:rsid w:val="002B3B7C"/>
    <w:rsid w:val="00594F1A"/>
    <w:rsid w:val="00814365"/>
    <w:rsid w:val="008658FC"/>
    <w:rsid w:val="008B6F24"/>
    <w:rsid w:val="008F74B0"/>
    <w:rsid w:val="00BD5B1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E0D8B364-37C0-490D-AAC6-057AC6CCA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paragraph" w:styleId="1">
    <w:name w:val="heading 1"/>
    <w:basedOn w:val="a"/>
    <w:next w:val="a"/>
    <w:qFormat/>
    <w:pPr>
      <w:keepNext/>
      <w:outlineLvl w:val="0"/>
    </w:pPr>
    <w:rPr>
      <w:rFonts w:cs="David"/>
      <w:vanish/>
      <w:sz w:val="20"/>
      <w:szCs w:val="2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paragraph" w:customStyle="1" w:styleId="header-2">
    <w:name w:val="header-2"/>
    <w:basedOn w:val="P00"/>
    <w:pPr>
      <w:keepNext/>
      <w:keepLines/>
      <w:tabs>
        <w:tab w:val="clear" w:pos="6259"/>
      </w:tabs>
      <w:spacing w:before="240"/>
      <w:jc w:val="center"/>
    </w:pPr>
    <w:rPr>
      <w:rFonts w:cs="Miriam"/>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44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2990</CharactersWithSpaces>
  <SharedDoc>false</SharedDoc>
  <HLinks>
    <vt:vector size="42" baseType="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8060933</vt:i4>
      </vt:variant>
      <vt:variant>
        <vt:i4>0</vt:i4>
      </vt:variant>
      <vt:variant>
        <vt:i4>0</vt:i4>
      </vt:variant>
      <vt:variant>
        <vt:i4>5</vt:i4>
      </vt:variant>
      <vt:variant>
        <vt:lpwstr>http://www.nevo.co.il/Law_word/law06/tak-6449.pdf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2023-06-05T20:23:00Z</dcterms:created>
  <dcterms:modified xsi:type="dcterms:W3CDTF">2023-06-05T20:23:00Z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הסדרת העיסוק בייצוג על ידי יועצי מס (אגרות), תשס"ו-2005</vt:lpwstr>
  </property>
  <property fmtid="{D5CDD505-2E9C-101B-9397-08002B2CF9AE}" pid="4" name="LAWNUMBER">
    <vt:lpwstr>0551</vt:lpwstr>
  </property>
  <property fmtid="{D5CDD505-2E9C-101B-9397-08002B2CF9AE}" pid="5" name="TYPE">
    <vt:lpwstr>01</vt:lpwstr>
  </property>
  <property fmtid="{D5CDD505-2E9C-101B-9397-08002B2CF9AE}" pid="6" name="CHNAME">
    <vt:lpwstr>מסים</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http://www.nevo.co.il/Law_word/law06/tak-6449.pdf;רשומות – תקנות כלליות#פורסם ק"ת תשס"ו מס' 6449#מיום 29.12.2005#עמ' 297</vt:lpwstr>
  </property>
  <property fmtid="{D5CDD505-2E9C-101B-9397-08002B2CF9AE}" pid="22" name="MEKOR_NAME1">
    <vt:lpwstr>חוק הסדרת העיסוק בייצוג על ידי יועצי מס</vt:lpwstr>
  </property>
  <property fmtid="{D5CDD505-2E9C-101B-9397-08002B2CF9AE}" pid="23" name="MEKOR_SAIF1">
    <vt:lpwstr>38XאX</vt:lpwstr>
  </property>
  <property fmtid="{D5CDD505-2E9C-101B-9397-08002B2CF9AE}" pid="24" name="NOSE11">
    <vt:lpwstr>מסים</vt:lpwstr>
  </property>
  <property fmtid="{D5CDD505-2E9C-101B-9397-08002B2CF9AE}" pid="25" name="NOSE21">
    <vt:lpwstr>מס הכנסה</vt:lpwstr>
  </property>
  <property fmtid="{D5CDD505-2E9C-101B-9397-08002B2CF9AE}" pid="26" name="NOSE31">
    <vt:lpwstr>יועצי מס</vt:lpwstr>
  </property>
  <property fmtid="{D5CDD505-2E9C-101B-9397-08002B2CF9AE}" pid="27" name="NOSE41">
    <vt:lpwstr/>
  </property>
  <property fmtid="{D5CDD505-2E9C-101B-9397-08002B2CF9AE}" pid="28" name="NOSE12">
    <vt:lpwstr>מסים</vt:lpwstr>
  </property>
  <property fmtid="{D5CDD505-2E9C-101B-9397-08002B2CF9AE}" pid="29" name="NOSE22">
    <vt:lpwstr>אגרות</vt:lpwstr>
  </property>
  <property fmtid="{D5CDD505-2E9C-101B-9397-08002B2CF9AE}" pid="30" name="NOSE32">
    <vt:lpwstr/>
  </property>
  <property fmtid="{D5CDD505-2E9C-101B-9397-08002B2CF9AE}" pid="31" name="NOSE42">
    <vt:lpwstr/>
  </property>
  <property fmtid="{D5CDD505-2E9C-101B-9397-08002B2CF9AE}" pid="32" name="NOSE13">
    <vt:lpwstr>משפט פרטי וכלכלה</vt:lpwstr>
  </property>
  <property fmtid="{D5CDD505-2E9C-101B-9397-08002B2CF9AE}" pid="33" name="NOSE23">
    <vt:lpwstr>הסדרת עיסוק</vt:lpwstr>
  </property>
  <property fmtid="{D5CDD505-2E9C-101B-9397-08002B2CF9AE}" pid="34" name="NOSE33">
    <vt:lpwstr>יועצי מס </vt:lpwstr>
  </property>
  <property fmtid="{D5CDD505-2E9C-101B-9397-08002B2CF9AE}" pid="35" name="NOSE43">
    <vt:lpwstr/>
  </property>
  <property fmtid="{D5CDD505-2E9C-101B-9397-08002B2CF9AE}" pid="36" name="NOSE14">
    <vt:lpwstr>רשויות ומשפט מנהלי</vt:lpwstr>
  </property>
  <property fmtid="{D5CDD505-2E9C-101B-9397-08002B2CF9AE}" pid="37" name="NOSE24">
    <vt:lpwstr>הסדרת עיסוק</vt:lpwstr>
  </property>
  <property fmtid="{D5CDD505-2E9C-101B-9397-08002B2CF9AE}" pid="38" name="NOSE34">
    <vt:lpwstr>יועצי מס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