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962F6" w14:textId="77777777" w:rsidR="00B41865" w:rsidRDefault="00B41865" w:rsidP="000D5056">
      <w:pPr>
        <w:pStyle w:val="big-header"/>
        <w:ind w:left="0" w:right="1134"/>
        <w:rPr>
          <w:rFonts w:cs="FrankRuehl"/>
          <w:sz w:val="32"/>
        </w:rPr>
      </w:pPr>
      <w:r>
        <w:rPr>
          <w:rFonts w:cs="FrankRuehl"/>
          <w:sz w:val="32"/>
          <w:rtl/>
        </w:rPr>
        <w:t>תקנות הספנות (ימאים) (פסילה על תנאי), תשל"ו</w:t>
      </w:r>
      <w:r w:rsidR="000D5056">
        <w:rPr>
          <w:rFonts w:cs="FrankRuehl" w:hint="cs"/>
          <w:sz w:val="32"/>
          <w:rtl/>
        </w:rPr>
        <w:t>-</w:t>
      </w:r>
      <w:r>
        <w:rPr>
          <w:rFonts w:cs="FrankRuehl"/>
          <w:sz w:val="32"/>
          <w:rtl/>
        </w:rPr>
        <w:t>1976</w:t>
      </w:r>
    </w:p>
    <w:p w14:paraId="63E64A03" w14:textId="77777777" w:rsidR="00C24D97" w:rsidRPr="00C24D97" w:rsidRDefault="00C24D97" w:rsidP="00C24D97">
      <w:pPr>
        <w:spacing w:line="320" w:lineRule="auto"/>
        <w:jc w:val="left"/>
        <w:rPr>
          <w:rFonts w:cs="FrankRuehl"/>
          <w:szCs w:val="26"/>
          <w:rtl/>
        </w:rPr>
      </w:pPr>
    </w:p>
    <w:p w14:paraId="14B23C58" w14:textId="77777777" w:rsidR="00561748" w:rsidRDefault="00561748" w:rsidP="00561748">
      <w:pPr>
        <w:spacing w:line="320" w:lineRule="auto"/>
        <w:jc w:val="left"/>
        <w:rPr>
          <w:rtl/>
        </w:rPr>
      </w:pPr>
    </w:p>
    <w:p w14:paraId="14C1BAFD" w14:textId="77777777" w:rsidR="00561748" w:rsidRDefault="00561748" w:rsidP="00561748">
      <w:pPr>
        <w:spacing w:line="320" w:lineRule="auto"/>
        <w:jc w:val="left"/>
        <w:rPr>
          <w:rFonts w:cs="FrankRuehl"/>
          <w:szCs w:val="26"/>
          <w:rtl/>
        </w:rPr>
      </w:pPr>
      <w:r w:rsidRPr="00561748">
        <w:rPr>
          <w:rFonts w:cs="Miriam"/>
          <w:szCs w:val="22"/>
          <w:rtl/>
        </w:rPr>
        <w:t>משפט פרטי וכלכלה</w:t>
      </w:r>
      <w:r w:rsidRPr="00561748">
        <w:rPr>
          <w:rFonts w:cs="FrankRuehl"/>
          <w:szCs w:val="26"/>
          <w:rtl/>
        </w:rPr>
        <w:t xml:space="preserve"> – הסדרת עיסוק – ימאים</w:t>
      </w:r>
    </w:p>
    <w:p w14:paraId="672F262B" w14:textId="77777777" w:rsidR="00561748" w:rsidRDefault="00561748" w:rsidP="00561748">
      <w:pPr>
        <w:spacing w:line="320" w:lineRule="auto"/>
        <w:jc w:val="left"/>
        <w:rPr>
          <w:rFonts w:cs="FrankRuehl"/>
          <w:szCs w:val="26"/>
          <w:rtl/>
        </w:rPr>
      </w:pPr>
      <w:r w:rsidRPr="00561748">
        <w:rPr>
          <w:rFonts w:cs="Miriam"/>
          <w:szCs w:val="22"/>
          <w:rtl/>
        </w:rPr>
        <w:t>רשויות ומשפט מנהלי</w:t>
      </w:r>
      <w:r w:rsidRPr="00561748">
        <w:rPr>
          <w:rFonts w:cs="FrankRuehl"/>
          <w:szCs w:val="26"/>
          <w:rtl/>
        </w:rPr>
        <w:t xml:space="preserve"> – הסדרת עיסוק – ימאים</w:t>
      </w:r>
    </w:p>
    <w:p w14:paraId="16D82A8C" w14:textId="77777777" w:rsidR="00C24D97" w:rsidRPr="00561748" w:rsidRDefault="00561748" w:rsidP="00561748">
      <w:pPr>
        <w:spacing w:line="320" w:lineRule="auto"/>
        <w:jc w:val="left"/>
        <w:rPr>
          <w:rFonts w:cs="Miriam"/>
          <w:szCs w:val="22"/>
          <w:rtl/>
        </w:rPr>
      </w:pPr>
      <w:r w:rsidRPr="00561748">
        <w:rPr>
          <w:rFonts w:cs="Miriam"/>
          <w:szCs w:val="22"/>
          <w:rtl/>
        </w:rPr>
        <w:t>רשויות ומשפט מנהלי</w:t>
      </w:r>
      <w:r w:rsidRPr="00561748">
        <w:rPr>
          <w:rFonts w:cs="FrankRuehl"/>
          <w:szCs w:val="26"/>
          <w:rtl/>
        </w:rPr>
        <w:t xml:space="preserve"> – תשתיות – ספנות ונמלים – ימאים</w:t>
      </w:r>
    </w:p>
    <w:p w14:paraId="7DE4F80D" w14:textId="77777777" w:rsidR="00B41865" w:rsidRDefault="00B41865">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B41865" w14:paraId="5FB2D830" w14:textId="77777777">
        <w:tblPrEx>
          <w:tblCellMar>
            <w:top w:w="0" w:type="dxa"/>
            <w:bottom w:w="0" w:type="dxa"/>
          </w:tblCellMar>
        </w:tblPrEx>
        <w:tc>
          <w:tcPr>
            <w:tcW w:w="850" w:type="dxa"/>
          </w:tcPr>
          <w:p w14:paraId="540CF798" w14:textId="77777777" w:rsidR="00B41865" w:rsidRDefault="00B41865">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0D5056">
              <w:rPr>
                <w:noProof/>
                <w:sz w:val="24"/>
                <w:rtl/>
              </w:rPr>
              <w:t>2</w:t>
            </w:r>
            <w:r>
              <w:rPr>
                <w:sz w:val="24"/>
                <w:rtl/>
              </w:rPr>
              <w:fldChar w:fldCharType="end"/>
            </w:r>
          </w:p>
        </w:tc>
        <w:tc>
          <w:tcPr>
            <w:tcW w:w="567" w:type="dxa"/>
          </w:tcPr>
          <w:p w14:paraId="10835937" w14:textId="77777777" w:rsidR="00B41865" w:rsidRDefault="00B41865">
            <w:pPr>
              <w:spacing w:line="240" w:lineRule="auto"/>
              <w:rPr>
                <w:sz w:val="24"/>
              </w:rPr>
            </w:pPr>
            <w:hyperlink w:anchor="Seif0" w:tooltip="הגדרות" w:history="1">
              <w:r>
                <w:rPr>
                  <w:rStyle w:val="Hyperlink"/>
                </w:rPr>
                <w:t>Go</w:t>
              </w:r>
            </w:hyperlink>
          </w:p>
        </w:tc>
        <w:tc>
          <w:tcPr>
            <w:tcW w:w="5669" w:type="dxa"/>
          </w:tcPr>
          <w:p w14:paraId="1A02420A" w14:textId="77777777" w:rsidR="00B41865" w:rsidRDefault="00B41865">
            <w:pPr>
              <w:spacing w:line="240" w:lineRule="auto"/>
              <w:rPr>
                <w:sz w:val="24"/>
                <w:rtl/>
              </w:rPr>
            </w:pPr>
            <w:r>
              <w:rPr>
                <w:sz w:val="24"/>
                <w:rtl/>
              </w:rPr>
              <w:t>הגדרות</w:t>
            </w:r>
          </w:p>
        </w:tc>
        <w:tc>
          <w:tcPr>
            <w:tcW w:w="1247" w:type="dxa"/>
          </w:tcPr>
          <w:p w14:paraId="63AC2FCE" w14:textId="77777777" w:rsidR="00B41865" w:rsidRDefault="00B41865">
            <w:pPr>
              <w:spacing w:line="240" w:lineRule="auto"/>
              <w:rPr>
                <w:sz w:val="24"/>
              </w:rPr>
            </w:pPr>
            <w:r>
              <w:rPr>
                <w:sz w:val="24"/>
                <w:rtl/>
              </w:rPr>
              <w:t xml:space="preserve">סעיף 1 </w:t>
            </w:r>
          </w:p>
        </w:tc>
      </w:tr>
      <w:tr w:rsidR="00B41865" w14:paraId="5AC1358A" w14:textId="77777777">
        <w:tblPrEx>
          <w:tblCellMar>
            <w:top w:w="0" w:type="dxa"/>
            <w:bottom w:w="0" w:type="dxa"/>
          </w:tblCellMar>
        </w:tblPrEx>
        <w:tc>
          <w:tcPr>
            <w:tcW w:w="850" w:type="dxa"/>
          </w:tcPr>
          <w:p w14:paraId="6B1C87EB" w14:textId="77777777" w:rsidR="00B41865" w:rsidRDefault="00B41865">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0D5056">
              <w:rPr>
                <w:noProof/>
                <w:sz w:val="24"/>
                <w:rtl/>
              </w:rPr>
              <w:t>2</w:t>
            </w:r>
            <w:r>
              <w:rPr>
                <w:sz w:val="24"/>
                <w:rtl/>
              </w:rPr>
              <w:fldChar w:fldCharType="end"/>
            </w:r>
          </w:p>
        </w:tc>
        <w:tc>
          <w:tcPr>
            <w:tcW w:w="567" w:type="dxa"/>
          </w:tcPr>
          <w:p w14:paraId="40974472" w14:textId="77777777" w:rsidR="00B41865" w:rsidRDefault="00B41865">
            <w:pPr>
              <w:spacing w:line="240" w:lineRule="auto"/>
              <w:rPr>
                <w:sz w:val="24"/>
              </w:rPr>
            </w:pPr>
            <w:hyperlink w:anchor="Seif1" w:tooltip="עבירה נוספת תנאי לביצוע של פסילה על תנאי" w:history="1">
              <w:r>
                <w:rPr>
                  <w:rStyle w:val="Hyperlink"/>
                </w:rPr>
                <w:t>Go</w:t>
              </w:r>
            </w:hyperlink>
          </w:p>
        </w:tc>
        <w:tc>
          <w:tcPr>
            <w:tcW w:w="5669" w:type="dxa"/>
          </w:tcPr>
          <w:p w14:paraId="0629AFD8" w14:textId="77777777" w:rsidR="00B41865" w:rsidRDefault="00B41865">
            <w:pPr>
              <w:spacing w:line="240" w:lineRule="auto"/>
              <w:rPr>
                <w:sz w:val="24"/>
                <w:rtl/>
              </w:rPr>
            </w:pPr>
            <w:r>
              <w:rPr>
                <w:sz w:val="24"/>
                <w:rtl/>
              </w:rPr>
              <w:t>עבירה נוספת תנאי לביצוע של פסילה על תנאי</w:t>
            </w:r>
          </w:p>
        </w:tc>
        <w:tc>
          <w:tcPr>
            <w:tcW w:w="1247" w:type="dxa"/>
          </w:tcPr>
          <w:p w14:paraId="084BB090" w14:textId="77777777" w:rsidR="00B41865" w:rsidRDefault="00B41865">
            <w:pPr>
              <w:spacing w:line="240" w:lineRule="auto"/>
              <w:rPr>
                <w:sz w:val="24"/>
              </w:rPr>
            </w:pPr>
            <w:r>
              <w:rPr>
                <w:sz w:val="24"/>
                <w:rtl/>
              </w:rPr>
              <w:t xml:space="preserve">סעיף 2 </w:t>
            </w:r>
          </w:p>
        </w:tc>
      </w:tr>
      <w:tr w:rsidR="00B41865" w14:paraId="00851BD3" w14:textId="77777777">
        <w:tblPrEx>
          <w:tblCellMar>
            <w:top w:w="0" w:type="dxa"/>
            <w:bottom w:w="0" w:type="dxa"/>
          </w:tblCellMar>
        </w:tblPrEx>
        <w:tc>
          <w:tcPr>
            <w:tcW w:w="850" w:type="dxa"/>
          </w:tcPr>
          <w:p w14:paraId="412FD5EF" w14:textId="77777777" w:rsidR="00B41865" w:rsidRDefault="00B41865">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0D5056">
              <w:rPr>
                <w:noProof/>
                <w:sz w:val="24"/>
                <w:rtl/>
              </w:rPr>
              <w:t>2</w:t>
            </w:r>
            <w:r>
              <w:rPr>
                <w:sz w:val="24"/>
                <w:rtl/>
              </w:rPr>
              <w:fldChar w:fldCharType="end"/>
            </w:r>
          </w:p>
        </w:tc>
        <w:tc>
          <w:tcPr>
            <w:tcW w:w="567" w:type="dxa"/>
          </w:tcPr>
          <w:p w14:paraId="632F13C1" w14:textId="77777777" w:rsidR="00B41865" w:rsidRDefault="00B41865">
            <w:pPr>
              <w:spacing w:line="240" w:lineRule="auto"/>
              <w:rPr>
                <w:sz w:val="24"/>
              </w:rPr>
            </w:pPr>
            <w:hyperlink w:anchor="Seif2" w:tooltip="קביעת העבירות הנוספות" w:history="1">
              <w:r>
                <w:rPr>
                  <w:rStyle w:val="Hyperlink"/>
                </w:rPr>
                <w:t>Go</w:t>
              </w:r>
            </w:hyperlink>
          </w:p>
        </w:tc>
        <w:tc>
          <w:tcPr>
            <w:tcW w:w="5669" w:type="dxa"/>
          </w:tcPr>
          <w:p w14:paraId="2015BC77" w14:textId="77777777" w:rsidR="00B41865" w:rsidRDefault="00B41865">
            <w:pPr>
              <w:spacing w:line="240" w:lineRule="auto"/>
              <w:rPr>
                <w:sz w:val="24"/>
                <w:rtl/>
              </w:rPr>
            </w:pPr>
            <w:r>
              <w:rPr>
                <w:sz w:val="24"/>
                <w:rtl/>
              </w:rPr>
              <w:t>קביעת העבירות הנוספות</w:t>
            </w:r>
          </w:p>
        </w:tc>
        <w:tc>
          <w:tcPr>
            <w:tcW w:w="1247" w:type="dxa"/>
          </w:tcPr>
          <w:p w14:paraId="7CEBE38A" w14:textId="77777777" w:rsidR="00B41865" w:rsidRDefault="00B41865">
            <w:pPr>
              <w:spacing w:line="240" w:lineRule="auto"/>
              <w:rPr>
                <w:sz w:val="24"/>
              </w:rPr>
            </w:pPr>
            <w:r>
              <w:rPr>
                <w:sz w:val="24"/>
                <w:rtl/>
              </w:rPr>
              <w:t xml:space="preserve">סעיף 3 </w:t>
            </w:r>
          </w:p>
        </w:tc>
      </w:tr>
      <w:tr w:rsidR="00B41865" w14:paraId="0AFD6AA9" w14:textId="77777777">
        <w:tblPrEx>
          <w:tblCellMar>
            <w:top w:w="0" w:type="dxa"/>
            <w:bottom w:w="0" w:type="dxa"/>
          </w:tblCellMar>
        </w:tblPrEx>
        <w:tc>
          <w:tcPr>
            <w:tcW w:w="850" w:type="dxa"/>
          </w:tcPr>
          <w:p w14:paraId="0D891658" w14:textId="77777777" w:rsidR="00B41865" w:rsidRDefault="00B41865">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0D5056">
              <w:rPr>
                <w:noProof/>
                <w:sz w:val="24"/>
                <w:rtl/>
              </w:rPr>
              <w:t>2</w:t>
            </w:r>
            <w:r>
              <w:rPr>
                <w:sz w:val="24"/>
                <w:rtl/>
              </w:rPr>
              <w:fldChar w:fldCharType="end"/>
            </w:r>
          </w:p>
        </w:tc>
        <w:tc>
          <w:tcPr>
            <w:tcW w:w="567" w:type="dxa"/>
          </w:tcPr>
          <w:p w14:paraId="5F2AD348" w14:textId="77777777" w:rsidR="00B41865" w:rsidRDefault="00B41865">
            <w:pPr>
              <w:spacing w:line="240" w:lineRule="auto"/>
              <w:rPr>
                <w:sz w:val="24"/>
              </w:rPr>
            </w:pPr>
            <w:hyperlink w:anchor="Seif3" w:tooltip="תקופת התנאי" w:history="1">
              <w:r>
                <w:rPr>
                  <w:rStyle w:val="Hyperlink"/>
                </w:rPr>
                <w:t>Go</w:t>
              </w:r>
            </w:hyperlink>
          </w:p>
        </w:tc>
        <w:tc>
          <w:tcPr>
            <w:tcW w:w="5669" w:type="dxa"/>
          </w:tcPr>
          <w:p w14:paraId="08F86809" w14:textId="77777777" w:rsidR="00B41865" w:rsidRDefault="00B41865">
            <w:pPr>
              <w:spacing w:line="240" w:lineRule="auto"/>
              <w:rPr>
                <w:sz w:val="24"/>
                <w:rtl/>
              </w:rPr>
            </w:pPr>
            <w:r>
              <w:rPr>
                <w:sz w:val="24"/>
                <w:rtl/>
              </w:rPr>
              <w:t>תקופת התנאי</w:t>
            </w:r>
          </w:p>
        </w:tc>
        <w:tc>
          <w:tcPr>
            <w:tcW w:w="1247" w:type="dxa"/>
          </w:tcPr>
          <w:p w14:paraId="3CBBC83C" w14:textId="77777777" w:rsidR="00B41865" w:rsidRDefault="00B41865">
            <w:pPr>
              <w:spacing w:line="240" w:lineRule="auto"/>
              <w:rPr>
                <w:sz w:val="24"/>
              </w:rPr>
            </w:pPr>
            <w:r>
              <w:rPr>
                <w:sz w:val="24"/>
                <w:rtl/>
              </w:rPr>
              <w:t xml:space="preserve">סעיף 4 </w:t>
            </w:r>
          </w:p>
        </w:tc>
      </w:tr>
      <w:tr w:rsidR="00B41865" w14:paraId="27B7A51B" w14:textId="77777777">
        <w:tblPrEx>
          <w:tblCellMar>
            <w:top w:w="0" w:type="dxa"/>
            <w:bottom w:w="0" w:type="dxa"/>
          </w:tblCellMar>
        </w:tblPrEx>
        <w:tc>
          <w:tcPr>
            <w:tcW w:w="850" w:type="dxa"/>
          </w:tcPr>
          <w:p w14:paraId="36F18619" w14:textId="77777777" w:rsidR="00B41865" w:rsidRDefault="00B41865">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0D5056">
              <w:rPr>
                <w:noProof/>
                <w:sz w:val="24"/>
                <w:rtl/>
              </w:rPr>
              <w:t>2</w:t>
            </w:r>
            <w:r>
              <w:rPr>
                <w:sz w:val="24"/>
                <w:rtl/>
              </w:rPr>
              <w:fldChar w:fldCharType="end"/>
            </w:r>
          </w:p>
        </w:tc>
        <w:tc>
          <w:tcPr>
            <w:tcW w:w="567" w:type="dxa"/>
          </w:tcPr>
          <w:p w14:paraId="6AB24977" w14:textId="77777777" w:rsidR="00B41865" w:rsidRDefault="00B41865">
            <w:pPr>
              <w:spacing w:line="240" w:lineRule="auto"/>
              <w:rPr>
                <w:sz w:val="24"/>
              </w:rPr>
            </w:pPr>
            <w:hyperlink w:anchor="Seif4" w:tooltip="אין לפסול על תנאי על עבירה נוספת" w:history="1">
              <w:r>
                <w:rPr>
                  <w:rStyle w:val="Hyperlink"/>
                </w:rPr>
                <w:t>Go</w:t>
              </w:r>
            </w:hyperlink>
          </w:p>
        </w:tc>
        <w:tc>
          <w:tcPr>
            <w:tcW w:w="5669" w:type="dxa"/>
          </w:tcPr>
          <w:p w14:paraId="54B95902" w14:textId="77777777" w:rsidR="00B41865" w:rsidRDefault="00B41865">
            <w:pPr>
              <w:spacing w:line="240" w:lineRule="auto"/>
              <w:rPr>
                <w:sz w:val="24"/>
                <w:rtl/>
              </w:rPr>
            </w:pPr>
            <w:r>
              <w:rPr>
                <w:sz w:val="24"/>
                <w:rtl/>
              </w:rPr>
              <w:t>אין לפסול על תנאי על עבירה נוספת</w:t>
            </w:r>
          </w:p>
        </w:tc>
        <w:tc>
          <w:tcPr>
            <w:tcW w:w="1247" w:type="dxa"/>
          </w:tcPr>
          <w:p w14:paraId="65988874" w14:textId="77777777" w:rsidR="00B41865" w:rsidRDefault="00B41865">
            <w:pPr>
              <w:spacing w:line="240" w:lineRule="auto"/>
              <w:rPr>
                <w:sz w:val="24"/>
              </w:rPr>
            </w:pPr>
            <w:r>
              <w:rPr>
                <w:sz w:val="24"/>
                <w:rtl/>
              </w:rPr>
              <w:t xml:space="preserve">סעיף 5 </w:t>
            </w:r>
          </w:p>
        </w:tc>
      </w:tr>
      <w:tr w:rsidR="00B41865" w14:paraId="6C6303F8" w14:textId="77777777">
        <w:tblPrEx>
          <w:tblCellMar>
            <w:top w:w="0" w:type="dxa"/>
            <w:bottom w:w="0" w:type="dxa"/>
          </w:tblCellMar>
        </w:tblPrEx>
        <w:tc>
          <w:tcPr>
            <w:tcW w:w="850" w:type="dxa"/>
          </w:tcPr>
          <w:p w14:paraId="4B45C3EA" w14:textId="77777777" w:rsidR="00B41865" w:rsidRDefault="00B41865">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0D5056">
              <w:rPr>
                <w:noProof/>
                <w:sz w:val="24"/>
                <w:rtl/>
              </w:rPr>
              <w:t>2</w:t>
            </w:r>
            <w:r>
              <w:rPr>
                <w:sz w:val="24"/>
                <w:rtl/>
              </w:rPr>
              <w:fldChar w:fldCharType="end"/>
            </w:r>
          </w:p>
        </w:tc>
        <w:tc>
          <w:tcPr>
            <w:tcW w:w="567" w:type="dxa"/>
          </w:tcPr>
          <w:p w14:paraId="4E79D04F" w14:textId="77777777" w:rsidR="00B41865" w:rsidRDefault="00B41865">
            <w:pPr>
              <w:spacing w:line="240" w:lineRule="auto"/>
              <w:rPr>
                <w:sz w:val="24"/>
              </w:rPr>
            </w:pPr>
            <w:hyperlink w:anchor="Seif5" w:tooltip="הפעלת הפסילה על תנאי — כיצד" w:history="1">
              <w:r>
                <w:rPr>
                  <w:rStyle w:val="Hyperlink"/>
                </w:rPr>
                <w:t>Go</w:t>
              </w:r>
            </w:hyperlink>
          </w:p>
        </w:tc>
        <w:tc>
          <w:tcPr>
            <w:tcW w:w="5669" w:type="dxa"/>
          </w:tcPr>
          <w:p w14:paraId="32393A8C" w14:textId="77777777" w:rsidR="00B41865" w:rsidRDefault="00B41865">
            <w:pPr>
              <w:spacing w:line="240" w:lineRule="auto"/>
              <w:rPr>
                <w:sz w:val="24"/>
                <w:rtl/>
              </w:rPr>
            </w:pPr>
            <w:r>
              <w:rPr>
                <w:sz w:val="24"/>
                <w:rtl/>
              </w:rPr>
              <w:t>הפעלת הפסילה על תנאי — כיצד</w:t>
            </w:r>
          </w:p>
        </w:tc>
        <w:tc>
          <w:tcPr>
            <w:tcW w:w="1247" w:type="dxa"/>
          </w:tcPr>
          <w:p w14:paraId="5887CA26" w14:textId="77777777" w:rsidR="00B41865" w:rsidRDefault="00B41865">
            <w:pPr>
              <w:spacing w:line="240" w:lineRule="auto"/>
              <w:rPr>
                <w:sz w:val="24"/>
              </w:rPr>
            </w:pPr>
            <w:r>
              <w:rPr>
                <w:sz w:val="24"/>
                <w:rtl/>
              </w:rPr>
              <w:t xml:space="preserve">סעיף 6 </w:t>
            </w:r>
          </w:p>
        </w:tc>
      </w:tr>
      <w:tr w:rsidR="00B41865" w14:paraId="0DA704E2" w14:textId="77777777">
        <w:tblPrEx>
          <w:tblCellMar>
            <w:top w:w="0" w:type="dxa"/>
            <w:bottom w:w="0" w:type="dxa"/>
          </w:tblCellMar>
        </w:tblPrEx>
        <w:tc>
          <w:tcPr>
            <w:tcW w:w="850" w:type="dxa"/>
          </w:tcPr>
          <w:p w14:paraId="2D9C3E13" w14:textId="77777777" w:rsidR="00B41865" w:rsidRDefault="00B41865">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0D5056">
              <w:rPr>
                <w:noProof/>
                <w:sz w:val="24"/>
                <w:rtl/>
              </w:rPr>
              <w:t>2</w:t>
            </w:r>
            <w:r>
              <w:rPr>
                <w:sz w:val="24"/>
                <w:rtl/>
              </w:rPr>
              <w:fldChar w:fldCharType="end"/>
            </w:r>
          </w:p>
        </w:tc>
        <w:tc>
          <w:tcPr>
            <w:tcW w:w="567" w:type="dxa"/>
          </w:tcPr>
          <w:p w14:paraId="5E0637D7" w14:textId="77777777" w:rsidR="00B41865" w:rsidRDefault="00B41865">
            <w:pPr>
              <w:spacing w:line="240" w:lineRule="auto"/>
              <w:rPr>
                <w:sz w:val="24"/>
              </w:rPr>
            </w:pPr>
            <w:hyperlink w:anchor="Seif6" w:tooltip="הארכת תקופת התנאי" w:history="1">
              <w:r>
                <w:rPr>
                  <w:rStyle w:val="Hyperlink"/>
                </w:rPr>
                <w:t>Go</w:t>
              </w:r>
            </w:hyperlink>
          </w:p>
        </w:tc>
        <w:tc>
          <w:tcPr>
            <w:tcW w:w="5669" w:type="dxa"/>
          </w:tcPr>
          <w:p w14:paraId="2F992440" w14:textId="77777777" w:rsidR="00B41865" w:rsidRDefault="00B41865">
            <w:pPr>
              <w:spacing w:line="240" w:lineRule="auto"/>
              <w:rPr>
                <w:sz w:val="24"/>
                <w:rtl/>
              </w:rPr>
            </w:pPr>
            <w:r>
              <w:rPr>
                <w:sz w:val="24"/>
                <w:rtl/>
              </w:rPr>
              <w:t>הארכת תקופת התנאי</w:t>
            </w:r>
          </w:p>
        </w:tc>
        <w:tc>
          <w:tcPr>
            <w:tcW w:w="1247" w:type="dxa"/>
          </w:tcPr>
          <w:p w14:paraId="2110695E" w14:textId="77777777" w:rsidR="00B41865" w:rsidRDefault="00B41865">
            <w:pPr>
              <w:spacing w:line="240" w:lineRule="auto"/>
              <w:rPr>
                <w:sz w:val="24"/>
              </w:rPr>
            </w:pPr>
            <w:r>
              <w:rPr>
                <w:sz w:val="24"/>
                <w:rtl/>
              </w:rPr>
              <w:t xml:space="preserve">סעיף 7 </w:t>
            </w:r>
          </w:p>
        </w:tc>
      </w:tr>
      <w:tr w:rsidR="00B41865" w14:paraId="6787FE57" w14:textId="77777777">
        <w:tblPrEx>
          <w:tblCellMar>
            <w:top w:w="0" w:type="dxa"/>
            <w:bottom w:w="0" w:type="dxa"/>
          </w:tblCellMar>
        </w:tblPrEx>
        <w:tc>
          <w:tcPr>
            <w:tcW w:w="850" w:type="dxa"/>
          </w:tcPr>
          <w:p w14:paraId="5B72FB63" w14:textId="77777777" w:rsidR="00B41865" w:rsidRDefault="00B41865">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sidR="000D5056">
              <w:rPr>
                <w:noProof/>
                <w:sz w:val="24"/>
                <w:rtl/>
              </w:rPr>
              <w:t>2</w:t>
            </w:r>
            <w:r>
              <w:rPr>
                <w:sz w:val="24"/>
                <w:rtl/>
              </w:rPr>
              <w:fldChar w:fldCharType="end"/>
            </w:r>
          </w:p>
        </w:tc>
        <w:tc>
          <w:tcPr>
            <w:tcW w:w="567" w:type="dxa"/>
          </w:tcPr>
          <w:p w14:paraId="6522E206" w14:textId="77777777" w:rsidR="00B41865" w:rsidRDefault="00B41865">
            <w:pPr>
              <w:spacing w:line="240" w:lineRule="auto"/>
              <w:rPr>
                <w:sz w:val="24"/>
              </w:rPr>
            </w:pPr>
            <w:hyperlink w:anchor="Seif7" w:tooltip="דחיית הביצוע" w:history="1">
              <w:r>
                <w:rPr>
                  <w:rStyle w:val="Hyperlink"/>
                </w:rPr>
                <w:t>Go</w:t>
              </w:r>
            </w:hyperlink>
          </w:p>
        </w:tc>
        <w:tc>
          <w:tcPr>
            <w:tcW w:w="5669" w:type="dxa"/>
          </w:tcPr>
          <w:p w14:paraId="0645F0F3" w14:textId="77777777" w:rsidR="00B41865" w:rsidRDefault="00B41865">
            <w:pPr>
              <w:spacing w:line="240" w:lineRule="auto"/>
              <w:rPr>
                <w:sz w:val="24"/>
                <w:rtl/>
              </w:rPr>
            </w:pPr>
            <w:r>
              <w:rPr>
                <w:sz w:val="24"/>
                <w:rtl/>
              </w:rPr>
              <w:t>דחיית הביצוע</w:t>
            </w:r>
          </w:p>
        </w:tc>
        <w:tc>
          <w:tcPr>
            <w:tcW w:w="1247" w:type="dxa"/>
          </w:tcPr>
          <w:p w14:paraId="44395BEA" w14:textId="77777777" w:rsidR="00B41865" w:rsidRDefault="00B41865">
            <w:pPr>
              <w:spacing w:line="240" w:lineRule="auto"/>
              <w:rPr>
                <w:sz w:val="24"/>
              </w:rPr>
            </w:pPr>
            <w:r>
              <w:rPr>
                <w:sz w:val="24"/>
                <w:rtl/>
              </w:rPr>
              <w:t xml:space="preserve">סעיף 8 </w:t>
            </w:r>
          </w:p>
        </w:tc>
      </w:tr>
      <w:tr w:rsidR="00B41865" w14:paraId="742F58E6" w14:textId="77777777">
        <w:tblPrEx>
          <w:tblCellMar>
            <w:top w:w="0" w:type="dxa"/>
            <w:bottom w:w="0" w:type="dxa"/>
          </w:tblCellMar>
        </w:tblPrEx>
        <w:tc>
          <w:tcPr>
            <w:tcW w:w="850" w:type="dxa"/>
          </w:tcPr>
          <w:p w14:paraId="673543BE" w14:textId="77777777" w:rsidR="00B41865" w:rsidRDefault="00B41865">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sidR="000D5056">
              <w:rPr>
                <w:noProof/>
                <w:sz w:val="24"/>
                <w:rtl/>
              </w:rPr>
              <w:t>2</w:t>
            </w:r>
            <w:r>
              <w:rPr>
                <w:sz w:val="24"/>
                <w:rtl/>
              </w:rPr>
              <w:fldChar w:fldCharType="end"/>
            </w:r>
          </w:p>
        </w:tc>
        <w:tc>
          <w:tcPr>
            <w:tcW w:w="567" w:type="dxa"/>
          </w:tcPr>
          <w:p w14:paraId="0174BEB2" w14:textId="77777777" w:rsidR="00B41865" w:rsidRDefault="00B41865">
            <w:pPr>
              <w:spacing w:line="240" w:lineRule="auto"/>
              <w:rPr>
                <w:sz w:val="24"/>
              </w:rPr>
            </w:pPr>
            <w:hyperlink w:anchor="Seif8" w:tooltip="סמכויות בית המשפט לימאות" w:history="1">
              <w:r>
                <w:rPr>
                  <w:rStyle w:val="Hyperlink"/>
                </w:rPr>
                <w:t>Go</w:t>
              </w:r>
            </w:hyperlink>
          </w:p>
        </w:tc>
        <w:tc>
          <w:tcPr>
            <w:tcW w:w="5669" w:type="dxa"/>
          </w:tcPr>
          <w:p w14:paraId="76C47100" w14:textId="77777777" w:rsidR="00B41865" w:rsidRDefault="00B41865">
            <w:pPr>
              <w:spacing w:line="240" w:lineRule="auto"/>
              <w:rPr>
                <w:sz w:val="24"/>
                <w:rtl/>
              </w:rPr>
            </w:pPr>
            <w:r>
              <w:rPr>
                <w:sz w:val="24"/>
                <w:rtl/>
              </w:rPr>
              <w:t>סמכויות בית המשפט לימאות</w:t>
            </w:r>
          </w:p>
        </w:tc>
        <w:tc>
          <w:tcPr>
            <w:tcW w:w="1247" w:type="dxa"/>
          </w:tcPr>
          <w:p w14:paraId="693011FF" w14:textId="77777777" w:rsidR="00B41865" w:rsidRDefault="00B41865">
            <w:pPr>
              <w:spacing w:line="240" w:lineRule="auto"/>
              <w:rPr>
                <w:sz w:val="24"/>
              </w:rPr>
            </w:pPr>
            <w:r>
              <w:rPr>
                <w:sz w:val="24"/>
                <w:rtl/>
              </w:rPr>
              <w:t xml:space="preserve">סעיף 9 </w:t>
            </w:r>
          </w:p>
        </w:tc>
      </w:tr>
      <w:tr w:rsidR="00B41865" w14:paraId="635D1EB5" w14:textId="77777777">
        <w:tblPrEx>
          <w:tblCellMar>
            <w:top w:w="0" w:type="dxa"/>
            <w:bottom w:w="0" w:type="dxa"/>
          </w:tblCellMar>
        </w:tblPrEx>
        <w:tc>
          <w:tcPr>
            <w:tcW w:w="850" w:type="dxa"/>
          </w:tcPr>
          <w:p w14:paraId="577253A8" w14:textId="77777777" w:rsidR="00B41865" w:rsidRDefault="00B41865">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sidR="000D5056">
              <w:rPr>
                <w:noProof/>
                <w:sz w:val="24"/>
                <w:rtl/>
              </w:rPr>
              <w:t>2</w:t>
            </w:r>
            <w:r>
              <w:rPr>
                <w:sz w:val="24"/>
                <w:rtl/>
              </w:rPr>
              <w:fldChar w:fldCharType="end"/>
            </w:r>
          </w:p>
        </w:tc>
        <w:tc>
          <w:tcPr>
            <w:tcW w:w="567" w:type="dxa"/>
          </w:tcPr>
          <w:p w14:paraId="580047A5" w14:textId="77777777" w:rsidR="00B41865" w:rsidRDefault="00B41865">
            <w:pPr>
              <w:spacing w:line="240" w:lineRule="auto"/>
              <w:rPr>
                <w:sz w:val="24"/>
              </w:rPr>
            </w:pPr>
            <w:hyperlink w:anchor="Seif9" w:tooltip="תחילה" w:history="1">
              <w:r>
                <w:rPr>
                  <w:rStyle w:val="Hyperlink"/>
                </w:rPr>
                <w:t>Go</w:t>
              </w:r>
            </w:hyperlink>
          </w:p>
        </w:tc>
        <w:tc>
          <w:tcPr>
            <w:tcW w:w="5669" w:type="dxa"/>
          </w:tcPr>
          <w:p w14:paraId="1DC96933" w14:textId="77777777" w:rsidR="00B41865" w:rsidRDefault="00B41865">
            <w:pPr>
              <w:spacing w:line="240" w:lineRule="auto"/>
              <w:rPr>
                <w:sz w:val="24"/>
                <w:rtl/>
              </w:rPr>
            </w:pPr>
            <w:r>
              <w:rPr>
                <w:sz w:val="24"/>
                <w:rtl/>
              </w:rPr>
              <w:t>תחילה</w:t>
            </w:r>
          </w:p>
        </w:tc>
        <w:tc>
          <w:tcPr>
            <w:tcW w:w="1247" w:type="dxa"/>
          </w:tcPr>
          <w:p w14:paraId="52D57E5A" w14:textId="77777777" w:rsidR="00B41865" w:rsidRDefault="00B41865">
            <w:pPr>
              <w:spacing w:line="240" w:lineRule="auto"/>
              <w:rPr>
                <w:sz w:val="24"/>
              </w:rPr>
            </w:pPr>
            <w:r>
              <w:rPr>
                <w:sz w:val="24"/>
                <w:rtl/>
              </w:rPr>
              <w:t xml:space="preserve">סעיף 10 </w:t>
            </w:r>
          </w:p>
        </w:tc>
      </w:tr>
    </w:tbl>
    <w:p w14:paraId="066FE1B2" w14:textId="77777777" w:rsidR="00B41865" w:rsidRDefault="00B41865">
      <w:pPr>
        <w:pStyle w:val="big-header"/>
        <w:ind w:left="0" w:right="1134"/>
        <w:rPr>
          <w:rFonts w:cs="FrankRuehl"/>
          <w:sz w:val="32"/>
          <w:rtl/>
        </w:rPr>
      </w:pPr>
    </w:p>
    <w:p w14:paraId="0D321846" w14:textId="77777777" w:rsidR="00B41865" w:rsidRDefault="00B41865" w:rsidP="00C24D97">
      <w:pPr>
        <w:pStyle w:val="big-header"/>
        <w:ind w:left="0" w:right="1134"/>
        <w:rPr>
          <w:rStyle w:val="default"/>
          <w:rFonts w:cs="FrankRuehl" w:hint="cs"/>
          <w:rtl/>
        </w:rPr>
      </w:pPr>
      <w:r>
        <w:rPr>
          <w:rtl/>
        </w:rPr>
        <w:br w:type="page"/>
      </w:r>
      <w:r>
        <w:rPr>
          <w:rFonts w:cs="FrankRuehl"/>
          <w:sz w:val="32"/>
          <w:rtl/>
        </w:rPr>
        <w:lastRenderedPageBreak/>
        <w:t>תק</w:t>
      </w:r>
      <w:r>
        <w:rPr>
          <w:rFonts w:cs="FrankRuehl" w:hint="cs"/>
          <w:sz w:val="32"/>
          <w:rtl/>
        </w:rPr>
        <w:t>נות הספנות (ימאים) (פסילה על תנאי), תשל"ו</w:t>
      </w:r>
      <w:r w:rsidR="000D5056">
        <w:rPr>
          <w:rFonts w:cs="FrankRuehl" w:hint="cs"/>
          <w:sz w:val="32"/>
          <w:rtl/>
        </w:rPr>
        <w:t>-</w:t>
      </w:r>
      <w:r>
        <w:rPr>
          <w:rFonts w:cs="FrankRuehl"/>
          <w:sz w:val="32"/>
          <w:rtl/>
        </w:rPr>
        <w:t>1976</w:t>
      </w:r>
      <w:r w:rsidR="000D5056">
        <w:rPr>
          <w:rStyle w:val="a6"/>
          <w:rFonts w:cs="FrankRuehl"/>
          <w:sz w:val="32"/>
          <w:rtl/>
        </w:rPr>
        <w:footnoteReference w:customMarkFollows="1" w:id="1"/>
        <w:t>*</w:t>
      </w:r>
    </w:p>
    <w:p w14:paraId="55D9E828" w14:textId="77777777" w:rsidR="00B41865" w:rsidRDefault="00B41865" w:rsidP="000D5056">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סעיף 151 לחוק הספנות (ימאים), תשל"ג</w:t>
      </w:r>
      <w:r w:rsidR="000D5056">
        <w:rPr>
          <w:rStyle w:val="default"/>
          <w:rFonts w:cs="FrankRuehl" w:hint="cs"/>
          <w:rtl/>
        </w:rPr>
        <w:t>-</w:t>
      </w:r>
      <w:r>
        <w:rPr>
          <w:rStyle w:val="default"/>
          <w:rFonts w:cs="FrankRuehl"/>
          <w:rtl/>
        </w:rPr>
        <w:t xml:space="preserve">1973, </w:t>
      </w:r>
      <w:r>
        <w:rPr>
          <w:rStyle w:val="default"/>
          <w:rFonts w:cs="FrankRuehl" w:hint="cs"/>
          <w:rtl/>
        </w:rPr>
        <w:t>אני מתקין תקנות אלה:</w:t>
      </w:r>
    </w:p>
    <w:p w14:paraId="23AC1F40" w14:textId="77777777" w:rsidR="00B41865" w:rsidRDefault="00B41865">
      <w:pPr>
        <w:pStyle w:val="P00"/>
        <w:spacing w:before="72"/>
        <w:ind w:left="0" w:right="1134"/>
        <w:rPr>
          <w:rStyle w:val="default"/>
          <w:rFonts w:cs="FrankRuehl" w:hint="cs"/>
          <w:rtl/>
        </w:rPr>
      </w:pPr>
      <w:bookmarkStart w:id="0" w:name="Seif0"/>
      <w:bookmarkEnd w:id="0"/>
      <w:r>
        <w:rPr>
          <w:lang w:val="he-IL"/>
        </w:rPr>
        <w:pict w14:anchorId="1343E4F8">
          <v:rect id="_x0000_s1026" style="position:absolute;left:0;text-align:left;margin-left:464.5pt;margin-top:8.05pt;width:75.05pt;height:9.8pt;z-index:251652608" o:allowincell="f" filled="f" stroked="f" strokecolor="lime" strokeweight=".25pt">
            <v:textbox inset="0,0,0,0">
              <w:txbxContent>
                <w:p w14:paraId="05612E45" w14:textId="77777777" w:rsidR="00B41865" w:rsidRDefault="00B41865">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w:t>
      </w:r>
      <w:r w:rsidR="000D5056">
        <w:rPr>
          <w:rStyle w:val="default"/>
          <w:rFonts w:cs="FrankRuehl"/>
          <w:rtl/>
        </w:rPr>
        <w:t>–</w:t>
      </w:r>
    </w:p>
    <w:p w14:paraId="1D379020" w14:textId="77777777" w:rsidR="00B41865" w:rsidRDefault="00B41865" w:rsidP="000D505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 xml:space="preserve">ית הדין" </w:t>
      </w:r>
      <w:r w:rsidR="000D5056">
        <w:rPr>
          <w:rStyle w:val="default"/>
          <w:rFonts w:cs="FrankRuehl" w:hint="cs"/>
          <w:rtl/>
        </w:rPr>
        <w:t>-</w:t>
      </w:r>
      <w:r>
        <w:rPr>
          <w:rStyle w:val="default"/>
          <w:rFonts w:cs="FrankRuehl"/>
          <w:rtl/>
        </w:rPr>
        <w:t xml:space="preserve"> </w:t>
      </w:r>
      <w:r>
        <w:rPr>
          <w:rStyle w:val="default"/>
          <w:rFonts w:cs="FrankRuehl" w:hint="cs"/>
          <w:rtl/>
        </w:rPr>
        <w:t>בית הדין המשמעתי לימאים שהוקם לפי פרק ט"ז לחוק;</w:t>
      </w:r>
    </w:p>
    <w:p w14:paraId="77A0E61A" w14:textId="77777777" w:rsidR="00B41865" w:rsidRDefault="00B41865" w:rsidP="000D5056">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רשעה" </w:t>
      </w:r>
      <w:r w:rsidR="000D5056">
        <w:rPr>
          <w:rStyle w:val="default"/>
          <w:rFonts w:cs="FrankRuehl" w:hint="cs"/>
          <w:rtl/>
        </w:rPr>
        <w:t>-</w:t>
      </w:r>
      <w:r>
        <w:rPr>
          <w:rStyle w:val="default"/>
          <w:rFonts w:cs="FrankRuehl"/>
          <w:rtl/>
        </w:rPr>
        <w:t xml:space="preserve"> </w:t>
      </w:r>
      <w:r>
        <w:rPr>
          <w:rStyle w:val="default"/>
          <w:rFonts w:cs="FrankRuehl" w:hint="cs"/>
          <w:rtl/>
        </w:rPr>
        <w:t>החלטת בית הדין בה</w:t>
      </w:r>
      <w:r>
        <w:rPr>
          <w:rStyle w:val="default"/>
          <w:rFonts w:cs="FrankRuehl"/>
          <w:rtl/>
        </w:rPr>
        <w:t>כר</w:t>
      </w:r>
      <w:r>
        <w:rPr>
          <w:rStyle w:val="default"/>
          <w:rFonts w:cs="FrankRuehl" w:hint="cs"/>
          <w:rtl/>
        </w:rPr>
        <w:t>עת הדין, הקובעת שהימאי אשם בעבירת משמעת;</w:t>
      </w:r>
    </w:p>
    <w:p w14:paraId="72A86269" w14:textId="77777777" w:rsidR="00B41865" w:rsidRDefault="00B41865" w:rsidP="000D5056">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 xml:space="preserve">זר דין" </w:t>
      </w:r>
      <w:r w:rsidR="000D5056">
        <w:rPr>
          <w:rStyle w:val="default"/>
          <w:rFonts w:cs="FrankRuehl" w:hint="cs"/>
          <w:rtl/>
        </w:rPr>
        <w:t>-</w:t>
      </w:r>
      <w:r>
        <w:rPr>
          <w:rStyle w:val="default"/>
          <w:rFonts w:cs="FrankRuehl"/>
          <w:rtl/>
        </w:rPr>
        <w:t xml:space="preserve"> </w:t>
      </w:r>
      <w:r>
        <w:rPr>
          <w:rStyle w:val="default"/>
          <w:rFonts w:cs="FrankRuehl" w:hint="cs"/>
          <w:rtl/>
        </w:rPr>
        <w:t>החלטת בית הדין הקובעת את עונש המשמעת.</w:t>
      </w:r>
    </w:p>
    <w:p w14:paraId="40D456CC" w14:textId="77777777" w:rsidR="00B41865" w:rsidRDefault="00B41865" w:rsidP="000D5056">
      <w:pPr>
        <w:pStyle w:val="P00"/>
        <w:spacing w:before="72"/>
        <w:ind w:left="0" w:right="1134"/>
        <w:rPr>
          <w:rStyle w:val="default"/>
          <w:rFonts w:cs="FrankRuehl"/>
          <w:rtl/>
        </w:rPr>
      </w:pPr>
      <w:bookmarkStart w:id="1" w:name="Seif1"/>
      <w:bookmarkEnd w:id="1"/>
      <w:r>
        <w:rPr>
          <w:lang w:val="he-IL"/>
        </w:rPr>
        <w:pict w14:anchorId="2EB3CCC5">
          <v:rect id="_x0000_s1027" style="position:absolute;left:0;text-align:left;margin-left:464.5pt;margin-top:8.05pt;width:75.05pt;height:29.45pt;z-index:251653632" o:allowincell="f" filled="f" stroked="f" strokecolor="lime" strokeweight=".25pt">
            <v:textbox inset="0,0,0,0">
              <w:txbxContent>
                <w:p w14:paraId="297E77D1" w14:textId="77777777" w:rsidR="00B41865" w:rsidRDefault="00B41865" w:rsidP="000D5056">
                  <w:pPr>
                    <w:spacing w:line="160" w:lineRule="exact"/>
                    <w:jc w:val="left"/>
                    <w:rPr>
                      <w:rFonts w:cs="Miriam"/>
                      <w:noProof/>
                      <w:sz w:val="18"/>
                      <w:szCs w:val="18"/>
                      <w:rtl/>
                    </w:rPr>
                  </w:pPr>
                  <w:r>
                    <w:rPr>
                      <w:rFonts w:cs="Miriam"/>
                      <w:sz w:val="18"/>
                      <w:szCs w:val="18"/>
                      <w:rtl/>
                    </w:rPr>
                    <w:t>עב</w:t>
                  </w:r>
                  <w:r>
                    <w:rPr>
                      <w:rFonts w:cs="Miriam" w:hint="cs"/>
                      <w:sz w:val="18"/>
                      <w:szCs w:val="18"/>
                      <w:rtl/>
                    </w:rPr>
                    <w:t>ירה נוספת</w:t>
                  </w:r>
                  <w:r w:rsidR="000D5056">
                    <w:rPr>
                      <w:rFonts w:cs="Miriam" w:hint="cs"/>
                      <w:sz w:val="18"/>
                      <w:szCs w:val="18"/>
                      <w:rtl/>
                    </w:rPr>
                    <w:t xml:space="preserve"> </w:t>
                  </w:r>
                  <w:r>
                    <w:rPr>
                      <w:rFonts w:cs="Miriam"/>
                      <w:sz w:val="18"/>
                      <w:szCs w:val="18"/>
                      <w:rtl/>
                    </w:rPr>
                    <w:t>תנ</w:t>
                  </w:r>
                  <w:r>
                    <w:rPr>
                      <w:rFonts w:cs="Miriam" w:hint="cs"/>
                      <w:sz w:val="18"/>
                      <w:szCs w:val="18"/>
                      <w:rtl/>
                    </w:rPr>
                    <w:t>אי לביצוע של</w:t>
                  </w:r>
                  <w:r w:rsidR="000D5056">
                    <w:rPr>
                      <w:rFonts w:cs="Miriam" w:hint="cs"/>
                      <w:noProof/>
                      <w:sz w:val="18"/>
                      <w:szCs w:val="18"/>
                      <w:rtl/>
                    </w:rPr>
                    <w:t xml:space="preserve"> </w:t>
                  </w:r>
                  <w:r>
                    <w:rPr>
                      <w:rFonts w:cs="Miriam"/>
                      <w:sz w:val="18"/>
                      <w:szCs w:val="18"/>
                      <w:rtl/>
                    </w:rPr>
                    <w:t>פס</w:t>
                  </w:r>
                  <w:r>
                    <w:rPr>
                      <w:rFonts w:cs="Miriam" w:hint="cs"/>
                      <w:sz w:val="18"/>
                      <w:szCs w:val="18"/>
                      <w:rtl/>
                    </w:rPr>
                    <w:t>ילה על תנאי</w:t>
                  </w:r>
                </w:p>
              </w:txbxContent>
            </v:textbox>
            <w10:anchorlock/>
          </v:rect>
        </w:pict>
      </w:r>
      <w:r>
        <w:rPr>
          <w:rStyle w:val="big-number"/>
          <w:rFonts w:cs="Miriam"/>
          <w:rtl/>
        </w:rPr>
        <w:t>2.</w:t>
      </w:r>
      <w:r>
        <w:rPr>
          <w:rStyle w:val="big-number"/>
          <w:rFonts w:cs="Miriam"/>
          <w:rtl/>
        </w:rPr>
        <w:tab/>
      </w:r>
      <w:r>
        <w:rPr>
          <w:rStyle w:val="default"/>
          <w:rFonts w:cs="FrankRuehl"/>
          <w:rtl/>
        </w:rPr>
        <w:t>מי</w:t>
      </w:r>
      <w:r>
        <w:rPr>
          <w:rStyle w:val="default"/>
          <w:rFonts w:cs="FrankRuehl" w:hint="cs"/>
          <w:rtl/>
        </w:rPr>
        <w:t xml:space="preserve"> שנפסל על תנאי כאמור בסעיף 150 לחוק ייפסל בפועל, אם תוך התקופה שנקבעה בגזר הדין, שלא תפחת משלושה חדשים ולא תעלה על שלוש שנים (להלן </w:t>
      </w:r>
      <w:r w:rsidR="000D5056">
        <w:rPr>
          <w:rStyle w:val="default"/>
          <w:rFonts w:cs="FrankRuehl" w:hint="cs"/>
          <w:rtl/>
        </w:rPr>
        <w:t>-</w:t>
      </w:r>
      <w:r>
        <w:rPr>
          <w:rStyle w:val="default"/>
          <w:rFonts w:cs="FrankRuehl"/>
          <w:rtl/>
        </w:rPr>
        <w:t xml:space="preserve"> </w:t>
      </w:r>
      <w:r>
        <w:rPr>
          <w:rStyle w:val="default"/>
          <w:rFonts w:cs="FrankRuehl" w:hint="cs"/>
          <w:rtl/>
        </w:rPr>
        <w:t xml:space="preserve">תקופת התנאי), עבר אותה </w:t>
      </w:r>
      <w:r>
        <w:rPr>
          <w:rStyle w:val="default"/>
          <w:rFonts w:cs="FrankRuehl"/>
          <w:rtl/>
        </w:rPr>
        <w:t>עב</w:t>
      </w:r>
      <w:r>
        <w:rPr>
          <w:rStyle w:val="default"/>
          <w:rFonts w:cs="FrankRuehl" w:hint="cs"/>
          <w:rtl/>
        </w:rPr>
        <w:t xml:space="preserve">ירה שעליה הורשע או אחת העבירות שנקבעו בגזר דינו (להלן לענין תקופת התנאי </w:t>
      </w:r>
      <w:r w:rsidR="000D5056">
        <w:rPr>
          <w:rStyle w:val="default"/>
          <w:rFonts w:cs="FrankRuehl" w:hint="cs"/>
          <w:rtl/>
        </w:rPr>
        <w:t>-</w:t>
      </w:r>
      <w:r>
        <w:rPr>
          <w:rStyle w:val="default"/>
          <w:rFonts w:cs="FrankRuehl"/>
          <w:rtl/>
        </w:rPr>
        <w:t xml:space="preserve"> </w:t>
      </w:r>
      <w:r>
        <w:rPr>
          <w:rStyle w:val="default"/>
          <w:rFonts w:cs="FrankRuehl" w:hint="cs"/>
          <w:rtl/>
        </w:rPr>
        <w:t>עבירה נוספת), והורשע על העבירה הנוספת תוך תקופת התנאי או אחריה.</w:t>
      </w:r>
    </w:p>
    <w:p w14:paraId="2D12A54E" w14:textId="77777777" w:rsidR="00B41865" w:rsidRDefault="00B41865">
      <w:pPr>
        <w:pStyle w:val="P00"/>
        <w:spacing w:before="72"/>
        <w:ind w:left="0" w:right="1134"/>
        <w:rPr>
          <w:rStyle w:val="default"/>
          <w:rFonts w:cs="FrankRuehl"/>
          <w:rtl/>
        </w:rPr>
      </w:pPr>
      <w:bookmarkStart w:id="2" w:name="Seif2"/>
      <w:bookmarkEnd w:id="2"/>
      <w:r>
        <w:rPr>
          <w:lang w:val="he-IL"/>
        </w:rPr>
        <w:pict w14:anchorId="42C370C4">
          <v:rect id="_x0000_s1028" style="position:absolute;left:0;text-align:left;margin-left:464.5pt;margin-top:8.05pt;width:75.05pt;height:22.65pt;z-index:251654656" o:allowincell="f" filled="f" stroked="f" strokecolor="lime" strokeweight=".25pt">
            <v:textbox inset="0,0,0,0">
              <w:txbxContent>
                <w:p w14:paraId="3E603CB1" w14:textId="77777777" w:rsidR="00B41865" w:rsidRDefault="00B41865" w:rsidP="000D5056">
                  <w:pPr>
                    <w:spacing w:line="160" w:lineRule="exact"/>
                    <w:jc w:val="left"/>
                    <w:rPr>
                      <w:rFonts w:cs="Miriam"/>
                      <w:noProof/>
                      <w:sz w:val="18"/>
                      <w:szCs w:val="18"/>
                      <w:rtl/>
                    </w:rPr>
                  </w:pPr>
                  <w:r>
                    <w:rPr>
                      <w:rFonts w:cs="Miriam"/>
                      <w:sz w:val="18"/>
                      <w:szCs w:val="18"/>
                      <w:rtl/>
                    </w:rPr>
                    <w:t>קב</w:t>
                  </w:r>
                  <w:r>
                    <w:rPr>
                      <w:rFonts w:cs="Miriam" w:hint="cs"/>
                      <w:sz w:val="18"/>
                      <w:szCs w:val="18"/>
                      <w:rtl/>
                    </w:rPr>
                    <w:t>יעת העבירות</w:t>
                  </w:r>
                  <w:r w:rsidR="000D5056">
                    <w:rPr>
                      <w:rFonts w:cs="Miriam" w:hint="cs"/>
                      <w:sz w:val="18"/>
                      <w:szCs w:val="18"/>
                      <w:rtl/>
                    </w:rPr>
                    <w:t xml:space="preserve"> </w:t>
                  </w:r>
                  <w:r>
                    <w:rPr>
                      <w:rFonts w:cs="Miriam"/>
                      <w:sz w:val="18"/>
                      <w:szCs w:val="18"/>
                      <w:rtl/>
                    </w:rPr>
                    <w:t>הנ</w:t>
                  </w:r>
                  <w:r>
                    <w:rPr>
                      <w:rFonts w:cs="Miriam" w:hint="cs"/>
                      <w:sz w:val="18"/>
                      <w:szCs w:val="18"/>
                      <w:rtl/>
                    </w:rPr>
                    <w:t>וספות</w:t>
                  </w:r>
                </w:p>
              </w:txbxContent>
            </v:textbox>
            <w10:anchorlock/>
          </v:rect>
        </w:pict>
      </w:r>
      <w:r>
        <w:rPr>
          <w:rStyle w:val="big-number"/>
          <w:rFonts w:cs="Miriam"/>
          <w:rtl/>
        </w:rPr>
        <w:t>3.</w:t>
      </w:r>
      <w:r>
        <w:rPr>
          <w:rStyle w:val="big-number"/>
          <w:rFonts w:cs="Miriam"/>
          <w:rtl/>
        </w:rPr>
        <w:tab/>
      </w:r>
      <w:r>
        <w:rPr>
          <w:rStyle w:val="default"/>
          <w:rFonts w:cs="FrankRuehl"/>
          <w:rtl/>
        </w:rPr>
        <w:t>קב</w:t>
      </w:r>
      <w:r>
        <w:rPr>
          <w:rStyle w:val="default"/>
          <w:rFonts w:cs="FrankRuehl" w:hint="cs"/>
          <w:rtl/>
        </w:rPr>
        <w:t>יעת העבירות לפי תק</w:t>
      </w:r>
      <w:r>
        <w:rPr>
          <w:rStyle w:val="default"/>
          <w:rFonts w:cs="FrankRuehl"/>
          <w:rtl/>
        </w:rPr>
        <w:t>נ</w:t>
      </w:r>
      <w:r>
        <w:rPr>
          <w:rStyle w:val="default"/>
          <w:rFonts w:cs="FrankRuehl" w:hint="cs"/>
          <w:rtl/>
        </w:rPr>
        <w:t>ה 2 יכול שתהיה אם בדרך תיאורן אם בדרך איזכור הוראות החוק; אוזכרה הוראת החוק והיא הוחלפה, יר</w:t>
      </w:r>
      <w:r>
        <w:rPr>
          <w:rStyle w:val="default"/>
          <w:rFonts w:cs="FrankRuehl"/>
          <w:rtl/>
        </w:rPr>
        <w:t>או</w:t>
      </w:r>
      <w:r>
        <w:rPr>
          <w:rStyle w:val="default"/>
          <w:rFonts w:cs="FrankRuehl" w:hint="cs"/>
          <w:rtl/>
        </w:rPr>
        <w:t xml:space="preserve"> את גזר הדין כמאזכר את ההוראה המחליפה.</w:t>
      </w:r>
    </w:p>
    <w:p w14:paraId="3F5C68F8" w14:textId="77777777" w:rsidR="00B41865" w:rsidRDefault="00B41865" w:rsidP="000D5056">
      <w:pPr>
        <w:pStyle w:val="P00"/>
        <w:spacing w:before="72"/>
        <w:ind w:left="0" w:right="1134"/>
        <w:rPr>
          <w:rStyle w:val="default"/>
          <w:rFonts w:cs="FrankRuehl"/>
          <w:rtl/>
        </w:rPr>
      </w:pPr>
      <w:bookmarkStart w:id="3" w:name="Seif3"/>
      <w:bookmarkEnd w:id="3"/>
      <w:r>
        <w:rPr>
          <w:lang w:val="he-IL"/>
        </w:rPr>
        <w:pict w14:anchorId="5EC9E8D1">
          <v:rect id="_x0000_s1029" style="position:absolute;left:0;text-align:left;margin-left:464.5pt;margin-top:8.05pt;width:75.05pt;height:12.15pt;z-index:251655680" o:allowincell="f" filled="f" stroked="f" strokecolor="lime" strokeweight=".25pt">
            <v:textbox inset="0,0,0,0">
              <w:txbxContent>
                <w:p w14:paraId="1C699C82" w14:textId="77777777" w:rsidR="00B41865" w:rsidRDefault="00B41865">
                  <w:pPr>
                    <w:spacing w:line="160" w:lineRule="exact"/>
                    <w:jc w:val="left"/>
                    <w:rPr>
                      <w:rFonts w:cs="Miriam"/>
                      <w:noProof/>
                      <w:sz w:val="18"/>
                      <w:szCs w:val="18"/>
                      <w:rtl/>
                    </w:rPr>
                  </w:pPr>
                  <w:r>
                    <w:rPr>
                      <w:rFonts w:cs="Miriam"/>
                      <w:sz w:val="18"/>
                      <w:szCs w:val="18"/>
                      <w:rtl/>
                    </w:rPr>
                    <w:t>תק</w:t>
                  </w:r>
                  <w:r>
                    <w:rPr>
                      <w:rFonts w:cs="Miriam" w:hint="cs"/>
                      <w:sz w:val="18"/>
                      <w:szCs w:val="18"/>
                      <w:rtl/>
                    </w:rPr>
                    <w:t>ופת התנאי</w:t>
                  </w:r>
                </w:p>
              </w:txbxContent>
            </v:textbox>
            <w10:anchorlock/>
          </v:rect>
        </w:pict>
      </w:r>
      <w:r>
        <w:rPr>
          <w:rStyle w:val="big-number"/>
          <w:rFonts w:cs="Miriam"/>
          <w:rtl/>
        </w:rPr>
        <w:t>4.</w:t>
      </w:r>
      <w:r>
        <w:rPr>
          <w:rStyle w:val="big-number"/>
          <w:rFonts w:cs="Miriam"/>
          <w:rtl/>
        </w:rPr>
        <w:tab/>
      </w:r>
      <w:r>
        <w:rPr>
          <w:rStyle w:val="default"/>
          <w:rFonts w:cs="FrankRuehl"/>
          <w:rtl/>
        </w:rPr>
        <w:t>תק</w:t>
      </w:r>
      <w:r>
        <w:rPr>
          <w:rStyle w:val="default"/>
          <w:rFonts w:cs="FrankRuehl" w:hint="cs"/>
          <w:rtl/>
        </w:rPr>
        <w:t xml:space="preserve">ופת התנאי תתחיל מיום גזר הדין ואם הנדון מרצה אותו זמן פסילה בפועל </w:t>
      </w:r>
      <w:r w:rsidR="000D5056">
        <w:rPr>
          <w:rStyle w:val="default"/>
          <w:rFonts w:cs="FrankRuehl" w:hint="cs"/>
          <w:rtl/>
        </w:rPr>
        <w:t>-</w:t>
      </w:r>
      <w:r>
        <w:rPr>
          <w:rStyle w:val="default"/>
          <w:rFonts w:cs="FrankRuehl"/>
          <w:rtl/>
        </w:rPr>
        <w:t xml:space="preserve"> </w:t>
      </w:r>
      <w:r>
        <w:rPr>
          <w:rStyle w:val="default"/>
          <w:rFonts w:cs="FrankRuehl" w:hint="cs"/>
          <w:rtl/>
        </w:rPr>
        <w:t>מיום סיום הפסילה בפועל, הכל כשבית הדין לא הורה אחרת; תקופה שבה נמצא הנדון במאסר או במעצר לא תבוא במנין תקופת התנאי.</w:t>
      </w:r>
    </w:p>
    <w:p w14:paraId="5733BE72" w14:textId="77777777" w:rsidR="00B41865" w:rsidRDefault="00B41865">
      <w:pPr>
        <w:pStyle w:val="P00"/>
        <w:spacing w:before="72"/>
        <w:ind w:left="0" w:right="1134"/>
        <w:rPr>
          <w:rStyle w:val="default"/>
          <w:rFonts w:cs="FrankRuehl"/>
          <w:rtl/>
        </w:rPr>
      </w:pPr>
      <w:bookmarkStart w:id="4" w:name="Seif4"/>
      <w:bookmarkEnd w:id="4"/>
      <w:r>
        <w:rPr>
          <w:lang w:val="he-IL"/>
        </w:rPr>
        <w:pict w14:anchorId="02F57D0F">
          <v:rect id="_x0000_s1030" style="position:absolute;left:0;text-align:left;margin-left:464.5pt;margin-top:8.05pt;width:75.05pt;height:22.25pt;z-index:251656704" o:allowincell="f" filled="f" stroked="f" strokecolor="lime" strokeweight=".25pt">
            <v:textbox inset="0,0,0,0">
              <w:txbxContent>
                <w:p w14:paraId="6AB51B2D" w14:textId="77777777" w:rsidR="00B41865" w:rsidRDefault="00B41865" w:rsidP="000D5056">
                  <w:pPr>
                    <w:spacing w:line="160" w:lineRule="exact"/>
                    <w:jc w:val="left"/>
                    <w:rPr>
                      <w:rFonts w:cs="Miriam"/>
                      <w:noProof/>
                      <w:sz w:val="18"/>
                      <w:szCs w:val="18"/>
                      <w:rtl/>
                    </w:rPr>
                  </w:pPr>
                  <w:r>
                    <w:rPr>
                      <w:rFonts w:cs="Miriam"/>
                      <w:sz w:val="18"/>
                      <w:szCs w:val="18"/>
                      <w:rtl/>
                    </w:rPr>
                    <w:t>אי</w:t>
                  </w:r>
                  <w:r>
                    <w:rPr>
                      <w:rFonts w:cs="Miriam" w:hint="cs"/>
                      <w:sz w:val="18"/>
                      <w:szCs w:val="18"/>
                      <w:rtl/>
                    </w:rPr>
                    <w:t>ן לפסול על תנאי</w:t>
                  </w:r>
                  <w:r w:rsidR="000D5056">
                    <w:rPr>
                      <w:rFonts w:cs="Miriam" w:hint="cs"/>
                      <w:sz w:val="18"/>
                      <w:szCs w:val="18"/>
                      <w:rtl/>
                    </w:rPr>
                    <w:t xml:space="preserve"> </w:t>
                  </w:r>
                  <w:r>
                    <w:rPr>
                      <w:rFonts w:cs="Miriam"/>
                      <w:sz w:val="18"/>
                      <w:szCs w:val="18"/>
                      <w:rtl/>
                    </w:rPr>
                    <w:t>על</w:t>
                  </w:r>
                  <w:r>
                    <w:rPr>
                      <w:rFonts w:cs="Miriam" w:hint="cs"/>
                      <w:sz w:val="18"/>
                      <w:szCs w:val="18"/>
                      <w:rtl/>
                    </w:rPr>
                    <w:t xml:space="preserve"> עבירה</w:t>
                  </w:r>
                  <w:r>
                    <w:rPr>
                      <w:rFonts w:cs="Miriam"/>
                      <w:sz w:val="18"/>
                      <w:szCs w:val="18"/>
                      <w:rtl/>
                    </w:rPr>
                    <w:t xml:space="preserve"> נ</w:t>
                  </w:r>
                  <w:r>
                    <w:rPr>
                      <w:rFonts w:cs="Miriam" w:hint="cs"/>
                      <w:sz w:val="18"/>
                      <w:szCs w:val="18"/>
                      <w:rtl/>
                    </w:rPr>
                    <w:t>וספת</w:t>
                  </w:r>
                </w:p>
              </w:txbxContent>
            </v:textbox>
            <w10:anchorlock/>
          </v:rect>
        </w:pict>
      </w:r>
      <w:r>
        <w:rPr>
          <w:rStyle w:val="big-number"/>
          <w:rFonts w:cs="Miriam"/>
          <w:rtl/>
        </w:rPr>
        <w:t>5.</w:t>
      </w:r>
      <w:r>
        <w:rPr>
          <w:rStyle w:val="big-number"/>
          <w:rFonts w:cs="Miriam"/>
          <w:rtl/>
        </w:rPr>
        <w:tab/>
      </w:r>
      <w:r>
        <w:rPr>
          <w:rStyle w:val="default"/>
          <w:rFonts w:cs="FrankRuehl"/>
          <w:rtl/>
        </w:rPr>
        <w:t>לא</w:t>
      </w:r>
      <w:r>
        <w:rPr>
          <w:rStyle w:val="default"/>
          <w:rFonts w:cs="FrankRuehl" w:hint="cs"/>
          <w:rtl/>
        </w:rPr>
        <w:t xml:space="preserve"> יטיל בית הדין פסיל</w:t>
      </w:r>
      <w:r>
        <w:rPr>
          <w:rStyle w:val="default"/>
          <w:rFonts w:cs="FrankRuehl"/>
          <w:rtl/>
        </w:rPr>
        <w:t xml:space="preserve">ה </w:t>
      </w:r>
      <w:r>
        <w:rPr>
          <w:rStyle w:val="default"/>
          <w:rFonts w:cs="FrankRuehl" w:hint="cs"/>
          <w:rtl/>
        </w:rPr>
        <w:t>על תנאי בשל עבירה נוספת.</w:t>
      </w:r>
    </w:p>
    <w:p w14:paraId="771DF8C6" w14:textId="77777777" w:rsidR="00B41865" w:rsidRDefault="00B41865">
      <w:pPr>
        <w:pStyle w:val="P00"/>
        <w:spacing w:before="72"/>
        <w:ind w:left="0" w:right="1134"/>
        <w:rPr>
          <w:rStyle w:val="default"/>
          <w:rFonts w:cs="FrankRuehl"/>
          <w:rtl/>
        </w:rPr>
      </w:pPr>
      <w:bookmarkStart w:id="5" w:name="Seif5"/>
      <w:bookmarkEnd w:id="5"/>
      <w:r>
        <w:rPr>
          <w:lang w:val="he-IL"/>
        </w:rPr>
        <w:pict w14:anchorId="1ECB67D7">
          <v:rect id="_x0000_s1031" style="position:absolute;left:0;text-align:left;margin-left:464.5pt;margin-top:8.05pt;width:75.05pt;height:19.1pt;z-index:251657728" o:allowincell="f" filled="f" stroked="f" strokecolor="lime" strokeweight=".25pt">
            <v:textbox inset="0,0,0,0">
              <w:txbxContent>
                <w:p w14:paraId="00BD363F" w14:textId="77777777" w:rsidR="00B41865" w:rsidRDefault="00B41865" w:rsidP="000D5056">
                  <w:pPr>
                    <w:spacing w:line="160" w:lineRule="exact"/>
                    <w:jc w:val="left"/>
                    <w:rPr>
                      <w:rFonts w:cs="Miriam"/>
                      <w:noProof/>
                      <w:sz w:val="18"/>
                      <w:szCs w:val="18"/>
                      <w:rtl/>
                    </w:rPr>
                  </w:pPr>
                  <w:r>
                    <w:rPr>
                      <w:rFonts w:cs="Miriam"/>
                      <w:sz w:val="18"/>
                      <w:szCs w:val="18"/>
                      <w:rtl/>
                    </w:rPr>
                    <w:t>הפ</w:t>
                  </w:r>
                  <w:r>
                    <w:rPr>
                      <w:rFonts w:cs="Miriam" w:hint="cs"/>
                      <w:sz w:val="18"/>
                      <w:szCs w:val="18"/>
                      <w:rtl/>
                    </w:rPr>
                    <w:t>עלת הפסילה</w:t>
                  </w:r>
                  <w:r w:rsidR="000D5056">
                    <w:rPr>
                      <w:rFonts w:cs="Miriam" w:hint="cs"/>
                      <w:sz w:val="18"/>
                      <w:szCs w:val="18"/>
                      <w:rtl/>
                    </w:rPr>
                    <w:t xml:space="preserve"> </w:t>
                  </w:r>
                  <w:r>
                    <w:rPr>
                      <w:rFonts w:cs="Miriam"/>
                      <w:sz w:val="18"/>
                      <w:szCs w:val="18"/>
                      <w:rtl/>
                    </w:rPr>
                    <w:t>על</w:t>
                  </w:r>
                  <w:r>
                    <w:rPr>
                      <w:rFonts w:cs="Miriam" w:hint="cs"/>
                      <w:sz w:val="18"/>
                      <w:szCs w:val="18"/>
                      <w:rtl/>
                    </w:rPr>
                    <w:t xml:space="preserve"> תנאי </w:t>
                  </w:r>
                  <w:r w:rsidR="000D5056">
                    <w:rPr>
                      <w:rFonts w:cs="Miriam"/>
                      <w:sz w:val="18"/>
                      <w:szCs w:val="18"/>
                      <w:rtl/>
                    </w:rPr>
                    <w:t>–</w:t>
                  </w:r>
                  <w:r>
                    <w:rPr>
                      <w:rFonts w:cs="Miriam"/>
                      <w:sz w:val="18"/>
                      <w:szCs w:val="18"/>
                      <w:rtl/>
                    </w:rPr>
                    <w:t xml:space="preserve"> </w:t>
                  </w:r>
                  <w:r>
                    <w:rPr>
                      <w:rFonts w:cs="Miriam" w:hint="cs"/>
                      <w:sz w:val="18"/>
                      <w:szCs w:val="18"/>
                      <w:rtl/>
                    </w:rPr>
                    <w:t>כיצד</w:t>
                  </w:r>
                </w:p>
              </w:txbxContent>
            </v:textbox>
            <w10:anchorlock/>
          </v:rect>
        </w:pict>
      </w:r>
      <w:r>
        <w:rPr>
          <w:rStyle w:val="big-number"/>
          <w:rFonts w:cs="Miriam"/>
          <w:rtl/>
        </w:rPr>
        <w:t>6.</w:t>
      </w:r>
      <w:r>
        <w:rPr>
          <w:rStyle w:val="big-number"/>
          <w:rFonts w:cs="Miriam"/>
          <w:rtl/>
        </w:rPr>
        <w:tab/>
      </w:r>
      <w:r>
        <w:rPr>
          <w:rStyle w:val="default"/>
          <w:rFonts w:cs="FrankRuehl"/>
          <w:rtl/>
        </w:rPr>
        <w:t>מי</w:t>
      </w:r>
      <w:r>
        <w:rPr>
          <w:rStyle w:val="default"/>
          <w:rFonts w:cs="FrankRuehl" w:hint="cs"/>
          <w:rtl/>
        </w:rPr>
        <w:t xml:space="preserve"> שנפסל על תנאי והורשע בשל עבירה נוספת, יצור בית הדין</w:t>
      </w:r>
      <w:r>
        <w:rPr>
          <w:rStyle w:val="default"/>
          <w:rFonts w:cs="FrankRuehl"/>
          <w:rtl/>
        </w:rPr>
        <w:t xml:space="preserve"> </w:t>
      </w:r>
      <w:r>
        <w:rPr>
          <w:rStyle w:val="default"/>
          <w:rFonts w:cs="FrankRuehl" w:hint="cs"/>
          <w:rtl/>
        </w:rPr>
        <w:t>על הפעלת הפסילה על תנאי, ורשאי בית הדין שהרשיע את הנאשם כאמור, להורות בצו שהפעלת הפסילה על תנאי תהיה כפופה לתוצאות הערעור על ההרשעה בשל העבירה הנוספת.</w:t>
      </w:r>
    </w:p>
    <w:p w14:paraId="53DDAA35" w14:textId="77777777" w:rsidR="00B41865" w:rsidRDefault="00B41865">
      <w:pPr>
        <w:pStyle w:val="P00"/>
        <w:spacing w:before="72"/>
        <w:ind w:left="0" w:right="1134"/>
        <w:rPr>
          <w:rStyle w:val="default"/>
          <w:rFonts w:cs="FrankRuehl"/>
          <w:rtl/>
        </w:rPr>
      </w:pPr>
      <w:bookmarkStart w:id="6" w:name="Seif6"/>
      <w:bookmarkEnd w:id="6"/>
      <w:r>
        <w:rPr>
          <w:lang w:val="he-IL"/>
        </w:rPr>
        <w:pict w14:anchorId="7C5B7035">
          <v:rect id="_x0000_s1032" style="position:absolute;left:0;text-align:left;margin-left:464.5pt;margin-top:8.05pt;width:75.05pt;height:16pt;z-index:251658752" o:allowincell="f" filled="f" stroked="f" strokecolor="lime" strokeweight=".25pt">
            <v:textbox inset="0,0,0,0">
              <w:txbxContent>
                <w:p w14:paraId="48841722" w14:textId="77777777" w:rsidR="00B41865" w:rsidRDefault="00B41865" w:rsidP="000D5056">
                  <w:pPr>
                    <w:spacing w:line="160" w:lineRule="exact"/>
                    <w:jc w:val="left"/>
                    <w:rPr>
                      <w:rFonts w:cs="Miriam"/>
                      <w:noProof/>
                      <w:sz w:val="18"/>
                      <w:szCs w:val="18"/>
                      <w:rtl/>
                    </w:rPr>
                  </w:pPr>
                  <w:r>
                    <w:rPr>
                      <w:rFonts w:cs="Miriam"/>
                      <w:sz w:val="18"/>
                      <w:szCs w:val="18"/>
                      <w:rtl/>
                    </w:rPr>
                    <w:t>הא</w:t>
                  </w:r>
                  <w:r>
                    <w:rPr>
                      <w:rFonts w:cs="Miriam" w:hint="cs"/>
                      <w:sz w:val="18"/>
                      <w:szCs w:val="18"/>
                      <w:rtl/>
                    </w:rPr>
                    <w:t>רכת תקופת</w:t>
                  </w:r>
                  <w:r w:rsidR="000D5056">
                    <w:rPr>
                      <w:rFonts w:cs="Miriam" w:hint="cs"/>
                      <w:sz w:val="18"/>
                      <w:szCs w:val="18"/>
                      <w:rtl/>
                    </w:rPr>
                    <w:t xml:space="preserve"> </w:t>
                  </w:r>
                  <w:r>
                    <w:rPr>
                      <w:rFonts w:cs="Miriam"/>
                      <w:sz w:val="18"/>
                      <w:szCs w:val="18"/>
                      <w:rtl/>
                    </w:rPr>
                    <w:t>הת</w:t>
                  </w:r>
                  <w:r>
                    <w:rPr>
                      <w:rFonts w:cs="Miriam" w:hint="cs"/>
                      <w:sz w:val="18"/>
                      <w:szCs w:val="18"/>
                      <w:rtl/>
                    </w:rPr>
                    <w:t>נאי</w:t>
                  </w:r>
                </w:p>
              </w:txbxContent>
            </v:textbox>
            <w10:anchorlock/>
          </v:rect>
        </w:pict>
      </w:r>
      <w:r>
        <w:rPr>
          <w:rStyle w:val="big-number"/>
          <w:rFonts w:cs="Miriam"/>
          <w:rtl/>
        </w:rPr>
        <w:t>7.</w:t>
      </w:r>
      <w:r>
        <w:rPr>
          <w:rStyle w:val="big-number"/>
          <w:rFonts w:cs="Miriam"/>
          <w:rtl/>
        </w:rPr>
        <w:tab/>
      </w:r>
      <w:r>
        <w:rPr>
          <w:rStyle w:val="default"/>
          <w:rFonts w:cs="FrankRuehl"/>
          <w:rtl/>
        </w:rPr>
        <w:t>בי</w:t>
      </w:r>
      <w:r>
        <w:rPr>
          <w:rStyle w:val="default"/>
          <w:rFonts w:cs="FrankRuehl" w:hint="cs"/>
          <w:rtl/>
        </w:rPr>
        <w:t>ת הדין שהרשיע</w:t>
      </w:r>
      <w:r>
        <w:rPr>
          <w:rStyle w:val="default"/>
          <w:rFonts w:cs="FrankRuehl"/>
          <w:rtl/>
        </w:rPr>
        <w:t xml:space="preserve"> נ</w:t>
      </w:r>
      <w:r>
        <w:rPr>
          <w:rStyle w:val="default"/>
          <w:rFonts w:cs="FrankRuehl" w:hint="cs"/>
          <w:rtl/>
        </w:rPr>
        <w:t xml:space="preserve">אשם לראשונה בשל עבירה נוספת ולא הטיל עליו עונש של פסילה, רשאי, </w:t>
      </w:r>
      <w:r>
        <w:rPr>
          <w:rStyle w:val="default"/>
          <w:rFonts w:cs="FrankRuehl"/>
          <w:rtl/>
        </w:rPr>
        <w:t>ע</w:t>
      </w:r>
      <w:r>
        <w:rPr>
          <w:rStyle w:val="default"/>
          <w:rFonts w:cs="FrankRuehl" w:hint="cs"/>
          <w:rtl/>
        </w:rPr>
        <w:t>ל אף האמור בתקנה 6, להורות, מטעמים שיירשמו, על הארכת תקופת התנאי לתקופה נוספת שלא תעלה על שלוש שנים, אם שוכנע בית הדין שבנסיבות הענין לא יהיה זה צודק להפעיל את הפסילה על תנאי.</w:t>
      </w:r>
    </w:p>
    <w:p w14:paraId="79D78AD8" w14:textId="77777777" w:rsidR="00B41865" w:rsidRDefault="00B41865">
      <w:pPr>
        <w:pStyle w:val="P00"/>
        <w:spacing w:before="72"/>
        <w:ind w:left="0" w:right="1134"/>
        <w:rPr>
          <w:rStyle w:val="default"/>
          <w:rFonts w:cs="FrankRuehl"/>
          <w:rtl/>
        </w:rPr>
      </w:pPr>
      <w:bookmarkStart w:id="7" w:name="Seif7"/>
      <w:bookmarkEnd w:id="7"/>
      <w:r>
        <w:rPr>
          <w:lang w:val="he-IL"/>
        </w:rPr>
        <w:pict w14:anchorId="5AEC8E93">
          <v:rect id="_x0000_s1033" style="position:absolute;left:0;text-align:left;margin-left:464.5pt;margin-top:8.05pt;width:75.05pt;height:15.05pt;z-index:251659776" o:allowincell="f" filled="f" stroked="f" strokecolor="lime" strokeweight=".25pt">
            <v:textbox inset="0,0,0,0">
              <w:txbxContent>
                <w:p w14:paraId="39CE501C" w14:textId="77777777" w:rsidR="00B41865" w:rsidRDefault="00B41865">
                  <w:pPr>
                    <w:spacing w:line="160" w:lineRule="exact"/>
                    <w:jc w:val="left"/>
                    <w:rPr>
                      <w:rFonts w:cs="Miriam"/>
                      <w:noProof/>
                      <w:sz w:val="18"/>
                      <w:szCs w:val="18"/>
                      <w:rtl/>
                    </w:rPr>
                  </w:pPr>
                  <w:r>
                    <w:rPr>
                      <w:rFonts w:cs="Miriam"/>
                      <w:sz w:val="18"/>
                      <w:szCs w:val="18"/>
                      <w:rtl/>
                    </w:rPr>
                    <w:t>דח</w:t>
                  </w:r>
                  <w:r>
                    <w:rPr>
                      <w:rFonts w:cs="Miriam" w:hint="cs"/>
                      <w:sz w:val="18"/>
                      <w:szCs w:val="18"/>
                      <w:rtl/>
                    </w:rPr>
                    <w:t>יית הביצוע</w:t>
                  </w:r>
                </w:p>
              </w:txbxContent>
            </v:textbox>
            <w10:anchorlock/>
          </v:rect>
        </w:pict>
      </w:r>
      <w:r>
        <w:rPr>
          <w:rStyle w:val="big-number"/>
          <w:rFonts w:cs="Miriam"/>
          <w:rtl/>
        </w:rPr>
        <w:t>8.</w:t>
      </w:r>
      <w:r>
        <w:rPr>
          <w:rStyle w:val="big-number"/>
          <w:rFonts w:cs="Miriam"/>
          <w:rtl/>
        </w:rPr>
        <w:tab/>
      </w:r>
      <w:r>
        <w:rPr>
          <w:rStyle w:val="default"/>
          <w:rFonts w:cs="FrankRuehl"/>
          <w:rtl/>
        </w:rPr>
        <w:t>ער</w:t>
      </w:r>
      <w:r>
        <w:rPr>
          <w:rStyle w:val="default"/>
          <w:rFonts w:cs="FrankRuehl" w:hint="cs"/>
          <w:rtl/>
        </w:rPr>
        <w:t>ער הנדון על הצו בדבר ביצוע עונש הפסילה על תנאי, ידחה אב בית הדין את הביצוע עד להחלטה בערעור.</w:t>
      </w:r>
    </w:p>
    <w:p w14:paraId="5CF66745" w14:textId="77777777" w:rsidR="00B41865" w:rsidRDefault="00B41865">
      <w:pPr>
        <w:pStyle w:val="P00"/>
        <w:spacing w:before="72"/>
        <w:ind w:left="0" w:right="1134"/>
        <w:rPr>
          <w:rStyle w:val="default"/>
          <w:rFonts w:cs="FrankRuehl"/>
          <w:rtl/>
        </w:rPr>
      </w:pPr>
      <w:bookmarkStart w:id="8" w:name="Seif8"/>
      <w:bookmarkEnd w:id="8"/>
      <w:r>
        <w:rPr>
          <w:lang w:val="he-IL"/>
        </w:rPr>
        <w:pict w14:anchorId="402677D7">
          <v:rect id="_x0000_s1034" style="position:absolute;left:0;text-align:left;margin-left:464.5pt;margin-top:8.05pt;width:75.05pt;height:21.35pt;z-index:251660800" o:allowincell="f" filled="f" stroked="f" strokecolor="lime" strokeweight=".25pt">
            <v:textbox inset="0,0,0,0">
              <w:txbxContent>
                <w:p w14:paraId="5A8C8259" w14:textId="77777777" w:rsidR="00B41865" w:rsidRDefault="00B41865" w:rsidP="000D5056">
                  <w:pPr>
                    <w:spacing w:line="160" w:lineRule="exact"/>
                    <w:jc w:val="left"/>
                    <w:rPr>
                      <w:rFonts w:cs="Miriam"/>
                      <w:noProof/>
                      <w:sz w:val="18"/>
                      <w:szCs w:val="18"/>
                      <w:rtl/>
                    </w:rPr>
                  </w:pPr>
                  <w:r>
                    <w:rPr>
                      <w:rFonts w:cs="Miriam"/>
                      <w:sz w:val="18"/>
                      <w:szCs w:val="18"/>
                      <w:rtl/>
                    </w:rPr>
                    <w:t>סמ</w:t>
                  </w:r>
                  <w:r>
                    <w:rPr>
                      <w:rFonts w:cs="Miriam" w:hint="cs"/>
                      <w:sz w:val="18"/>
                      <w:szCs w:val="18"/>
                      <w:rtl/>
                    </w:rPr>
                    <w:t>כויות בית</w:t>
                  </w:r>
                  <w:r w:rsidR="000D5056">
                    <w:rPr>
                      <w:rFonts w:cs="Miriam" w:hint="cs"/>
                      <w:sz w:val="18"/>
                      <w:szCs w:val="18"/>
                      <w:rtl/>
                    </w:rPr>
                    <w:t xml:space="preserve"> </w:t>
                  </w:r>
                  <w:r>
                    <w:rPr>
                      <w:rFonts w:cs="Miriam"/>
                      <w:sz w:val="18"/>
                      <w:szCs w:val="18"/>
                      <w:rtl/>
                    </w:rPr>
                    <w:t>המ</w:t>
                  </w:r>
                  <w:r>
                    <w:rPr>
                      <w:rFonts w:cs="Miriam" w:hint="cs"/>
                      <w:sz w:val="18"/>
                      <w:szCs w:val="18"/>
                      <w:rtl/>
                    </w:rPr>
                    <w:t>שפט לימאות</w:t>
                  </w:r>
                </w:p>
              </w:txbxContent>
            </v:textbox>
            <w10:anchorlock/>
          </v:rect>
        </w:pict>
      </w:r>
      <w:r>
        <w:rPr>
          <w:rStyle w:val="big-number"/>
          <w:rFonts w:cs="Miriam"/>
          <w:rtl/>
        </w:rPr>
        <w:t>9.</w:t>
      </w:r>
      <w:r>
        <w:rPr>
          <w:rStyle w:val="big-number"/>
          <w:rFonts w:cs="Miriam"/>
          <w:rtl/>
        </w:rPr>
        <w:tab/>
      </w:r>
      <w:r>
        <w:rPr>
          <w:rStyle w:val="default"/>
          <w:rFonts w:cs="FrankRuehl"/>
          <w:rtl/>
        </w:rPr>
        <w:t>כד</w:t>
      </w:r>
      <w:r>
        <w:rPr>
          <w:rStyle w:val="default"/>
          <w:rFonts w:cs="FrankRuehl" w:hint="cs"/>
          <w:rtl/>
        </w:rPr>
        <w:t>י להסיר ספק נאמר בזה שכל סמכות של בית הדין לפי תקנות אלה נ</w:t>
      </w:r>
      <w:r>
        <w:rPr>
          <w:rStyle w:val="default"/>
          <w:rFonts w:cs="FrankRuehl"/>
          <w:rtl/>
        </w:rPr>
        <w:t>ית</w:t>
      </w:r>
      <w:r>
        <w:rPr>
          <w:rStyle w:val="default"/>
          <w:rFonts w:cs="FrankRuehl" w:hint="cs"/>
          <w:rtl/>
        </w:rPr>
        <w:t>נת גם לבית המשפט לימא</w:t>
      </w:r>
      <w:r>
        <w:rPr>
          <w:rStyle w:val="default"/>
          <w:rFonts w:cs="FrankRuehl"/>
          <w:rtl/>
        </w:rPr>
        <w:t>ו</w:t>
      </w:r>
      <w:r>
        <w:rPr>
          <w:rStyle w:val="default"/>
          <w:rFonts w:cs="FrankRuehl" w:hint="cs"/>
          <w:rtl/>
        </w:rPr>
        <w:t>ת בערעור לפי סעיף 171 לחוק.</w:t>
      </w:r>
    </w:p>
    <w:p w14:paraId="73E4A3FF" w14:textId="77777777" w:rsidR="00B41865" w:rsidRDefault="00B41865">
      <w:pPr>
        <w:pStyle w:val="P00"/>
        <w:spacing w:before="72"/>
        <w:ind w:left="0" w:right="1134"/>
        <w:rPr>
          <w:rStyle w:val="default"/>
          <w:rFonts w:cs="FrankRuehl"/>
          <w:rtl/>
        </w:rPr>
      </w:pPr>
      <w:bookmarkStart w:id="9" w:name="Seif9"/>
      <w:bookmarkEnd w:id="9"/>
      <w:r>
        <w:rPr>
          <w:lang w:val="he-IL"/>
        </w:rPr>
        <w:pict w14:anchorId="1ED0562A">
          <v:rect id="_x0000_s1035" style="position:absolute;left:0;text-align:left;margin-left:464.5pt;margin-top:8.05pt;width:75.05pt;height:10.85pt;z-index:251661824" o:allowincell="f" filled="f" stroked="f" strokecolor="lime" strokeweight=".25pt">
            <v:textbox inset="0,0,0,0">
              <w:txbxContent>
                <w:p w14:paraId="2C728416" w14:textId="77777777" w:rsidR="00B41865" w:rsidRDefault="00B41865">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10.</w:t>
      </w:r>
      <w:r>
        <w:rPr>
          <w:rStyle w:val="big-number"/>
          <w:rFonts w:cs="Miriam"/>
          <w:rtl/>
        </w:rPr>
        <w:tab/>
      </w:r>
      <w:r>
        <w:rPr>
          <w:rStyle w:val="default"/>
          <w:rFonts w:cs="FrankRuehl"/>
          <w:rtl/>
        </w:rPr>
        <w:t>תח</w:t>
      </w:r>
      <w:r>
        <w:rPr>
          <w:rStyle w:val="default"/>
          <w:rFonts w:cs="FrankRuehl" w:hint="cs"/>
          <w:rtl/>
        </w:rPr>
        <w:t>ילתן של תקנות אלה ביום העשירי לאחר פרסומן.</w:t>
      </w:r>
    </w:p>
    <w:p w14:paraId="257456FD" w14:textId="77777777" w:rsidR="00B41865" w:rsidRDefault="000D5056" w:rsidP="000D5056">
      <w:pPr>
        <w:pStyle w:val="P00"/>
        <w:spacing w:before="72"/>
        <w:ind w:left="0" w:right="1134"/>
        <w:rPr>
          <w:rStyle w:val="default"/>
          <w:rFonts w:cs="FrankRuehl"/>
          <w:rtl/>
        </w:rPr>
      </w:pPr>
      <w:r>
        <w:rPr>
          <w:rFonts w:cs="Miriam"/>
          <w:sz w:val="32"/>
          <w:szCs w:val="32"/>
          <w:rtl/>
          <w:lang w:eastAsia="en-US"/>
        </w:rPr>
        <w:pict w14:anchorId="398641AE">
          <v:shapetype id="_x0000_t202" coordsize="21600,21600" o:spt="202" path="m,l,21600r21600,l21600,xe">
            <v:stroke joinstyle="miter"/>
            <v:path gradientshapeok="t" o:connecttype="rect"/>
          </v:shapetype>
          <v:shape id="_x0000_s1037" type="#_x0000_t202" style="position:absolute;left:0;text-align:left;margin-left:470.25pt;margin-top:7.1pt;width:1in;height:8.65pt;z-index:251662848" filled="f" stroked="f">
            <v:textbox inset="1mm,0,1mm,0">
              <w:txbxContent>
                <w:p w14:paraId="51651F88" w14:textId="77777777" w:rsidR="000D5056" w:rsidRDefault="000D5056" w:rsidP="000D5056">
                  <w:pPr>
                    <w:spacing w:line="160" w:lineRule="exact"/>
                    <w:jc w:val="left"/>
                    <w:rPr>
                      <w:rFonts w:cs="Miriam" w:hint="cs"/>
                      <w:noProof/>
                      <w:sz w:val="18"/>
                      <w:szCs w:val="18"/>
                      <w:rtl/>
                    </w:rPr>
                  </w:pPr>
                  <w:r>
                    <w:rPr>
                      <w:rFonts w:cs="Miriam" w:hint="cs"/>
                      <w:sz w:val="18"/>
                      <w:szCs w:val="18"/>
                      <w:rtl/>
                    </w:rPr>
                    <w:t>השם</w:t>
                  </w:r>
                </w:p>
              </w:txbxContent>
            </v:textbox>
          </v:shape>
        </w:pict>
      </w:r>
      <w:r w:rsidR="00B41865">
        <w:rPr>
          <w:rStyle w:val="big-number"/>
          <w:rFonts w:cs="Miriam"/>
          <w:rtl/>
        </w:rPr>
        <w:t>11.</w:t>
      </w:r>
      <w:r w:rsidR="00B41865">
        <w:rPr>
          <w:rStyle w:val="big-number"/>
          <w:rFonts w:cs="Miriam"/>
          <w:rtl/>
        </w:rPr>
        <w:tab/>
      </w:r>
      <w:r w:rsidR="00B41865">
        <w:rPr>
          <w:rStyle w:val="default"/>
          <w:rFonts w:cs="FrankRuehl"/>
          <w:rtl/>
        </w:rPr>
        <w:t>לת</w:t>
      </w:r>
      <w:r w:rsidR="00B41865">
        <w:rPr>
          <w:rStyle w:val="default"/>
          <w:rFonts w:cs="FrankRuehl" w:hint="cs"/>
          <w:rtl/>
        </w:rPr>
        <w:t>קנות אלה ייקרא "תקנות הספנות (ימאים) (פסילה על תנאי), תשל"ו</w:t>
      </w:r>
      <w:r>
        <w:rPr>
          <w:rStyle w:val="default"/>
          <w:rFonts w:cs="FrankRuehl" w:hint="cs"/>
          <w:rtl/>
        </w:rPr>
        <w:t>-</w:t>
      </w:r>
      <w:r w:rsidR="00B41865">
        <w:rPr>
          <w:rStyle w:val="default"/>
          <w:rFonts w:cs="FrankRuehl"/>
          <w:rtl/>
        </w:rPr>
        <w:t>1976".</w:t>
      </w:r>
    </w:p>
    <w:p w14:paraId="7B39EA5E" w14:textId="77777777" w:rsidR="00B41865" w:rsidRDefault="00B41865">
      <w:pPr>
        <w:pStyle w:val="P00"/>
        <w:spacing w:before="72"/>
        <w:ind w:left="0" w:right="1134"/>
        <w:rPr>
          <w:rStyle w:val="default"/>
          <w:rFonts w:cs="FrankRuehl" w:hint="cs"/>
          <w:rtl/>
        </w:rPr>
      </w:pPr>
    </w:p>
    <w:p w14:paraId="77E11CC5" w14:textId="77777777" w:rsidR="000D5056" w:rsidRDefault="000D5056">
      <w:pPr>
        <w:pStyle w:val="P00"/>
        <w:spacing w:before="72"/>
        <w:ind w:left="0" w:right="1134"/>
        <w:rPr>
          <w:rStyle w:val="default"/>
          <w:rFonts w:cs="FrankRuehl" w:hint="cs"/>
          <w:rtl/>
        </w:rPr>
      </w:pPr>
    </w:p>
    <w:p w14:paraId="12199EE4" w14:textId="77777777" w:rsidR="00B41865" w:rsidRDefault="00B41865">
      <w:pPr>
        <w:pStyle w:val="P00"/>
        <w:spacing w:before="72"/>
        <w:ind w:left="0" w:right="1134"/>
        <w:rPr>
          <w:rFonts w:cs="FrankRuehl"/>
          <w:sz w:val="26"/>
          <w:rtl/>
        </w:rPr>
      </w:pPr>
      <w:r>
        <w:rPr>
          <w:rFonts w:cs="FrankRuehl"/>
          <w:sz w:val="26"/>
          <w:rtl/>
        </w:rPr>
        <w:t>י"</w:t>
      </w:r>
      <w:r>
        <w:rPr>
          <w:rFonts w:cs="FrankRuehl" w:hint="cs"/>
          <w:sz w:val="26"/>
          <w:rtl/>
        </w:rPr>
        <w:t>ח בסיון תשל"ו (16 ביוני 1976)</w:t>
      </w:r>
    </w:p>
    <w:p w14:paraId="7BF144E6" w14:textId="77777777" w:rsidR="00B41865" w:rsidRDefault="00B41865">
      <w:pPr>
        <w:pStyle w:val="P00"/>
        <w:spacing w:before="72"/>
        <w:ind w:left="0" w:right="1134"/>
        <w:rPr>
          <w:rFonts w:cs="FrankRuehl"/>
          <w:sz w:val="26"/>
          <w:rtl/>
        </w:rPr>
      </w:pPr>
    </w:p>
    <w:p w14:paraId="71ED34F8" w14:textId="77777777" w:rsidR="00B41865" w:rsidRDefault="00B41865">
      <w:pPr>
        <w:pStyle w:val="P22"/>
        <w:spacing w:before="72"/>
        <w:ind w:left="1021" w:right="1134"/>
        <w:rPr>
          <w:rStyle w:val="default"/>
          <w:rFonts w:cs="FrankRuehl"/>
          <w:rtl/>
        </w:rPr>
      </w:pPr>
      <w:r>
        <w:rPr>
          <w:rStyle w:val="default"/>
          <w:rFonts w:cs="FrankRuehl"/>
          <w:rtl/>
        </w:rPr>
        <w:t>אנ</w:t>
      </w:r>
      <w:r>
        <w:rPr>
          <w:rStyle w:val="default"/>
          <w:rFonts w:cs="FrankRuehl" w:hint="cs"/>
          <w:rtl/>
        </w:rPr>
        <w:t>י מסכים.</w:t>
      </w:r>
    </w:p>
    <w:p w14:paraId="34161364" w14:textId="77777777" w:rsidR="00B41865" w:rsidRPr="000D5056" w:rsidRDefault="00B41865" w:rsidP="000D5056">
      <w:pPr>
        <w:pStyle w:val="sig-1"/>
        <w:widowControl/>
        <w:tabs>
          <w:tab w:val="clear" w:pos="851"/>
          <w:tab w:val="clear" w:pos="2835"/>
          <w:tab w:val="clear" w:pos="4820"/>
          <w:tab w:val="center" w:pos="1985"/>
          <w:tab w:val="center" w:pos="4536"/>
        </w:tabs>
        <w:spacing w:before="72"/>
        <w:ind w:left="0" w:right="1134"/>
        <w:rPr>
          <w:rFonts w:cs="FrankRuehl"/>
          <w:sz w:val="26"/>
          <w:szCs w:val="26"/>
          <w:rtl/>
        </w:rPr>
      </w:pPr>
      <w:r w:rsidRPr="000D5056">
        <w:rPr>
          <w:rFonts w:cs="FrankRuehl"/>
          <w:sz w:val="26"/>
          <w:szCs w:val="26"/>
          <w:rtl/>
        </w:rPr>
        <w:tab/>
        <w:t>ח</w:t>
      </w:r>
      <w:r w:rsidRPr="000D5056">
        <w:rPr>
          <w:rFonts w:cs="FrankRuehl" w:hint="cs"/>
          <w:sz w:val="26"/>
          <w:szCs w:val="26"/>
          <w:rtl/>
        </w:rPr>
        <w:t>יים י' צדוק</w:t>
      </w:r>
      <w:r w:rsidRPr="000D5056">
        <w:rPr>
          <w:rFonts w:cs="FrankRuehl"/>
          <w:sz w:val="26"/>
          <w:szCs w:val="26"/>
          <w:rtl/>
        </w:rPr>
        <w:tab/>
        <w:t>ג</w:t>
      </w:r>
      <w:r w:rsidRPr="000D5056">
        <w:rPr>
          <w:rFonts w:cs="FrankRuehl" w:hint="cs"/>
          <w:sz w:val="26"/>
          <w:szCs w:val="26"/>
          <w:rtl/>
        </w:rPr>
        <w:t>ד יעקבי</w:t>
      </w:r>
    </w:p>
    <w:p w14:paraId="4DF2C290" w14:textId="77777777" w:rsidR="00B41865" w:rsidRDefault="00B41865">
      <w:pPr>
        <w:pStyle w:val="sig-1"/>
        <w:widowControl/>
        <w:tabs>
          <w:tab w:val="clear" w:pos="851"/>
          <w:tab w:val="clear" w:pos="2835"/>
          <w:tab w:val="clear" w:pos="4820"/>
          <w:tab w:val="center" w:pos="1985"/>
          <w:tab w:val="center" w:pos="4536"/>
        </w:tabs>
        <w:ind w:left="0" w:right="1134"/>
        <w:rPr>
          <w:rFonts w:cs="FrankRuehl" w:hint="cs"/>
          <w:sz w:val="22"/>
          <w:rtl/>
        </w:rPr>
      </w:pPr>
      <w:r>
        <w:rPr>
          <w:rFonts w:cs="FrankRuehl"/>
          <w:sz w:val="22"/>
          <w:rtl/>
        </w:rPr>
        <w:tab/>
        <w:t>ש</w:t>
      </w:r>
      <w:r>
        <w:rPr>
          <w:rFonts w:cs="FrankRuehl" w:hint="cs"/>
          <w:sz w:val="22"/>
          <w:rtl/>
        </w:rPr>
        <w:t>ר המשפטים</w:t>
      </w:r>
      <w:r>
        <w:rPr>
          <w:rFonts w:cs="FrankRuehl"/>
          <w:sz w:val="22"/>
          <w:rtl/>
        </w:rPr>
        <w:tab/>
      </w:r>
      <w:r>
        <w:rPr>
          <w:rFonts w:cs="FrankRuehl" w:hint="cs"/>
          <w:sz w:val="22"/>
          <w:rtl/>
        </w:rPr>
        <w:t>ש</w:t>
      </w:r>
      <w:r>
        <w:rPr>
          <w:rFonts w:cs="FrankRuehl"/>
          <w:sz w:val="22"/>
          <w:rtl/>
        </w:rPr>
        <w:t>ר</w:t>
      </w:r>
      <w:r>
        <w:rPr>
          <w:rFonts w:cs="FrankRuehl" w:hint="cs"/>
          <w:sz w:val="22"/>
          <w:rtl/>
        </w:rPr>
        <w:t xml:space="preserve"> התחבורה</w:t>
      </w:r>
    </w:p>
    <w:p w14:paraId="751EE2FB" w14:textId="77777777" w:rsidR="000D5056" w:rsidRPr="000D5056" w:rsidRDefault="000D5056" w:rsidP="000D5056">
      <w:pPr>
        <w:pStyle w:val="P00"/>
        <w:spacing w:before="72"/>
        <w:ind w:left="0" w:right="1134"/>
        <w:rPr>
          <w:rStyle w:val="default"/>
          <w:rFonts w:cs="FrankRuehl" w:hint="cs"/>
          <w:rtl/>
        </w:rPr>
      </w:pPr>
    </w:p>
    <w:p w14:paraId="3CF69AC4" w14:textId="77777777" w:rsidR="000D5056" w:rsidRPr="000D5056" w:rsidRDefault="000D5056" w:rsidP="000D5056">
      <w:pPr>
        <w:pStyle w:val="P00"/>
        <w:spacing w:before="72"/>
        <w:ind w:left="0" w:right="1134"/>
        <w:rPr>
          <w:rStyle w:val="default"/>
          <w:rFonts w:cs="FrankRuehl"/>
          <w:rtl/>
        </w:rPr>
      </w:pPr>
    </w:p>
    <w:p w14:paraId="5B9C141D" w14:textId="77777777" w:rsidR="00B41865" w:rsidRPr="000D5056" w:rsidRDefault="00B41865" w:rsidP="000D5056">
      <w:pPr>
        <w:pStyle w:val="P00"/>
        <w:spacing w:before="72"/>
        <w:ind w:left="0" w:right="1134"/>
        <w:rPr>
          <w:rStyle w:val="default"/>
          <w:rFonts w:cs="FrankRuehl"/>
          <w:rtl/>
        </w:rPr>
      </w:pPr>
      <w:bookmarkStart w:id="10" w:name="LawPartEnd"/>
    </w:p>
    <w:bookmarkEnd w:id="10"/>
    <w:p w14:paraId="0DBC7E3F" w14:textId="77777777" w:rsidR="00B41865" w:rsidRPr="000D5056" w:rsidRDefault="00B41865" w:rsidP="000D5056">
      <w:pPr>
        <w:pStyle w:val="P00"/>
        <w:spacing w:before="72"/>
        <w:ind w:left="0" w:right="1134"/>
        <w:rPr>
          <w:rStyle w:val="default"/>
          <w:rFonts w:cs="FrankRuehl"/>
          <w:rtl/>
        </w:rPr>
      </w:pPr>
    </w:p>
    <w:sectPr w:rsidR="00B41865" w:rsidRPr="000D5056">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A7E8C4" w14:textId="77777777" w:rsidR="00F17B42" w:rsidRDefault="00F17B42">
      <w:r>
        <w:separator/>
      </w:r>
    </w:p>
  </w:endnote>
  <w:endnote w:type="continuationSeparator" w:id="0">
    <w:p w14:paraId="595C991F" w14:textId="77777777" w:rsidR="00F17B42" w:rsidRDefault="00F17B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94FFF" w14:textId="77777777" w:rsidR="00B41865" w:rsidRDefault="00B41865">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154EAFD9" w14:textId="77777777" w:rsidR="00B41865" w:rsidRDefault="00B41865">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06BCD2E1" w14:textId="77777777" w:rsidR="00B41865" w:rsidRDefault="00B41865">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D5056">
      <w:rPr>
        <w:rFonts w:cs="TopType Jerushalmi"/>
        <w:noProof/>
        <w:color w:val="000000"/>
        <w:sz w:val="14"/>
        <w:szCs w:val="14"/>
      </w:rPr>
      <w:t>C:\Yael\hakika\Revadim\P172_010.doc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247DC" w14:textId="77777777" w:rsidR="00B41865" w:rsidRDefault="00B41865">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561748">
      <w:rPr>
        <w:rFonts w:hAnsi="FrankRuehl" w:cs="FrankRuehl"/>
        <w:noProof/>
        <w:sz w:val="24"/>
        <w:szCs w:val="24"/>
        <w:rtl/>
      </w:rPr>
      <w:t>2</w:t>
    </w:r>
    <w:r>
      <w:rPr>
        <w:rFonts w:hAnsi="FrankRuehl" w:cs="FrankRuehl"/>
        <w:sz w:val="24"/>
        <w:szCs w:val="24"/>
        <w:rtl/>
      </w:rPr>
      <w:fldChar w:fldCharType="end"/>
    </w:r>
  </w:p>
  <w:p w14:paraId="09EB90A0" w14:textId="77777777" w:rsidR="00B41865" w:rsidRDefault="00B41865">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2D180B77" w14:textId="77777777" w:rsidR="00B41865" w:rsidRDefault="00B41865">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D5056">
      <w:rPr>
        <w:rFonts w:cs="TopType Jerushalmi"/>
        <w:noProof/>
        <w:color w:val="000000"/>
        <w:sz w:val="14"/>
        <w:szCs w:val="14"/>
      </w:rPr>
      <w:t>C:\Yael\hakika\Revadim\P172_010.doc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92816E" w14:textId="77777777" w:rsidR="00F17B42" w:rsidRDefault="00F17B42" w:rsidP="000D5056">
      <w:pPr>
        <w:spacing w:before="60" w:line="240" w:lineRule="auto"/>
        <w:ind w:right="1134"/>
      </w:pPr>
      <w:r>
        <w:separator/>
      </w:r>
    </w:p>
  </w:footnote>
  <w:footnote w:type="continuationSeparator" w:id="0">
    <w:p w14:paraId="0DDFF8BC" w14:textId="77777777" w:rsidR="00F17B42" w:rsidRDefault="00F17B42">
      <w:r>
        <w:continuationSeparator/>
      </w:r>
    </w:p>
  </w:footnote>
  <w:footnote w:id="1">
    <w:p w14:paraId="15D9751F" w14:textId="77777777" w:rsidR="000D5056" w:rsidRPr="000D5056" w:rsidRDefault="000D5056" w:rsidP="000D505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sidRPr="000D5056">
        <w:rPr>
          <w:rFonts w:cs="FrankRuehl"/>
          <w:rtl/>
        </w:rPr>
        <w:t xml:space="preserve">* </w:t>
      </w:r>
      <w:r>
        <w:rPr>
          <w:rFonts w:cs="FrankRuehl"/>
          <w:rtl/>
        </w:rPr>
        <w:t>פו</w:t>
      </w:r>
      <w:r>
        <w:rPr>
          <w:rFonts w:cs="FrankRuehl" w:hint="cs"/>
          <w:rtl/>
        </w:rPr>
        <w:t xml:space="preserve">רסמו </w:t>
      </w:r>
      <w:hyperlink r:id="rId1" w:history="1">
        <w:r w:rsidRPr="00EB24D7">
          <w:rPr>
            <w:rStyle w:val="Hyperlink"/>
            <w:rFonts w:cs="FrankRuehl" w:hint="cs"/>
            <w:rtl/>
          </w:rPr>
          <w:t>ק"ת תשל"ו מס' 3558</w:t>
        </w:r>
      </w:hyperlink>
      <w:r>
        <w:rPr>
          <w:rFonts w:cs="FrankRuehl" w:hint="cs"/>
          <w:rtl/>
        </w:rPr>
        <w:t xml:space="preserve"> מיום 8.7.1976 עמ' 2022.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FF3E0" w14:textId="77777777" w:rsidR="00B41865" w:rsidRDefault="00B41865">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הספנות (ימאים) (פסילה על תנאי), תשל"ו–1976</w:t>
    </w:r>
  </w:p>
  <w:p w14:paraId="288BB12B" w14:textId="77777777" w:rsidR="00B41865" w:rsidRDefault="00B4186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2187B77" w14:textId="77777777" w:rsidR="00B41865" w:rsidRDefault="00B41865">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B4BD7" w14:textId="77777777" w:rsidR="00B41865" w:rsidRDefault="00B41865" w:rsidP="000D5056">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הספנות (ימאים) (פסילה על תנאי), תשל"ו</w:t>
    </w:r>
    <w:r w:rsidR="000D5056">
      <w:rPr>
        <w:rFonts w:hAnsi="FrankRuehl" w:cs="FrankRuehl" w:hint="cs"/>
        <w:color w:val="000000"/>
        <w:sz w:val="28"/>
        <w:szCs w:val="28"/>
        <w:rtl/>
      </w:rPr>
      <w:t>-</w:t>
    </w:r>
    <w:r>
      <w:rPr>
        <w:rFonts w:hAnsi="FrankRuehl" w:cs="FrankRuehl"/>
        <w:color w:val="000000"/>
        <w:sz w:val="28"/>
        <w:szCs w:val="28"/>
        <w:rtl/>
      </w:rPr>
      <w:t>1976</w:t>
    </w:r>
  </w:p>
  <w:p w14:paraId="1CA92770" w14:textId="77777777" w:rsidR="00B41865" w:rsidRDefault="00B4186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05AAD3C" w14:textId="77777777" w:rsidR="00B41865" w:rsidRDefault="00B41865">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B24D7"/>
    <w:rsid w:val="000D5056"/>
    <w:rsid w:val="004C75C5"/>
    <w:rsid w:val="00561748"/>
    <w:rsid w:val="007B76DA"/>
    <w:rsid w:val="00910B12"/>
    <w:rsid w:val="00A772F4"/>
    <w:rsid w:val="00B41865"/>
    <w:rsid w:val="00B54BE7"/>
    <w:rsid w:val="00C24D97"/>
    <w:rsid w:val="00C32845"/>
    <w:rsid w:val="00EB24D7"/>
    <w:rsid w:val="00F17B4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7E4A583A"/>
  <w15:chartTrackingRefBased/>
  <w15:docId w15:val="{155FC04A-E517-450A-9DC3-30FBBD9FC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0D5056"/>
    <w:rPr>
      <w:sz w:val="20"/>
      <w:szCs w:val="20"/>
    </w:rPr>
  </w:style>
  <w:style w:type="character" w:styleId="a6">
    <w:name w:val="footnote reference"/>
    <w:basedOn w:val="a0"/>
    <w:semiHidden/>
    <w:rsid w:val="000D505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355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475</Words>
  <Characters>2711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פרק 172</vt:lpstr>
    </vt:vector>
  </TitlesOfParts>
  <Company/>
  <LinksUpToDate>false</LinksUpToDate>
  <CharactersWithSpaces>3180</CharactersWithSpaces>
  <SharedDoc>false</SharedDoc>
  <HLinks>
    <vt:vector size="66" baseType="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8323077</vt:i4>
      </vt:variant>
      <vt:variant>
        <vt:i4>0</vt:i4>
      </vt:variant>
      <vt:variant>
        <vt:i4>0</vt:i4>
      </vt:variant>
      <vt:variant>
        <vt:i4>5</vt:i4>
      </vt:variant>
      <vt:variant>
        <vt:lpwstr>http://www.nevo.co.il/Law_word/law06/TAK-3558.pdf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172</dc:title>
  <dc:subject/>
  <dc:creator>eli</dc:creator>
  <cp:keywords/>
  <dc:description/>
  <cp:lastModifiedBy>Shimon Doodkin</cp:lastModifiedBy>
  <cp:revision>2</cp:revision>
  <dcterms:created xsi:type="dcterms:W3CDTF">2023-06-05T20:23:00Z</dcterms:created>
  <dcterms:modified xsi:type="dcterms:W3CDTF">2023-06-05T20:23:00Z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P172</vt:lpwstr>
  </property>
  <property fmtid="{D5CDD505-2E9C-101B-9397-08002B2CF9AE}" pid="3" name="CHNAME">
    <vt:lpwstr>ספנות</vt:lpwstr>
  </property>
  <property fmtid="{D5CDD505-2E9C-101B-9397-08002B2CF9AE}" pid="4" name="LAWNAME">
    <vt:lpwstr>תקנות הספנות (ימאים) (פסילה על תנאי), תשל"ו-1976</vt:lpwstr>
  </property>
  <property fmtid="{D5CDD505-2E9C-101B-9397-08002B2CF9AE}" pid="5" name="LAWNUMBER">
    <vt:lpwstr>0010</vt:lpwstr>
  </property>
  <property fmtid="{D5CDD505-2E9C-101B-9397-08002B2CF9AE}" pid="6" name="TYPE">
    <vt:lpwstr>01</vt:lpwstr>
  </property>
  <property fmtid="{D5CDD505-2E9C-101B-9397-08002B2CF9AE}" pid="7" name="MEKOR_NAME1">
    <vt:lpwstr>חוק הספנות (ימאים)</vt:lpwstr>
  </property>
  <property fmtid="{D5CDD505-2E9C-101B-9397-08002B2CF9AE}" pid="8" name="MEKOR_SAIF1">
    <vt:lpwstr>151X</vt:lpwstr>
  </property>
  <property fmtid="{D5CDD505-2E9C-101B-9397-08002B2CF9AE}" pid="9" name="NOSE11">
    <vt:lpwstr>משפט פרטי וכלכלה</vt:lpwstr>
  </property>
  <property fmtid="{D5CDD505-2E9C-101B-9397-08002B2CF9AE}" pid="10" name="NOSE21">
    <vt:lpwstr>הסדרת עיסוק</vt:lpwstr>
  </property>
  <property fmtid="{D5CDD505-2E9C-101B-9397-08002B2CF9AE}" pid="11" name="NOSE31">
    <vt:lpwstr>ימאים</vt:lpwstr>
  </property>
  <property fmtid="{D5CDD505-2E9C-101B-9397-08002B2CF9AE}" pid="12" name="NOSE41">
    <vt:lpwstr/>
  </property>
  <property fmtid="{D5CDD505-2E9C-101B-9397-08002B2CF9AE}" pid="13" name="NOSE12">
    <vt:lpwstr>רשויות ומשפט מנהלי</vt:lpwstr>
  </property>
  <property fmtid="{D5CDD505-2E9C-101B-9397-08002B2CF9AE}" pid="14" name="NOSE22">
    <vt:lpwstr>הסדרת עיסוק</vt:lpwstr>
  </property>
  <property fmtid="{D5CDD505-2E9C-101B-9397-08002B2CF9AE}" pid="15" name="NOSE32">
    <vt:lpwstr>ימאים</vt:lpwstr>
  </property>
  <property fmtid="{D5CDD505-2E9C-101B-9397-08002B2CF9AE}" pid="16" name="NOSE42">
    <vt:lpwstr/>
  </property>
  <property fmtid="{D5CDD505-2E9C-101B-9397-08002B2CF9AE}" pid="17" name="NOSE13">
    <vt:lpwstr>רשויות ומשפט מנהלי</vt:lpwstr>
  </property>
  <property fmtid="{D5CDD505-2E9C-101B-9397-08002B2CF9AE}" pid="18" name="NOSE23">
    <vt:lpwstr>תשתיות</vt:lpwstr>
  </property>
  <property fmtid="{D5CDD505-2E9C-101B-9397-08002B2CF9AE}" pid="19" name="NOSE33">
    <vt:lpwstr>ספנות ונמלים</vt:lpwstr>
  </property>
  <property fmtid="{D5CDD505-2E9C-101B-9397-08002B2CF9AE}" pid="20" name="NOSE43">
    <vt:lpwstr>ימאים</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