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1D97" w14:textId="77777777" w:rsidR="006239E9" w:rsidRDefault="006239E9">
      <w:pPr>
        <w:pStyle w:val="big-header"/>
        <w:ind w:left="0" w:right="1134"/>
        <w:rPr>
          <w:rFonts w:hint="cs"/>
          <w:rtl/>
        </w:rPr>
      </w:pPr>
      <w:r>
        <w:rPr>
          <w:rFonts w:hint="cs"/>
          <w:rtl/>
        </w:rPr>
        <w:t xml:space="preserve">תקנות העבירות המינהליות (קנס מינהלי </w:t>
      </w:r>
      <w:r>
        <w:rPr>
          <w:rtl/>
        </w:rPr>
        <w:t>–</w:t>
      </w:r>
      <w:r>
        <w:rPr>
          <w:rFonts w:hint="cs"/>
          <w:rtl/>
        </w:rPr>
        <w:t xml:space="preserve"> </w:t>
      </w:r>
      <w:r w:rsidR="00B30634">
        <w:rPr>
          <w:rFonts w:hint="cs"/>
          <w:rtl/>
        </w:rPr>
        <w:t xml:space="preserve">צמצום השימוש במזומן), </w:t>
      </w:r>
      <w:r w:rsidR="00B30634">
        <w:rPr>
          <w:rtl/>
        </w:rPr>
        <w:br/>
      </w:r>
      <w:r w:rsidR="00B30634">
        <w:rPr>
          <w:rFonts w:hint="cs"/>
          <w:rtl/>
        </w:rPr>
        <w:t>תשפ"ב-2021</w:t>
      </w:r>
    </w:p>
    <w:p w14:paraId="12411934" w14:textId="77777777" w:rsidR="006F191E" w:rsidRDefault="006F191E" w:rsidP="006F191E">
      <w:pPr>
        <w:spacing w:line="320" w:lineRule="auto"/>
        <w:jc w:val="left"/>
        <w:rPr>
          <w:rFonts w:cs="FrankRuehl" w:hint="cs"/>
          <w:szCs w:val="26"/>
          <w:rtl/>
        </w:rPr>
      </w:pPr>
    </w:p>
    <w:p w14:paraId="66709038" w14:textId="77777777" w:rsidR="00875B69" w:rsidRPr="006F191E" w:rsidRDefault="00875B69" w:rsidP="006F191E">
      <w:pPr>
        <w:spacing w:line="320" w:lineRule="auto"/>
        <w:jc w:val="left"/>
        <w:rPr>
          <w:rFonts w:cs="FrankRuehl" w:hint="cs"/>
          <w:szCs w:val="26"/>
          <w:rtl/>
        </w:rPr>
      </w:pPr>
    </w:p>
    <w:p w14:paraId="07599441" w14:textId="77777777" w:rsidR="006F191E" w:rsidRDefault="00B30634" w:rsidP="006F191E">
      <w:pPr>
        <w:spacing w:line="320" w:lineRule="auto"/>
        <w:jc w:val="left"/>
        <w:rPr>
          <w:rFonts w:cs="Miriam"/>
          <w:szCs w:val="22"/>
          <w:rtl/>
        </w:rPr>
      </w:pPr>
      <w:r>
        <w:rPr>
          <w:rFonts w:cs="Miriam" w:hint="cs"/>
          <w:szCs w:val="22"/>
          <w:rtl/>
        </w:rPr>
        <w:t>משפט פרטי וכלכלה</w:t>
      </w:r>
      <w:r w:rsidR="006F191E" w:rsidRPr="006F191E">
        <w:rPr>
          <w:rFonts w:cs="FrankRuehl"/>
          <w:szCs w:val="26"/>
          <w:rtl/>
        </w:rPr>
        <w:t xml:space="preserve"> – </w:t>
      </w:r>
      <w:r>
        <w:rPr>
          <w:rFonts w:cs="FrankRuehl" w:hint="cs"/>
          <w:szCs w:val="26"/>
          <w:rtl/>
        </w:rPr>
        <w:t>כספים</w:t>
      </w:r>
      <w:r w:rsidR="006F191E" w:rsidRPr="006F191E">
        <w:rPr>
          <w:rFonts w:cs="FrankRuehl"/>
          <w:szCs w:val="26"/>
          <w:rtl/>
        </w:rPr>
        <w:t xml:space="preserve"> – </w:t>
      </w:r>
      <w:r>
        <w:rPr>
          <w:rFonts w:cs="FrankRuehl" w:hint="cs"/>
          <w:szCs w:val="26"/>
          <w:rtl/>
        </w:rPr>
        <w:t>שטרות</w:t>
      </w:r>
    </w:p>
    <w:p w14:paraId="12994846" w14:textId="77777777" w:rsidR="006F191E" w:rsidRDefault="006F191E" w:rsidP="006F191E">
      <w:pPr>
        <w:spacing w:line="320" w:lineRule="auto"/>
        <w:jc w:val="left"/>
        <w:rPr>
          <w:rFonts w:cs="Miriam"/>
          <w:szCs w:val="22"/>
          <w:rtl/>
        </w:rPr>
      </w:pPr>
      <w:r w:rsidRPr="006F191E">
        <w:rPr>
          <w:rFonts w:cs="Miriam"/>
          <w:szCs w:val="22"/>
          <w:rtl/>
        </w:rPr>
        <w:t>עונשין ומשפט פלילי</w:t>
      </w:r>
      <w:r w:rsidRPr="006F191E">
        <w:rPr>
          <w:rFonts w:cs="FrankRuehl"/>
          <w:szCs w:val="26"/>
          <w:rtl/>
        </w:rPr>
        <w:t xml:space="preserve"> – עבירות – עבירות מינהליות – קנס מינהלי</w:t>
      </w:r>
    </w:p>
    <w:p w14:paraId="1D7663EC" w14:textId="77777777" w:rsidR="006F191E" w:rsidRDefault="006F191E" w:rsidP="006F191E">
      <w:pPr>
        <w:spacing w:line="320" w:lineRule="auto"/>
        <w:jc w:val="left"/>
        <w:rPr>
          <w:rFonts w:cs="Miriam"/>
          <w:szCs w:val="22"/>
          <w:rtl/>
        </w:rPr>
      </w:pPr>
      <w:r w:rsidRPr="006F191E">
        <w:rPr>
          <w:rFonts w:cs="Miriam"/>
          <w:szCs w:val="22"/>
          <w:rtl/>
        </w:rPr>
        <w:t>בתי משפט וסדרי דין</w:t>
      </w:r>
      <w:r w:rsidRPr="006F191E">
        <w:rPr>
          <w:rFonts w:cs="FrankRuehl"/>
          <w:szCs w:val="26"/>
          <w:rtl/>
        </w:rPr>
        <w:t xml:space="preserve"> – סדר דין פלילי – עבירות מינהליות – קנס מינהלי</w:t>
      </w:r>
    </w:p>
    <w:p w14:paraId="61E41AF1" w14:textId="77777777" w:rsidR="00FA49D0" w:rsidRPr="006F191E" w:rsidRDefault="006F191E" w:rsidP="006F191E">
      <w:pPr>
        <w:spacing w:line="320" w:lineRule="auto"/>
        <w:jc w:val="left"/>
        <w:rPr>
          <w:rFonts w:cs="Miriam" w:hint="cs"/>
          <w:szCs w:val="22"/>
          <w:rtl/>
        </w:rPr>
      </w:pPr>
      <w:r w:rsidRPr="006F191E">
        <w:rPr>
          <w:rFonts w:cs="Miriam"/>
          <w:szCs w:val="22"/>
          <w:rtl/>
        </w:rPr>
        <w:t>רשויות ומשפט מנהלי</w:t>
      </w:r>
      <w:r w:rsidRPr="006F191E">
        <w:rPr>
          <w:rFonts w:cs="FrankRuehl"/>
          <w:szCs w:val="26"/>
          <w:rtl/>
        </w:rPr>
        <w:t xml:space="preserve"> – עבירות מינהליות – קנס מינהלי</w:t>
      </w:r>
    </w:p>
    <w:p w14:paraId="06EA70F6" w14:textId="77777777" w:rsidR="006239E9" w:rsidRDefault="006239E9">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5075" w:rsidRPr="00665075" w14:paraId="5CA50FDC" w14:textId="77777777" w:rsidTr="00665075">
        <w:tblPrEx>
          <w:tblCellMar>
            <w:top w:w="0" w:type="dxa"/>
            <w:bottom w:w="0" w:type="dxa"/>
          </w:tblCellMar>
        </w:tblPrEx>
        <w:tc>
          <w:tcPr>
            <w:tcW w:w="1247" w:type="dxa"/>
          </w:tcPr>
          <w:p w14:paraId="6AFC45F0" w14:textId="77777777" w:rsidR="00665075" w:rsidRPr="00665075" w:rsidRDefault="00665075" w:rsidP="00665075">
            <w:pPr>
              <w:spacing w:line="240" w:lineRule="auto"/>
              <w:jc w:val="left"/>
              <w:rPr>
                <w:rFonts w:cs="Frankruhel" w:hint="cs"/>
                <w:sz w:val="24"/>
                <w:rtl/>
              </w:rPr>
            </w:pPr>
            <w:r>
              <w:rPr>
                <w:rFonts w:cs="Times New Roman"/>
                <w:sz w:val="24"/>
                <w:rtl/>
              </w:rPr>
              <w:t xml:space="preserve">סעיף 1 </w:t>
            </w:r>
          </w:p>
        </w:tc>
        <w:tc>
          <w:tcPr>
            <w:tcW w:w="5669" w:type="dxa"/>
          </w:tcPr>
          <w:p w14:paraId="6B13E758" w14:textId="77777777" w:rsidR="00665075" w:rsidRPr="00665075" w:rsidRDefault="00665075" w:rsidP="00665075">
            <w:pPr>
              <w:spacing w:line="240" w:lineRule="auto"/>
              <w:jc w:val="left"/>
              <w:rPr>
                <w:rFonts w:cs="Frankruhel" w:hint="cs"/>
                <w:sz w:val="24"/>
                <w:rtl/>
              </w:rPr>
            </w:pPr>
            <w:r>
              <w:rPr>
                <w:rFonts w:cs="Times New Roman"/>
                <w:sz w:val="24"/>
                <w:rtl/>
              </w:rPr>
              <w:t>עבירות מינהליות</w:t>
            </w:r>
          </w:p>
        </w:tc>
        <w:tc>
          <w:tcPr>
            <w:tcW w:w="567" w:type="dxa"/>
          </w:tcPr>
          <w:p w14:paraId="759F0F2E" w14:textId="77777777" w:rsidR="00665075" w:rsidRPr="00665075" w:rsidRDefault="00665075" w:rsidP="00665075">
            <w:pPr>
              <w:spacing w:line="240" w:lineRule="auto"/>
              <w:jc w:val="left"/>
              <w:rPr>
                <w:rStyle w:val="Hyperlink"/>
                <w:rFonts w:hint="cs"/>
                <w:rtl/>
              </w:rPr>
            </w:pPr>
            <w:hyperlink w:anchor="Seif1" w:tooltip="עבירות מינהליות" w:history="1">
              <w:r w:rsidRPr="00665075">
                <w:rPr>
                  <w:rStyle w:val="Hyperlink"/>
                </w:rPr>
                <w:t>Go</w:t>
              </w:r>
            </w:hyperlink>
          </w:p>
        </w:tc>
        <w:tc>
          <w:tcPr>
            <w:tcW w:w="850" w:type="dxa"/>
          </w:tcPr>
          <w:p w14:paraId="72164D6C" w14:textId="77777777" w:rsidR="00665075" w:rsidRPr="00665075" w:rsidRDefault="00665075" w:rsidP="0066507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5075" w:rsidRPr="00665075" w14:paraId="1BAFC2C0" w14:textId="77777777" w:rsidTr="00665075">
        <w:tblPrEx>
          <w:tblCellMar>
            <w:top w:w="0" w:type="dxa"/>
            <w:bottom w:w="0" w:type="dxa"/>
          </w:tblCellMar>
        </w:tblPrEx>
        <w:tc>
          <w:tcPr>
            <w:tcW w:w="1247" w:type="dxa"/>
          </w:tcPr>
          <w:p w14:paraId="435E4CDA" w14:textId="77777777" w:rsidR="00665075" w:rsidRPr="00665075" w:rsidRDefault="00665075" w:rsidP="00665075">
            <w:pPr>
              <w:spacing w:line="240" w:lineRule="auto"/>
              <w:jc w:val="left"/>
              <w:rPr>
                <w:rFonts w:cs="Frankruhel" w:hint="cs"/>
                <w:sz w:val="24"/>
                <w:rtl/>
              </w:rPr>
            </w:pPr>
            <w:r>
              <w:rPr>
                <w:rFonts w:cs="Times New Roman"/>
                <w:sz w:val="24"/>
                <w:rtl/>
              </w:rPr>
              <w:t xml:space="preserve">סעיף 2 </w:t>
            </w:r>
          </w:p>
        </w:tc>
        <w:tc>
          <w:tcPr>
            <w:tcW w:w="5669" w:type="dxa"/>
          </w:tcPr>
          <w:p w14:paraId="13B7308C" w14:textId="77777777" w:rsidR="00665075" w:rsidRPr="00665075" w:rsidRDefault="00665075" w:rsidP="00665075">
            <w:pPr>
              <w:spacing w:line="240" w:lineRule="auto"/>
              <w:jc w:val="left"/>
              <w:rPr>
                <w:rFonts w:cs="Frankruhel" w:hint="cs"/>
                <w:sz w:val="24"/>
                <w:rtl/>
              </w:rPr>
            </w:pPr>
            <w:r>
              <w:rPr>
                <w:rFonts w:cs="Times New Roman"/>
                <w:sz w:val="24"/>
                <w:rtl/>
              </w:rPr>
              <w:t>קנס מינהלי</w:t>
            </w:r>
          </w:p>
        </w:tc>
        <w:tc>
          <w:tcPr>
            <w:tcW w:w="567" w:type="dxa"/>
          </w:tcPr>
          <w:p w14:paraId="75CE2D2B" w14:textId="77777777" w:rsidR="00665075" w:rsidRPr="00665075" w:rsidRDefault="00665075" w:rsidP="00665075">
            <w:pPr>
              <w:spacing w:line="240" w:lineRule="auto"/>
              <w:jc w:val="left"/>
              <w:rPr>
                <w:rStyle w:val="Hyperlink"/>
                <w:rFonts w:hint="cs"/>
                <w:rtl/>
              </w:rPr>
            </w:pPr>
            <w:hyperlink w:anchor="Seif2" w:tooltip="קנס מינהלי" w:history="1">
              <w:r w:rsidRPr="00665075">
                <w:rPr>
                  <w:rStyle w:val="Hyperlink"/>
                </w:rPr>
                <w:t>Go</w:t>
              </w:r>
            </w:hyperlink>
          </w:p>
        </w:tc>
        <w:tc>
          <w:tcPr>
            <w:tcW w:w="850" w:type="dxa"/>
          </w:tcPr>
          <w:p w14:paraId="01A7C150" w14:textId="77777777" w:rsidR="00665075" w:rsidRPr="00665075" w:rsidRDefault="00665075" w:rsidP="0066507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5075" w:rsidRPr="00665075" w14:paraId="0FBA3F4F" w14:textId="77777777" w:rsidTr="00665075">
        <w:tblPrEx>
          <w:tblCellMar>
            <w:top w:w="0" w:type="dxa"/>
            <w:bottom w:w="0" w:type="dxa"/>
          </w:tblCellMar>
        </w:tblPrEx>
        <w:tc>
          <w:tcPr>
            <w:tcW w:w="1247" w:type="dxa"/>
          </w:tcPr>
          <w:p w14:paraId="40CF0B6E" w14:textId="77777777" w:rsidR="00665075" w:rsidRPr="00665075" w:rsidRDefault="00665075" w:rsidP="00665075">
            <w:pPr>
              <w:spacing w:line="240" w:lineRule="auto"/>
              <w:jc w:val="left"/>
              <w:rPr>
                <w:rFonts w:cs="Frankruhel" w:hint="cs"/>
                <w:sz w:val="24"/>
                <w:rtl/>
              </w:rPr>
            </w:pPr>
            <w:r>
              <w:rPr>
                <w:rFonts w:cs="Times New Roman"/>
                <w:sz w:val="24"/>
                <w:rtl/>
              </w:rPr>
              <w:t xml:space="preserve">סעיף 3 </w:t>
            </w:r>
          </w:p>
        </w:tc>
        <w:tc>
          <w:tcPr>
            <w:tcW w:w="5669" w:type="dxa"/>
          </w:tcPr>
          <w:p w14:paraId="61F64B78" w14:textId="77777777" w:rsidR="00665075" w:rsidRPr="00665075" w:rsidRDefault="00665075" w:rsidP="00665075">
            <w:pPr>
              <w:spacing w:line="240" w:lineRule="auto"/>
              <w:jc w:val="left"/>
              <w:rPr>
                <w:rFonts w:cs="Frankruhel" w:hint="cs"/>
                <w:sz w:val="24"/>
                <w:rtl/>
              </w:rPr>
            </w:pPr>
            <w:r>
              <w:rPr>
                <w:rFonts w:cs="Times New Roman"/>
                <w:sz w:val="24"/>
                <w:rtl/>
              </w:rPr>
              <w:t>תחילה</w:t>
            </w:r>
          </w:p>
        </w:tc>
        <w:tc>
          <w:tcPr>
            <w:tcW w:w="567" w:type="dxa"/>
          </w:tcPr>
          <w:p w14:paraId="40BA2E49" w14:textId="77777777" w:rsidR="00665075" w:rsidRPr="00665075" w:rsidRDefault="00665075" w:rsidP="00665075">
            <w:pPr>
              <w:spacing w:line="240" w:lineRule="auto"/>
              <w:jc w:val="left"/>
              <w:rPr>
                <w:rStyle w:val="Hyperlink"/>
                <w:rFonts w:hint="cs"/>
                <w:rtl/>
              </w:rPr>
            </w:pPr>
            <w:hyperlink w:anchor="Seif3" w:tooltip="תחילה" w:history="1">
              <w:r w:rsidRPr="00665075">
                <w:rPr>
                  <w:rStyle w:val="Hyperlink"/>
                </w:rPr>
                <w:t>Go</w:t>
              </w:r>
            </w:hyperlink>
          </w:p>
        </w:tc>
        <w:tc>
          <w:tcPr>
            <w:tcW w:w="850" w:type="dxa"/>
          </w:tcPr>
          <w:p w14:paraId="418E6B61" w14:textId="77777777" w:rsidR="00665075" w:rsidRPr="00665075" w:rsidRDefault="00665075" w:rsidP="0066507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5075" w:rsidRPr="00665075" w14:paraId="3C2505DA" w14:textId="77777777" w:rsidTr="00665075">
        <w:tblPrEx>
          <w:tblCellMar>
            <w:top w:w="0" w:type="dxa"/>
            <w:bottom w:w="0" w:type="dxa"/>
          </w:tblCellMar>
        </w:tblPrEx>
        <w:tc>
          <w:tcPr>
            <w:tcW w:w="1247" w:type="dxa"/>
          </w:tcPr>
          <w:p w14:paraId="771B6FB8" w14:textId="77777777" w:rsidR="00665075" w:rsidRPr="00665075" w:rsidRDefault="00665075" w:rsidP="00665075">
            <w:pPr>
              <w:spacing w:line="240" w:lineRule="auto"/>
              <w:jc w:val="left"/>
              <w:rPr>
                <w:rFonts w:cs="Frankruhel" w:hint="cs"/>
                <w:sz w:val="24"/>
                <w:rtl/>
              </w:rPr>
            </w:pPr>
            <w:r>
              <w:rPr>
                <w:rFonts w:cs="Times New Roman"/>
                <w:sz w:val="24"/>
                <w:rtl/>
              </w:rPr>
              <w:t xml:space="preserve">סעיף 4 </w:t>
            </w:r>
          </w:p>
        </w:tc>
        <w:tc>
          <w:tcPr>
            <w:tcW w:w="5669" w:type="dxa"/>
          </w:tcPr>
          <w:p w14:paraId="7299E49F" w14:textId="77777777" w:rsidR="00665075" w:rsidRPr="00665075" w:rsidRDefault="00665075" w:rsidP="00665075">
            <w:pPr>
              <w:spacing w:line="240" w:lineRule="auto"/>
              <w:jc w:val="left"/>
              <w:rPr>
                <w:rFonts w:cs="Frankruhel" w:hint="cs"/>
                <w:sz w:val="24"/>
                <w:rtl/>
              </w:rPr>
            </w:pPr>
            <w:r>
              <w:rPr>
                <w:rFonts w:cs="Times New Roman"/>
                <w:sz w:val="24"/>
                <w:rtl/>
              </w:rPr>
              <w:t>הוראת שעה</w:t>
            </w:r>
          </w:p>
        </w:tc>
        <w:tc>
          <w:tcPr>
            <w:tcW w:w="567" w:type="dxa"/>
          </w:tcPr>
          <w:p w14:paraId="14E48E7E" w14:textId="77777777" w:rsidR="00665075" w:rsidRPr="00665075" w:rsidRDefault="00665075" w:rsidP="00665075">
            <w:pPr>
              <w:spacing w:line="240" w:lineRule="auto"/>
              <w:jc w:val="left"/>
              <w:rPr>
                <w:rStyle w:val="Hyperlink"/>
                <w:rFonts w:hint="cs"/>
                <w:rtl/>
              </w:rPr>
            </w:pPr>
            <w:hyperlink w:anchor="Seif4" w:tooltip="הוראת שעה" w:history="1">
              <w:r w:rsidRPr="00665075">
                <w:rPr>
                  <w:rStyle w:val="Hyperlink"/>
                </w:rPr>
                <w:t>Go</w:t>
              </w:r>
            </w:hyperlink>
          </w:p>
        </w:tc>
        <w:tc>
          <w:tcPr>
            <w:tcW w:w="850" w:type="dxa"/>
          </w:tcPr>
          <w:p w14:paraId="1F3B2C73" w14:textId="77777777" w:rsidR="00665075" w:rsidRPr="00665075" w:rsidRDefault="00665075" w:rsidP="0066507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35E605F" w14:textId="77777777" w:rsidR="006239E9" w:rsidRDefault="006239E9">
      <w:pPr>
        <w:pStyle w:val="big-header"/>
        <w:ind w:left="0" w:right="1134"/>
        <w:rPr>
          <w:rFonts w:hint="cs"/>
          <w:rtl/>
        </w:rPr>
      </w:pPr>
    </w:p>
    <w:p w14:paraId="06A41719" w14:textId="77777777" w:rsidR="006239E9" w:rsidRPr="00FA49D0" w:rsidRDefault="006239E9" w:rsidP="00FA49D0">
      <w:pPr>
        <w:pStyle w:val="big-header"/>
        <w:ind w:left="0" w:right="1134"/>
        <w:rPr>
          <w:rStyle w:val="default"/>
          <w:rFonts w:cs="FrankRuehl"/>
          <w:szCs w:val="32"/>
          <w:rtl/>
        </w:rPr>
      </w:pPr>
      <w:r>
        <w:rPr>
          <w:rtl/>
        </w:rPr>
        <w:br w:type="page"/>
      </w:r>
      <w:r w:rsidR="00B30634">
        <w:rPr>
          <w:rFonts w:hint="cs"/>
          <w:rtl/>
        </w:rPr>
        <w:lastRenderedPageBreak/>
        <w:t xml:space="preserve">תקנות העבירות המינהליות (קנס מינהלי </w:t>
      </w:r>
      <w:r w:rsidR="00B30634">
        <w:rPr>
          <w:rtl/>
        </w:rPr>
        <w:t>–</w:t>
      </w:r>
      <w:r w:rsidR="00B30634">
        <w:rPr>
          <w:rFonts w:hint="cs"/>
          <w:rtl/>
        </w:rPr>
        <w:t xml:space="preserve"> צמצום השימוש במזומן), </w:t>
      </w:r>
      <w:r w:rsidR="00B30634">
        <w:rPr>
          <w:rtl/>
        </w:rPr>
        <w:br/>
      </w:r>
      <w:r w:rsidR="00B30634">
        <w:rPr>
          <w:rFonts w:hint="cs"/>
          <w:rtl/>
        </w:rPr>
        <w:t>תשפ"ב-2021</w:t>
      </w:r>
      <w:r>
        <w:rPr>
          <w:rStyle w:val="default"/>
          <w:sz w:val="22"/>
          <w:szCs w:val="22"/>
          <w:rtl/>
        </w:rPr>
        <w:footnoteReference w:customMarkFollows="1" w:id="1"/>
        <w:t>*</w:t>
      </w:r>
    </w:p>
    <w:p w14:paraId="6016D3DA" w14:textId="77777777" w:rsidR="006239E9" w:rsidRDefault="006239E9">
      <w:pPr>
        <w:pStyle w:val="P00"/>
        <w:spacing w:before="72"/>
        <w:ind w:left="0" w:right="1134"/>
        <w:rPr>
          <w:rStyle w:val="default"/>
          <w:rFonts w:cs="FrankRuehl"/>
          <w:rtl/>
        </w:rPr>
      </w:pPr>
      <w:r>
        <w:rPr>
          <w:rStyle w:val="default"/>
          <w:rFonts w:cs="FrankRuehl" w:hint="cs"/>
          <w:rtl/>
        </w:rPr>
        <w:tab/>
        <w:t xml:space="preserve">בתוקף סמכותי לפי סעיפים 1 ו-2 לחוק העבירות המינהליות, התשמ"ו-1985 (להלן </w:t>
      </w:r>
      <w:r>
        <w:rPr>
          <w:rStyle w:val="default"/>
          <w:rFonts w:cs="FrankRuehl"/>
          <w:rtl/>
        </w:rPr>
        <w:t>–</w:t>
      </w:r>
      <w:r>
        <w:rPr>
          <w:rStyle w:val="default"/>
          <w:rFonts w:cs="FrankRuehl" w:hint="cs"/>
          <w:rtl/>
        </w:rPr>
        <w:t xml:space="preserve"> החוק), בהסכמת שר </w:t>
      </w:r>
      <w:r w:rsidR="008D4867">
        <w:rPr>
          <w:rStyle w:val="default"/>
          <w:rFonts w:cs="FrankRuehl" w:hint="cs"/>
          <w:rtl/>
        </w:rPr>
        <w:t>האוצר</w:t>
      </w:r>
      <w:r>
        <w:rPr>
          <w:rStyle w:val="default"/>
          <w:rFonts w:cs="FrankRuehl" w:hint="cs"/>
          <w:rtl/>
        </w:rPr>
        <w:t>, ובאישור ועדת החוקה חוק ומשפט של הכנסת, אני מתקי</w:t>
      </w:r>
      <w:r w:rsidR="008D4867">
        <w:rPr>
          <w:rStyle w:val="default"/>
          <w:rFonts w:cs="FrankRuehl" w:hint="cs"/>
          <w:rtl/>
        </w:rPr>
        <w:t>ן</w:t>
      </w:r>
      <w:r>
        <w:rPr>
          <w:rStyle w:val="default"/>
          <w:rFonts w:cs="FrankRuehl" w:hint="cs"/>
          <w:rtl/>
        </w:rPr>
        <w:t xml:space="preserve"> תקנות אלה:</w:t>
      </w:r>
    </w:p>
    <w:p w14:paraId="66CA2DC1" w14:textId="77777777" w:rsidR="006239E9" w:rsidRDefault="006239E9">
      <w:pPr>
        <w:pStyle w:val="P00"/>
        <w:spacing w:before="72"/>
        <w:ind w:left="0" w:right="1134"/>
        <w:rPr>
          <w:rStyle w:val="default"/>
          <w:rFonts w:cs="FrankRuehl"/>
          <w:rtl/>
        </w:rPr>
      </w:pPr>
      <w:bookmarkStart w:id="0" w:name="Seif1"/>
      <w:bookmarkEnd w:id="0"/>
      <w:r>
        <w:rPr>
          <w:lang w:val="he-IL"/>
        </w:rPr>
        <w:pict w14:anchorId="4899FBCA">
          <v:rect id="_x0000_s2050" style="position:absolute;left:0;text-align:left;margin-left:464.5pt;margin-top:8.05pt;width:75.05pt;height:7.6pt;z-index:251656192" o:allowincell="f" filled="f" stroked="f" strokecolor="lime" strokeweight=".25pt">
            <v:textbox inset="0,0,0,0">
              <w:txbxContent>
                <w:p w14:paraId="661BB595" w14:textId="77777777" w:rsidR="006239E9" w:rsidRDefault="006239E9">
                  <w:pPr>
                    <w:spacing w:line="160" w:lineRule="exact"/>
                    <w:jc w:val="left"/>
                    <w:rPr>
                      <w:rFonts w:cs="Miriam" w:hint="cs"/>
                      <w:noProof/>
                      <w:szCs w:val="18"/>
                      <w:rtl/>
                    </w:rPr>
                  </w:pPr>
                  <w:r>
                    <w:rPr>
                      <w:rFonts w:cs="Miriam" w:hint="cs"/>
                      <w:szCs w:val="18"/>
                      <w:rtl/>
                    </w:rPr>
                    <w:t>עביר</w:t>
                  </w:r>
                  <w:r w:rsidR="008D4867">
                    <w:rPr>
                      <w:rFonts w:cs="Miriam" w:hint="cs"/>
                      <w:szCs w:val="18"/>
                      <w:rtl/>
                    </w:rPr>
                    <w:t>ות</w:t>
                  </w:r>
                  <w:r>
                    <w:rPr>
                      <w:rFonts w:cs="Miriam" w:hint="cs"/>
                      <w:szCs w:val="18"/>
                      <w:rtl/>
                    </w:rPr>
                    <w:t xml:space="preserve"> מינהלי</w:t>
                  </w:r>
                  <w:r w:rsidR="008D4867">
                    <w:rPr>
                      <w:rFonts w:cs="Miriam" w:hint="cs"/>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hint="cs"/>
          <w:rtl/>
        </w:rPr>
        <w:t>עבירה על הוראה מ</w:t>
      </w:r>
      <w:r w:rsidR="008D4867">
        <w:rPr>
          <w:rStyle w:val="default"/>
          <w:rFonts w:cs="FrankRuehl" w:hint="cs"/>
          <w:rtl/>
        </w:rPr>
        <w:t>ה</w:t>
      </w:r>
      <w:r>
        <w:rPr>
          <w:rStyle w:val="default"/>
          <w:rFonts w:cs="FrankRuehl" w:hint="cs"/>
          <w:rtl/>
        </w:rPr>
        <w:t xml:space="preserve">הוראות </w:t>
      </w:r>
      <w:r w:rsidR="008D4867">
        <w:rPr>
          <w:rStyle w:val="default"/>
          <w:rFonts w:cs="FrankRuehl" w:hint="cs"/>
          <w:rtl/>
        </w:rPr>
        <w:t>המפורטות בסעיפים 20 ו-21 לחוק לצמצום השימוש במזומן, התשע"ח-2018</w:t>
      </w:r>
      <w:r>
        <w:rPr>
          <w:rStyle w:val="default"/>
          <w:rFonts w:cs="FrankRuehl" w:hint="cs"/>
          <w:rtl/>
        </w:rPr>
        <w:t>, היא עבירה מינהלית.</w:t>
      </w:r>
    </w:p>
    <w:p w14:paraId="754A43F7" w14:textId="77777777" w:rsidR="006239E9" w:rsidRDefault="006239E9">
      <w:pPr>
        <w:pStyle w:val="P00"/>
        <w:spacing w:before="72"/>
        <w:ind w:left="0" w:right="1134"/>
        <w:rPr>
          <w:rStyle w:val="default"/>
          <w:rFonts w:cs="FrankRuehl"/>
          <w:rtl/>
        </w:rPr>
      </w:pPr>
      <w:bookmarkStart w:id="1" w:name="Seif2"/>
      <w:bookmarkEnd w:id="1"/>
      <w:r>
        <w:rPr>
          <w:lang w:val="he-IL"/>
        </w:rPr>
        <w:pict w14:anchorId="565D41DC">
          <v:rect id="_x0000_s2144" style="position:absolute;left:0;text-align:left;margin-left:464.5pt;margin-top:8.05pt;width:75.05pt;height:8.3pt;z-index:251657216" o:allowincell="f" filled="f" stroked="f" strokecolor="lime" strokeweight=".25pt">
            <v:textbox inset="0,0,0,0">
              <w:txbxContent>
                <w:p w14:paraId="5FF4791F" w14:textId="77777777" w:rsidR="006239E9" w:rsidRDefault="006239E9">
                  <w:pPr>
                    <w:spacing w:line="160" w:lineRule="exact"/>
                    <w:jc w:val="left"/>
                    <w:rPr>
                      <w:rFonts w:cs="Miriam" w:hint="cs"/>
                      <w:noProof/>
                      <w:szCs w:val="18"/>
                      <w:rtl/>
                    </w:rPr>
                  </w:pPr>
                  <w:r>
                    <w:rPr>
                      <w:rFonts w:cs="Miriam" w:hint="cs"/>
                      <w:szCs w:val="18"/>
                      <w:rtl/>
                    </w:rPr>
                    <w:t>קנס מינהלי</w:t>
                  </w:r>
                </w:p>
              </w:txbxContent>
            </v:textbox>
            <w10:anchorlock/>
          </v:rect>
        </w:pict>
      </w:r>
      <w:r>
        <w:rPr>
          <w:rStyle w:val="big-number"/>
          <w:rFonts w:hint="cs"/>
          <w:rtl/>
        </w:rPr>
        <w:t>2</w:t>
      </w:r>
      <w:r>
        <w:rPr>
          <w:rStyle w:val="big-number"/>
          <w:rtl/>
        </w:rPr>
        <w:t>.</w:t>
      </w:r>
      <w:r>
        <w:rPr>
          <w:rStyle w:val="big-number"/>
          <w:rtl/>
        </w:rPr>
        <w:tab/>
      </w:r>
      <w:r w:rsidR="008D4867">
        <w:rPr>
          <w:rStyle w:val="default"/>
          <w:rFonts w:cs="FrankRuehl" w:hint="cs"/>
          <w:rtl/>
        </w:rPr>
        <w:t>(א)</w:t>
      </w:r>
      <w:r w:rsidR="008D4867">
        <w:rPr>
          <w:rStyle w:val="default"/>
          <w:rFonts w:cs="FrankRuehl"/>
          <w:rtl/>
        </w:rPr>
        <w:tab/>
      </w:r>
      <w:r>
        <w:rPr>
          <w:rStyle w:val="default"/>
          <w:rFonts w:cs="FrankRuehl"/>
          <w:rtl/>
        </w:rPr>
        <w:t>לעבירה מינהלית כאמור בתקנה 1 יהיה קנס מינהלי קצוב</w:t>
      </w:r>
      <w:r w:rsidR="008D4867">
        <w:rPr>
          <w:rStyle w:val="default"/>
          <w:rFonts w:cs="FrankRuehl" w:hint="cs"/>
          <w:rtl/>
        </w:rPr>
        <w:t xml:space="preserve"> בשיעור כמפורט להלן מהתשלום בשיק, מהתשלום במזומן או מהשיק המוסב, והכול לפי העניין, ובלבד שגובה הקנס המינהלי לא יעלה על פי 20 מן הקנס הקבוע בסעיף 61(א)(4) לחוק העונשין:</w:t>
      </w:r>
    </w:p>
    <w:p w14:paraId="3D1E486D" w14:textId="77777777" w:rsidR="008D4867" w:rsidRDefault="008D4867" w:rsidP="008D48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התשלום במזומן, התשלום בשיק או השיק המוסב, הוא עד 25,000 שקלים חדשים </w:t>
      </w:r>
      <w:r>
        <w:rPr>
          <w:rStyle w:val="default"/>
          <w:rFonts w:cs="FrankRuehl"/>
          <w:rtl/>
        </w:rPr>
        <w:t>–</w:t>
      </w:r>
      <w:r>
        <w:rPr>
          <w:rStyle w:val="default"/>
          <w:rFonts w:cs="FrankRuehl" w:hint="cs"/>
          <w:rtl/>
        </w:rPr>
        <w:t xml:space="preserve"> שיעור של 10%;</w:t>
      </w:r>
    </w:p>
    <w:p w14:paraId="4DCD5470" w14:textId="77777777" w:rsidR="008D4867" w:rsidRDefault="008D4867" w:rsidP="008D48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התשלום במזומן, התשלום בשיק או השיק המוסב, הוא מ-25,000 שקלים חדשים ועד 50,000 שקלים חדשים </w:t>
      </w:r>
      <w:r>
        <w:rPr>
          <w:rStyle w:val="default"/>
          <w:rFonts w:cs="FrankRuehl"/>
          <w:rtl/>
        </w:rPr>
        <w:t>–</w:t>
      </w:r>
      <w:r>
        <w:rPr>
          <w:rStyle w:val="default"/>
          <w:rFonts w:cs="FrankRuehl" w:hint="cs"/>
          <w:rtl/>
        </w:rPr>
        <w:t xml:space="preserve"> שיעור של 15%;</w:t>
      </w:r>
    </w:p>
    <w:p w14:paraId="592D3A88" w14:textId="77777777" w:rsidR="008D4867" w:rsidRDefault="008D4867" w:rsidP="008D486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התשלום במזומן, התשלום בשיק או השיק המוסב, הוא 50,000 שקלים חדשים ומעלה </w:t>
      </w:r>
      <w:r>
        <w:rPr>
          <w:rStyle w:val="default"/>
          <w:rFonts w:cs="FrankRuehl"/>
          <w:rtl/>
        </w:rPr>
        <w:t>–</w:t>
      </w:r>
      <w:r>
        <w:rPr>
          <w:rStyle w:val="default"/>
          <w:rFonts w:cs="FrankRuehl" w:hint="cs"/>
          <w:rtl/>
        </w:rPr>
        <w:t xml:space="preserve"> שיעור של 25%;</w:t>
      </w:r>
    </w:p>
    <w:p w14:paraId="372B5830" w14:textId="77777777" w:rsidR="008D4867" w:rsidRDefault="008D4867" w:rsidP="008D486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על אף האמור בפסקה (1), לגבי מקבל תשלום במזומן כשכר עבודה בסכום שבין 6,000 שקלים חדשים ל-8,500 שקלים חדשים לפי סעיף 20(5) לחוק לצמצום השימוש במזומן, התשע"ח-2018 </w:t>
      </w:r>
      <w:r>
        <w:rPr>
          <w:rStyle w:val="default"/>
          <w:rFonts w:cs="FrankRuehl"/>
          <w:rtl/>
        </w:rPr>
        <w:t>–</w:t>
      </w:r>
      <w:r>
        <w:rPr>
          <w:rStyle w:val="default"/>
          <w:rFonts w:cs="FrankRuehl" w:hint="cs"/>
          <w:rtl/>
        </w:rPr>
        <w:t xml:space="preserve"> שיעור של 5%.</w:t>
      </w:r>
    </w:p>
    <w:p w14:paraId="14E2E8AE" w14:textId="77777777" w:rsidR="008D4867" w:rsidRDefault="008D4867">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בעבירה מינהלית חוזרת, ייווסף על הקנס המינהלי הקצוב הקבוע לאותה עבירה, סכום השווה לקנס המינהלי הראשון; לעניין זה, "עבירה מינהלית חוזרת" </w:t>
      </w:r>
      <w:r>
        <w:rPr>
          <w:rStyle w:val="default"/>
          <w:rFonts w:cs="FrankRuehl"/>
          <w:rtl/>
        </w:rPr>
        <w:t>–</w:t>
      </w:r>
      <w:r>
        <w:rPr>
          <w:rStyle w:val="default"/>
          <w:rFonts w:cs="FrankRuehl" w:hint="cs"/>
          <w:rtl/>
        </w:rPr>
        <w:t xml:space="preserve"> עבירה על הוראה מההוראות המפורטות בסעיפים 20 או 21 לחוק לצמצום השימוש במזומן, התשע"ח-2018, כאמור בתקנה 1, בתוך שנתיים מיום שעבר לפני כן את אותה עבירה (בתקנת משנה זו </w:t>
      </w:r>
      <w:r>
        <w:rPr>
          <w:rStyle w:val="default"/>
          <w:rFonts w:cs="FrankRuehl"/>
          <w:rtl/>
        </w:rPr>
        <w:t>–</w:t>
      </w:r>
      <w:r>
        <w:rPr>
          <w:rStyle w:val="default"/>
          <w:rFonts w:cs="FrankRuehl" w:hint="cs"/>
          <w:rtl/>
        </w:rPr>
        <w:t xml:space="preserve"> העבירה הקודמת) והתקיים לגבי העבירה הקודמת האמור בפסקה (1) או בפסקה (2) להגדרה "עבירה מינהלית חוזרת" שבסעיף 2(ג) לחוק.</w:t>
      </w:r>
    </w:p>
    <w:p w14:paraId="60051A60" w14:textId="77777777" w:rsidR="00F463A9" w:rsidRDefault="00F463A9" w:rsidP="00F463A9">
      <w:pPr>
        <w:pStyle w:val="P00"/>
        <w:spacing w:before="72"/>
        <w:ind w:left="0" w:right="1134"/>
        <w:rPr>
          <w:rStyle w:val="default"/>
          <w:rFonts w:cs="FrankRuehl"/>
          <w:rtl/>
        </w:rPr>
      </w:pPr>
      <w:bookmarkStart w:id="2" w:name="Seif3"/>
      <w:bookmarkEnd w:id="2"/>
      <w:r>
        <w:rPr>
          <w:lang w:val="he-IL"/>
        </w:rPr>
        <w:pict w14:anchorId="52B467B8">
          <v:rect id="_x0000_s2154" style="position:absolute;left:0;text-align:left;margin-left:464.5pt;margin-top:8.05pt;width:75.05pt;height:12pt;z-index:251658240" o:allowincell="f" filled="f" stroked="f" strokecolor="lime" strokeweight=".25pt">
            <v:textbox inset="0,0,0,0">
              <w:txbxContent>
                <w:p w14:paraId="2431DF42" w14:textId="77777777" w:rsidR="00F463A9" w:rsidRDefault="00B74659" w:rsidP="00F463A9">
                  <w:pPr>
                    <w:spacing w:line="160" w:lineRule="exact"/>
                    <w:jc w:val="left"/>
                    <w:rPr>
                      <w:rFonts w:cs="Miriam" w:hint="cs"/>
                      <w:noProof/>
                      <w:szCs w:val="18"/>
                      <w:rtl/>
                    </w:rPr>
                  </w:pPr>
                  <w:r>
                    <w:rPr>
                      <w:rFonts w:cs="Miriam" w:hint="cs"/>
                      <w:szCs w:val="18"/>
                      <w:rtl/>
                    </w:rPr>
                    <w:t>תחילה</w:t>
                  </w:r>
                </w:p>
              </w:txbxContent>
            </v:textbox>
            <w10:anchorlock/>
          </v:rect>
        </w:pict>
      </w:r>
      <w:r w:rsidR="004A4C0D">
        <w:rPr>
          <w:rStyle w:val="big-number"/>
          <w:rFonts w:hint="cs"/>
          <w:rtl/>
        </w:rPr>
        <w:t>3</w:t>
      </w:r>
      <w:r>
        <w:rPr>
          <w:rStyle w:val="big-number"/>
          <w:rtl/>
        </w:rPr>
        <w:t>.</w:t>
      </w:r>
      <w:r>
        <w:rPr>
          <w:rStyle w:val="big-number"/>
          <w:rtl/>
        </w:rPr>
        <w:tab/>
      </w:r>
      <w:r w:rsidR="00B74659">
        <w:rPr>
          <w:rStyle w:val="default"/>
          <w:rFonts w:cs="FrankRuehl" w:hint="cs"/>
          <w:rtl/>
        </w:rPr>
        <w:t>תחילתה של תקנה 2(א)(4) ביום תחילתו של צו לצמצום השימוש במזומן (תיקון התוספת הראשונה לחוק), התשפ"ב-2021</w:t>
      </w:r>
      <w:r>
        <w:rPr>
          <w:rStyle w:val="default"/>
          <w:rFonts w:cs="FrankRuehl"/>
          <w:rtl/>
        </w:rPr>
        <w:t>.</w:t>
      </w:r>
    </w:p>
    <w:p w14:paraId="3ED1B36F" w14:textId="77777777" w:rsidR="00B30634" w:rsidRDefault="00B30634" w:rsidP="00B30634">
      <w:pPr>
        <w:pStyle w:val="P00"/>
        <w:spacing w:before="72"/>
        <w:ind w:left="0" w:right="1134"/>
        <w:rPr>
          <w:rStyle w:val="default"/>
          <w:rFonts w:cs="FrankRuehl"/>
          <w:rtl/>
        </w:rPr>
      </w:pPr>
      <w:bookmarkStart w:id="3" w:name="Seif4"/>
      <w:bookmarkEnd w:id="3"/>
      <w:r>
        <w:rPr>
          <w:lang w:val="he-IL"/>
        </w:rPr>
        <w:pict w14:anchorId="6DFBCCAA">
          <v:rect id="_x0000_s2155" style="position:absolute;left:0;text-align:left;margin-left:464.5pt;margin-top:8.05pt;width:75.05pt;height:13.35pt;z-index:251659264" o:allowincell="f" filled="f" stroked="f" strokecolor="lime" strokeweight=".25pt">
            <v:textbox inset="0,0,0,0">
              <w:txbxContent>
                <w:p w14:paraId="6CFAC99E" w14:textId="77777777" w:rsidR="00B30634" w:rsidRDefault="00B74659" w:rsidP="00B30634">
                  <w:pPr>
                    <w:spacing w:line="160" w:lineRule="exact"/>
                    <w:jc w:val="left"/>
                    <w:rPr>
                      <w:rFonts w:cs="Miriam" w:hint="cs"/>
                      <w:noProof/>
                      <w:szCs w:val="18"/>
                      <w:rtl/>
                    </w:rPr>
                  </w:pPr>
                  <w:r>
                    <w:rPr>
                      <w:rFonts w:cs="Miriam" w:hint="cs"/>
                      <w:szCs w:val="18"/>
                      <w:rtl/>
                    </w:rPr>
                    <w:t>הוראת שעה</w:t>
                  </w:r>
                </w:p>
              </w:txbxContent>
            </v:textbox>
            <w10:anchorlock/>
          </v:rect>
        </w:pict>
      </w:r>
      <w:r w:rsidR="00B74659">
        <w:rPr>
          <w:rStyle w:val="big-number"/>
          <w:rFonts w:hint="cs"/>
          <w:rtl/>
        </w:rPr>
        <w:t>4</w:t>
      </w:r>
      <w:r>
        <w:rPr>
          <w:rStyle w:val="big-number"/>
          <w:rtl/>
        </w:rPr>
        <w:t>.</w:t>
      </w:r>
      <w:r>
        <w:rPr>
          <w:rStyle w:val="big-number"/>
          <w:rtl/>
        </w:rPr>
        <w:tab/>
      </w:r>
      <w:r w:rsidR="00B74659">
        <w:rPr>
          <w:rStyle w:val="default"/>
          <w:rFonts w:cs="FrankRuehl" w:hint="cs"/>
          <w:rtl/>
        </w:rPr>
        <w:t>על אף האמור בתקנות אלה, בתקופה של שנתיים ממועד תחילתה של תקנה 2(א)(4), יראו כאילו בתקנה 2, אחרי תקנת משנה (א) בא:</w:t>
      </w:r>
    </w:p>
    <w:p w14:paraId="0DDD8C02" w14:textId="77777777" w:rsidR="00B74659" w:rsidRDefault="00B74659" w:rsidP="00B74659">
      <w:pPr>
        <w:pStyle w:val="P00"/>
        <w:spacing w:before="72"/>
        <w:ind w:left="624" w:right="1134"/>
        <w:rPr>
          <w:rStyle w:val="default"/>
          <w:rFonts w:cs="FrankRuehl"/>
          <w:rtl/>
        </w:rPr>
      </w:pPr>
      <w:r>
        <w:rPr>
          <w:rStyle w:val="default"/>
          <w:rFonts w:cs="FrankRuehl" w:hint="cs"/>
          <w:rtl/>
        </w:rPr>
        <w:t xml:space="preserve">"(א1) על אף האמור בתקנת משנה (א), בשל עבירה כאמור בתקנה 2(א)(4) שבוצעה בפעם הראשונה (להלן </w:t>
      </w:r>
      <w:r>
        <w:rPr>
          <w:rStyle w:val="default"/>
          <w:rFonts w:cs="FrankRuehl"/>
          <w:rtl/>
        </w:rPr>
        <w:t>–</w:t>
      </w:r>
      <w:r>
        <w:rPr>
          <w:rStyle w:val="default"/>
          <w:rFonts w:cs="FrankRuehl" w:hint="cs"/>
          <w:rtl/>
        </w:rPr>
        <w:t xml:space="preserve"> העבירה הראשונה), לא יוטל על הנקנס קנס, אלא תומצא לנקנס התראה המכילה את הפרטים כאמור בסעיף 8(ב) לחוק, ולפיה אם יעבור עבירה זו פעם נוספת, יוטל עליו קנס בשל אותה עבירה; ביצע הנקנס עבירה כאמור בתקנה 2(א)(4) פעם נוספת, יוטל עליו קנס מינהלי לפי תקנות אלה, ובלבד שהומצאה לו התראה כאמור לגבי העבירה הראשונה.</w:t>
      </w:r>
    </w:p>
    <w:p w14:paraId="0750E4AC" w14:textId="77777777" w:rsidR="004A4C0D" w:rsidRPr="00875B69" w:rsidRDefault="004A4C0D">
      <w:pPr>
        <w:pStyle w:val="P00"/>
        <w:spacing w:before="72"/>
        <w:ind w:left="0" w:right="1134"/>
        <w:rPr>
          <w:rStyle w:val="default"/>
          <w:rFonts w:cs="FrankRuehl" w:hint="cs"/>
          <w:rtl/>
        </w:rPr>
      </w:pPr>
    </w:p>
    <w:p w14:paraId="456159F3" w14:textId="77777777" w:rsidR="006239E9" w:rsidRPr="00875B69" w:rsidRDefault="006239E9">
      <w:pPr>
        <w:pStyle w:val="P00"/>
        <w:spacing w:before="72"/>
        <w:ind w:left="0" w:right="1134"/>
        <w:rPr>
          <w:rStyle w:val="default"/>
          <w:rFonts w:cs="FrankRuehl" w:hint="cs"/>
          <w:rtl/>
        </w:rPr>
      </w:pPr>
    </w:p>
    <w:p w14:paraId="42C49359" w14:textId="77777777" w:rsidR="006239E9" w:rsidRDefault="00B74659" w:rsidP="00875B69">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כ"ט בחשוון התשפ"ב (4 בנובמבר 2021</w:t>
      </w:r>
      <w:r w:rsidR="006239E9">
        <w:rPr>
          <w:rFonts w:hint="cs"/>
          <w:rtl/>
        </w:rPr>
        <w:t>)</w:t>
      </w:r>
      <w:r w:rsidR="00875B69">
        <w:rPr>
          <w:rFonts w:hint="cs"/>
          <w:rtl/>
        </w:rPr>
        <w:tab/>
      </w:r>
      <w:r>
        <w:rPr>
          <w:rFonts w:hint="cs"/>
          <w:rtl/>
        </w:rPr>
        <w:t>גדעון סער</w:t>
      </w:r>
    </w:p>
    <w:p w14:paraId="0A558F88" w14:textId="77777777" w:rsidR="006239E9" w:rsidRDefault="006239E9" w:rsidP="00875B69">
      <w:pPr>
        <w:pStyle w:val="sig-1"/>
        <w:widowControl/>
        <w:tabs>
          <w:tab w:val="clear" w:pos="851"/>
          <w:tab w:val="clear" w:pos="2835"/>
          <w:tab w:val="clear" w:pos="4820"/>
          <w:tab w:val="center" w:pos="5670"/>
        </w:tabs>
        <w:ind w:left="0" w:right="1134"/>
        <w:rPr>
          <w:rtl/>
        </w:rPr>
      </w:pPr>
      <w:r>
        <w:rPr>
          <w:rFonts w:hint="cs"/>
          <w:rtl/>
        </w:rPr>
        <w:tab/>
        <w:t>שר המשפטים</w:t>
      </w:r>
    </w:p>
    <w:p w14:paraId="0F7011DA" w14:textId="77777777" w:rsidR="00EA1210" w:rsidRDefault="00EA1210" w:rsidP="00875B69">
      <w:pPr>
        <w:pStyle w:val="P00"/>
        <w:spacing w:before="72"/>
        <w:ind w:left="0" w:right="1134"/>
        <w:rPr>
          <w:rStyle w:val="default"/>
          <w:rFonts w:cs="FrankRuehl"/>
          <w:rtl/>
        </w:rPr>
      </w:pPr>
    </w:p>
    <w:p w14:paraId="59698992" w14:textId="77777777" w:rsidR="00665075" w:rsidRDefault="00665075" w:rsidP="00875B69">
      <w:pPr>
        <w:pStyle w:val="P00"/>
        <w:spacing w:before="72"/>
        <w:ind w:left="0" w:right="1134"/>
        <w:rPr>
          <w:rStyle w:val="default"/>
          <w:rFonts w:cs="FrankRuehl"/>
          <w:rtl/>
        </w:rPr>
      </w:pPr>
    </w:p>
    <w:p w14:paraId="40CF9AC7" w14:textId="77777777" w:rsidR="00665075" w:rsidRDefault="00665075" w:rsidP="00875B69">
      <w:pPr>
        <w:pStyle w:val="P00"/>
        <w:spacing w:before="72"/>
        <w:ind w:left="0" w:right="1134"/>
        <w:rPr>
          <w:rStyle w:val="default"/>
          <w:rFonts w:cs="FrankRuehl"/>
          <w:rtl/>
        </w:rPr>
      </w:pPr>
    </w:p>
    <w:p w14:paraId="77719DFB" w14:textId="77777777" w:rsidR="00665075" w:rsidRDefault="00665075" w:rsidP="00665075">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5CC69048" w14:textId="77777777" w:rsidR="00A31945" w:rsidRPr="00665075" w:rsidRDefault="00A31945" w:rsidP="00665075">
      <w:pPr>
        <w:pStyle w:val="P00"/>
        <w:spacing w:before="72"/>
        <w:ind w:left="0" w:right="1134"/>
        <w:jc w:val="center"/>
        <w:rPr>
          <w:rStyle w:val="default"/>
          <w:rFonts w:cs="David" w:hint="cs"/>
          <w:color w:val="0000FF"/>
          <w:szCs w:val="24"/>
          <w:u w:val="single"/>
          <w:rtl/>
        </w:rPr>
      </w:pPr>
    </w:p>
    <w:sectPr w:rsidR="00A31945" w:rsidRPr="00665075">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74DE" w14:textId="77777777" w:rsidR="006B1F32" w:rsidRDefault="006B1F32">
      <w:r>
        <w:separator/>
      </w:r>
    </w:p>
  </w:endnote>
  <w:endnote w:type="continuationSeparator" w:id="0">
    <w:p w14:paraId="2AAEAE58" w14:textId="77777777" w:rsidR="006B1F32" w:rsidRDefault="006B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1F8A" w14:textId="77777777" w:rsidR="006239E9" w:rsidRDefault="006239E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0CDF156" w14:textId="77777777" w:rsidR="006239E9" w:rsidRDefault="006239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B041FE" w14:textId="77777777" w:rsidR="006239E9" w:rsidRDefault="006239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C:\Yael\hakika\041408\999_613.doc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8C2C" w14:textId="77777777" w:rsidR="006239E9" w:rsidRDefault="006239E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65075">
      <w:rPr>
        <w:rFonts w:hAnsi="FrankRuehl"/>
        <w:noProof/>
        <w:sz w:val="24"/>
        <w:szCs w:val="24"/>
        <w:rtl/>
      </w:rPr>
      <w:t>2</w:t>
    </w:r>
    <w:r>
      <w:rPr>
        <w:rFonts w:hAnsi="FrankRuehl"/>
        <w:sz w:val="24"/>
        <w:szCs w:val="24"/>
        <w:rtl/>
      </w:rPr>
      <w:fldChar w:fldCharType="end"/>
    </w:r>
  </w:p>
  <w:p w14:paraId="5D9C401C" w14:textId="77777777" w:rsidR="006239E9" w:rsidRDefault="006239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5460FE" w14:textId="77777777" w:rsidR="006239E9" w:rsidRDefault="006239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C:\Yael\hakika\041408\999_613.doc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9941" w14:textId="77777777" w:rsidR="006B1F32" w:rsidRDefault="006B1F32">
      <w:pPr>
        <w:pStyle w:val="medium-header"/>
        <w:spacing w:before="60"/>
        <w:ind w:left="0" w:right="1134"/>
        <w:jc w:val="both"/>
        <w:rPr>
          <w:rFonts w:cs="David"/>
          <w:noProof w:val="0"/>
          <w:sz w:val="22"/>
          <w:szCs w:val="24"/>
        </w:rPr>
      </w:pPr>
      <w:r>
        <w:separator/>
      </w:r>
    </w:p>
  </w:footnote>
  <w:footnote w:type="continuationSeparator" w:id="0">
    <w:p w14:paraId="5106FC28" w14:textId="77777777" w:rsidR="006B1F32" w:rsidRDefault="006B1F32">
      <w:pPr>
        <w:pStyle w:val="medium-header"/>
        <w:jc w:val="both"/>
        <w:rPr>
          <w:rFonts w:cs="David"/>
          <w:noProof w:val="0"/>
          <w:sz w:val="22"/>
          <w:szCs w:val="24"/>
        </w:rPr>
      </w:pPr>
      <w:r>
        <w:separator/>
      </w:r>
    </w:p>
  </w:footnote>
  <w:footnote w:id="1">
    <w:p w14:paraId="1F25C870" w14:textId="77777777" w:rsidR="00CA1379" w:rsidRDefault="006239E9" w:rsidP="00CA13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CA1379">
          <w:rPr>
            <w:rStyle w:val="Hyperlink"/>
            <w:rFonts w:hint="cs"/>
            <w:sz w:val="20"/>
            <w:rtl/>
          </w:rPr>
          <w:t>ק"ת תש</w:t>
        </w:r>
        <w:r w:rsidR="00B30634" w:rsidRPr="00CA1379">
          <w:rPr>
            <w:rStyle w:val="Hyperlink"/>
            <w:rFonts w:hint="cs"/>
            <w:sz w:val="20"/>
            <w:rtl/>
          </w:rPr>
          <w:t>פ"ב</w:t>
        </w:r>
        <w:r w:rsidRPr="00CA1379">
          <w:rPr>
            <w:rStyle w:val="Hyperlink"/>
            <w:rFonts w:hint="cs"/>
            <w:sz w:val="20"/>
            <w:rtl/>
          </w:rPr>
          <w:t xml:space="preserve"> מס' </w:t>
        </w:r>
        <w:r w:rsidR="00B30634" w:rsidRPr="00CA1379">
          <w:rPr>
            <w:rStyle w:val="Hyperlink"/>
            <w:rFonts w:hint="cs"/>
            <w:sz w:val="20"/>
            <w:rtl/>
          </w:rPr>
          <w:t>9727</w:t>
        </w:r>
      </w:hyperlink>
      <w:r>
        <w:rPr>
          <w:rFonts w:hint="cs"/>
          <w:sz w:val="20"/>
          <w:rtl/>
        </w:rPr>
        <w:t xml:space="preserve"> מיום </w:t>
      </w:r>
      <w:r w:rsidR="00B30634">
        <w:rPr>
          <w:rFonts w:hint="cs"/>
          <w:sz w:val="20"/>
          <w:rtl/>
        </w:rPr>
        <w:t>11.11.2021</w:t>
      </w:r>
      <w:r>
        <w:rPr>
          <w:rFonts w:hint="cs"/>
          <w:sz w:val="20"/>
          <w:rtl/>
        </w:rPr>
        <w:t xml:space="preserve"> עמ' </w:t>
      </w:r>
      <w:r w:rsidR="00B30634">
        <w:rPr>
          <w:rFonts w:hint="cs"/>
          <w:sz w:val="20"/>
          <w:rtl/>
        </w:rPr>
        <w:t>872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9052" w14:textId="77777777" w:rsidR="006239E9" w:rsidRDefault="006239E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082556F" w14:textId="77777777" w:rsidR="006239E9" w:rsidRDefault="006239E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3144D47" w14:textId="77777777" w:rsidR="006239E9" w:rsidRDefault="006239E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042E" w14:textId="77777777" w:rsidR="006239E9" w:rsidRDefault="006239E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העבירות המינהליות (קנס מינהלי </w:t>
    </w:r>
    <w:r>
      <w:rPr>
        <w:rFonts w:hAnsi="FrankRuehl"/>
        <w:color w:val="000000"/>
        <w:sz w:val="28"/>
        <w:szCs w:val="28"/>
        <w:rtl/>
      </w:rPr>
      <w:t>–</w:t>
    </w:r>
    <w:r>
      <w:rPr>
        <w:rFonts w:hAnsi="FrankRuehl" w:hint="cs"/>
        <w:color w:val="000000"/>
        <w:sz w:val="28"/>
        <w:szCs w:val="28"/>
        <w:rtl/>
      </w:rPr>
      <w:t xml:space="preserve"> </w:t>
    </w:r>
    <w:r w:rsidR="00B30634">
      <w:rPr>
        <w:rFonts w:hAnsi="FrankRuehl" w:hint="cs"/>
        <w:color w:val="000000"/>
        <w:sz w:val="28"/>
        <w:szCs w:val="28"/>
        <w:rtl/>
      </w:rPr>
      <w:t>צמצום השימוש במזומן), תשפ"ב-2021</w:t>
    </w:r>
  </w:p>
  <w:p w14:paraId="04CD3241" w14:textId="77777777" w:rsidR="006239E9" w:rsidRDefault="006239E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F0D9D69" w14:textId="77777777" w:rsidR="006239E9" w:rsidRDefault="006239E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6B2E"/>
    <w:rsid w:val="000C0DED"/>
    <w:rsid w:val="000C1444"/>
    <w:rsid w:val="001936A3"/>
    <w:rsid w:val="00193A8E"/>
    <w:rsid w:val="002905D3"/>
    <w:rsid w:val="0032198C"/>
    <w:rsid w:val="00382A09"/>
    <w:rsid w:val="004340AC"/>
    <w:rsid w:val="00436B2E"/>
    <w:rsid w:val="004A4C0D"/>
    <w:rsid w:val="006239E9"/>
    <w:rsid w:val="00665075"/>
    <w:rsid w:val="006B1F32"/>
    <w:rsid w:val="006F191E"/>
    <w:rsid w:val="00846506"/>
    <w:rsid w:val="00875B69"/>
    <w:rsid w:val="008C40B1"/>
    <w:rsid w:val="008D4867"/>
    <w:rsid w:val="008E4F3B"/>
    <w:rsid w:val="0097416F"/>
    <w:rsid w:val="00A31945"/>
    <w:rsid w:val="00A65FAD"/>
    <w:rsid w:val="00A94E0B"/>
    <w:rsid w:val="00AA1AB1"/>
    <w:rsid w:val="00B30634"/>
    <w:rsid w:val="00B74659"/>
    <w:rsid w:val="00BA6A63"/>
    <w:rsid w:val="00CA1379"/>
    <w:rsid w:val="00CE4B85"/>
    <w:rsid w:val="00D06F8B"/>
    <w:rsid w:val="00D9551D"/>
    <w:rsid w:val="00E5562D"/>
    <w:rsid w:val="00EA1210"/>
    <w:rsid w:val="00F463A9"/>
    <w:rsid w:val="00F809EB"/>
    <w:rsid w:val="00FA49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BC465C2"/>
  <w15:chartTrackingRefBased/>
  <w15:docId w15:val="{6E7789AF-E258-483B-8E46-6816D8CC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character" w:customStyle="1" w:styleId="UnresolvedMention">
    <w:name w:val="Unresolved Mention"/>
    <w:uiPriority w:val="99"/>
    <w:semiHidden/>
    <w:unhideWhenUsed/>
    <w:rsid w:val="00D0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7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2929</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7733273</vt:i4>
      </vt:variant>
      <vt:variant>
        <vt:i4>0</vt:i4>
      </vt:variant>
      <vt:variant>
        <vt:i4>0</vt:i4>
      </vt:variant>
      <vt:variant>
        <vt:i4>5</vt:i4>
      </vt:variant>
      <vt:variant>
        <vt:lpwstr>https://www.nevo.co.il/law_word/law06/tak-9727.pdf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עבירות מינהליות</vt:lpwstr>
  </property>
  <property fmtid="{D5CDD505-2E9C-101B-9397-08002B2CF9AE}" pid="4" name="LAWNAME">
    <vt:lpwstr>תקנות העבירות המינהליות (קנס מינהלי – צמצום השימוש במזומן), תשפ"ב-2021</vt:lpwstr>
  </property>
  <property fmtid="{D5CDD505-2E9C-101B-9397-08002B2CF9AE}" pid="5" name="LAWNUMBER">
    <vt:lpwstr>0548</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שטרות</vt:lpwstr>
  </property>
  <property fmtid="{D5CDD505-2E9C-101B-9397-08002B2CF9AE}" pid="22" name="NOSE41">
    <vt:lpwstr/>
  </property>
  <property fmtid="{D5CDD505-2E9C-101B-9397-08002B2CF9AE}" pid="23" name="NOSE12">
    <vt:lpwstr>עונשין ומשפט פלילי</vt:lpwstr>
  </property>
  <property fmtid="{D5CDD505-2E9C-101B-9397-08002B2CF9AE}" pid="24" name="NOSE22">
    <vt:lpwstr>עבירות</vt:lpwstr>
  </property>
  <property fmtid="{D5CDD505-2E9C-101B-9397-08002B2CF9AE}" pid="25" name="NOSE32">
    <vt:lpwstr>עבירות מינהליות</vt:lpwstr>
  </property>
  <property fmtid="{D5CDD505-2E9C-101B-9397-08002B2CF9AE}" pid="26" name="NOSE42">
    <vt:lpwstr>קנס מינהלי</vt:lpwstr>
  </property>
  <property fmtid="{D5CDD505-2E9C-101B-9397-08002B2CF9AE}" pid="27" name="NOSE13">
    <vt:lpwstr>בתי משפט וסדרי דין</vt:lpwstr>
  </property>
  <property fmtid="{D5CDD505-2E9C-101B-9397-08002B2CF9AE}" pid="28" name="NOSE23">
    <vt:lpwstr>סדר דין פלילי</vt:lpwstr>
  </property>
  <property fmtid="{D5CDD505-2E9C-101B-9397-08002B2CF9AE}" pid="29" name="NOSE33">
    <vt:lpwstr>עבירות מינהליות</vt:lpwstr>
  </property>
  <property fmtid="{D5CDD505-2E9C-101B-9397-08002B2CF9AE}" pid="30" name="NOSE43">
    <vt:lpwstr>קנס מינהלי</vt:lpwstr>
  </property>
  <property fmtid="{D5CDD505-2E9C-101B-9397-08002B2CF9AE}" pid="31" name="NOSE14">
    <vt:lpwstr>רשויות ומשפט מנהלי</vt:lpwstr>
  </property>
  <property fmtid="{D5CDD505-2E9C-101B-9397-08002B2CF9AE}" pid="32" name="NOSE24">
    <vt:lpwstr>עבירות מינהליות</vt:lpwstr>
  </property>
  <property fmtid="{D5CDD505-2E9C-101B-9397-08002B2CF9AE}" pid="33" name="NOSE34">
    <vt:lpwstr>קנס מינהלי</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העבירות המינהליות, תשמ"ו-1985</vt:lpwstr>
  </property>
  <property fmtid="{D5CDD505-2E9C-101B-9397-08002B2CF9AE}" pid="60" name="MEKOR_SAIF1">
    <vt:lpwstr>1X;2X</vt:lpwstr>
  </property>
  <property fmtid="{D5CDD505-2E9C-101B-9397-08002B2CF9AE}" pid="61" name="MEKORSAMCHUT">
    <vt:lpwstr/>
  </property>
  <property fmtid="{D5CDD505-2E9C-101B-9397-08002B2CF9AE}" pid="62" name="LINKK2">
    <vt:lpwstr/>
  </property>
  <property fmtid="{D5CDD505-2E9C-101B-9397-08002B2CF9AE}" pid="63" name="LINKK3">
    <vt:lpwstr/>
  </property>
  <property fmtid="{D5CDD505-2E9C-101B-9397-08002B2CF9AE}" pid="64" name="MEKOR_LAWID1">
    <vt:lpwstr>74248</vt:lpwstr>
  </property>
  <property fmtid="{D5CDD505-2E9C-101B-9397-08002B2CF9AE}" pid="65" name="LINKK1">
    <vt:lpwstr>https://www.nevo.co.il/law_word/law06/tak-9727.pdf;‎רשומות - תקנות כלליות#פורסמו ק"ת תשפ"ב ‏מס' 9727 #מיום 11.11.2021 עמ' 872‏</vt:lpwstr>
  </property>
</Properties>
</file>