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F964" w14:textId="77777777" w:rsidR="00D25D5C" w:rsidRDefault="00BD1625" w:rsidP="003E17A4">
      <w:pPr>
        <w:pStyle w:val="big-header"/>
        <w:ind w:left="0" w:right="1134"/>
        <w:rPr>
          <w:rFonts w:cs="FrankRuehl"/>
          <w:sz w:val="32"/>
        </w:rPr>
      </w:pPr>
      <w:r>
        <w:rPr>
          <w:rFonts w:cs="FrankRuehl" w:hint="cs"/>
          <w:sz w:val="32"/>
          <w:rtl/>
        </w:rPr>
        <w:t xml:space="preserve">תקנות העבירות המינהליות (קנס מינהלי </w:t>
      </w:r>
      <w:r>
        <w:rPr>
          <w:rFonts w:cs="FrankRuehl"/>
          <w:sz w:val="32"/>
          <w:rtl/>
        </w:rPr>
        <w:t>–</w:t>
      </w:r>
      <w:r>
        <w:rPr>
          <w:rFonts w:cs="FrankRuehl" w:hint="cs"/>
          <w:sz w:val="32"/>
          <w:rtl/>
        </w:rPr>
        <w:t xml:space="preserve"> תכנון </w:t>
      </w:r>
      <w:r w:rsidR="00FD2807">
        <w:rPr>
          <w:rFonts w:cs="FrankRuehl" w:hint="cs"/>
          <w:sz w:val="32"/>
          <w:rtl/>
        </w:rPr>
        <w:t>ובנייה), תשע"ח-2018</w:t>
      </w:r>
    </w:p>
    <w:p w14:paraId="4E377580" w14:textId="77777777" w:rsidR="003B0172" w:rsidRPr="003B0172" w:rsidRDefault="003B0172" w:rsidP="003B0172">
      <w:pPr>
        <w:spacing w:line="320" w:lineRule="auto"/>
        <w:jc w:val="left"/>
        <w:rPr>
          <w:rFonts w:cs="FrankRuehl"/>
          <w:szCs w:val="26"/>
          <w:rtl/>
        </w:rPr>
      </w:pPr>
    </w:p>
    <w:p w14:paraId="40A39939" w14:textId="77777777" w:rsidR="003B0172" w:rsidRDefault="003B0172" w:rsidP="003B0172">
      <w:pPr>
        <w:spacing w:line="320" w:lineRule="auto"/>
        <w:jc w:val="left"/>
        <w:rPr>
          <w:rtl/>
        </w:rPr>
      </w:pPr>
    </w:p>
    <w:p w14:paraId="5F3A04DC" w14:textId="77777777" w:rsidR="003B0172" w:rsidRDefault="003B0172" w:rsidP="003B0172">
      <w:pPr>
        <w:spacing w:line="320" w:lineRule="auto"/>
        <w:jc w:val="left"/>
        <w:rPr>
          <w:rFonts w:cs="FrankRuehl"/>
          <w:szCs w:val="26"/>
          <w:rtl/>
        </w:rPr>
      </w:pPr>
      <w:r w:rsidRPr="003B0172">
        <w:rPr>
          <w:rFonts w:cs="Miriam"/>
          <w:szCs w:val="22"/>
          <w:rtl/>
        </w:rPr>
        <w:t>עונשין ומשפט פלילי</w:t>
      </w:r>
      <w:r w:rsidRPr="003B0172">
        <w:rPr>
          <w:rFonts w:cs="FrankRuehl"/>
          <w:szCs w:val="26"/>
          <w:rtl/>
        </w:rPr>
        <w:t xml:space="preserve"> – עבירות – עבירות מינהליות – קנס מינהלי</w:t>
      </w:r>
    </w:p>
    <w:p w14:paraId="4FD94E01" w14:textId="77777777" w:rsidR="003B0172" w:rsidRDefault="003B0172" w:rsidP="003B0172">
      <w:pPr>
        <w:spacing w:line="320" w:lineRule="auto"/>
        <w:jc w:val="left"/>
        <w:rPr>
          <w:rFonts w:cs="FrankRuehl"/>
          <w:szCs w:val="26"/>
          <w:rtl/>
        </w:rPr>
      </w:pPr>
      <w:r w:rsidRPr="003B0172">
        <w:rPr>
          <w:rFonts w:cs="Miriam"/>
          <w:szCs w:val="22"/>
          <w:rtl/>
        </w:rPr>
        <w:t>רשויות ומשפט מנהלי</w:t>
      </w:r>
      <w:r w:rsidRPr="003B0172">
        <w:rPr>
          <w:rFonts w:cs="FrankRuehl"/>
          <w:szCs w:val="26"/>
          <w:rtl/>
        </w:rPr>
        <w:t xml:space="preserve"> – עבירות מינהליות – קנס מינהלי</w:t>
      </w:r>
    </w:p>
    <w:p w14:paraId="5E924D49" w14:textId="77777777" w:rsidR="003B0172" w:rsidRDefault="003B0172" w:rsidP="003B0172">
      <w:pPr>
        <w:spacing w:line="320" w:lineRule="auto"/>
        <w:jc w:val="left"/>
        <w:rPr>
          <w:rFonts w:cs="FrankRuehl"/>
          <w:szCs w:val="26"/>
          <w:rtl/>
        </w:rPr>
      </w:pPr>
      <w:r w:rsidRPr="003B0172">
        <w:rPr>
          <w:rFonts w:cs="Miriam"/>
          <w:szCs w:val="22"/>
          <w:rtl/>
        </w:rPr>
        <w:t>בתי משפט וסדרי דין</w:t>
      </w:r>
      <w:r w:rsidRPr="003B0172">
        <w:rPr>
          <w:rFonts w:cs="FrankRuehl"/>
          <w:szCs w:val="26"/>
          <w:rtl/>
        </w:rPr>
        <w:t xml:space="preserve"> – סדר דין פלילי – עבירות מינהליות – קנס מינהלי</w:t>
      </w:r>
    </w:p>
    <w:p w14:paraId="2DABC9F4" w14:textId="77777777" w:rsidR="00F327FE" w:rsidRPr="003B0172" w:rsidRDefault="00FD2807" w:rsidP="003B0172">
      <w:pPr>
        <w:spacing w:line="320" w:lineRule="auto"/>
        <w:jc w:val="left"/>
        <w:rPr>
          <w:rFonts w:cs="Miriam"/>
          <w:szCs w:val="22"/>
          <w:rtl/>
        </w:rPr>
      </w:pPr>
      <w:r w:rsidRPr="003B0172">
        <w:rPr>
          <w:rFonts w:cs="Miriam"/>
          <w:szCs w:val="22"/>
          <w:rtl/>
        </w:rPr>
        <w:t>רשויות ומשפט מנהלי</w:t>
      </w:r>
      <w:r w:rsidR="003B0172" w:rsidRPr="003B0172">
        <w:rPr>
          <w:rFonts w:cs="FrankRuehl"/>
          <w:szCs w:val="26"/>
          <w:rtl/>
        </w:rPr>
        <w:t xml:space="preserve"> – </w:t>
      </w:r>
      <w:r>
        <w:rPr>
          <w:rFonts w:cs="FrankRuehl" w:hint="cs"/>
          <w:szCs w:val="26"/>
          <w:rtl/>
        </w:rPr>
        <w:t>תכנון ובניה</w:t>
      </w:r>
    </w:p>
    <w:p w14:paraId="326F66B7" w14:textId="77777777" w:rsidR="00347703" w:rsidRDefault="00347703" w:rsidP="00347703">
      <w:pPr>
        <w:spacing w:line="320" w:lineRule="auto"/>
        <w:jc w:val="left"/>
        <w:rPr>
          <w:rtl/>
        </w:rPr>
      </w:pPr>
    </w:p>
    <w:p w14:paraId="76C4427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F3824" w:rsidRPr="004F3824" w14:paraId="51B4092F" w14:textId="77777777" w:rsidTr="004F3824">
        <w:tblPrEx>
          <w:tblCellMar>
            <w:top w:w="0" w:type="dxa"/>
            <w:bottom w:w="0" w:type="dxa"/>
          </w:tblCellMar>
        </w:tblPrEx>
        <w:tc>
          <w:tcPr>
            <w:tcW w:w="1247" w:type="dxa"/>
          </w:tcPr>
          <w:p w14:paraId="62377E3D" w14:textId="77777777" w:rsidR="004F3824" w:rsidRPr="004F3824" w:rsidRDefault="004F3824" w:rsidP="004F3824">
            <w:pPr>
              <w:spacing w:line="240" w:lineRule="auto"/>
              <w:jc w:val="left"/>
              <w:rPr>
                <w:rFonts w:cs="Frankruhel"/>
                <w:sz w:val="24"/>
                <w:rtl/>
              </w:rPr>
            </w:pPr>
            <w:r>
              <w:rPr>
                <w:rFonts w:cs="Times New Roman"/>
                <w:sz w:val="24"/>
                <w:rtl/>
              </w:rPr>
              <w:t xml:space="preserve">סעיף 1 </w:t>
            </w:r>
          </w:p>
        </w:tc>
        <w:tc>
          <w:tcPr>
            <w:tcW w:w="5669" w:type="dxa"/>
          </w:tcPr>
          <w:p w14:paraId="05F2D948" w14:textId="77777777" w:rsidR="004F3824" w:rsidRPr="004F3824" w:rsidRDefault="004F3824" w:rsidP="004F3824">
            <w:pPr>
              <w:spacing w:line="240" w:lineRule="auto"/>
              <w:jc w:val="left"/>
              <w:rPr>
                <w:rFonts w:cs="Frankruhel"/>
                <w:sz w:val="24"/>
                <w:rtl/>
              </w:rPr>
            </w:pPr>
            <w:r>
              <w:rPr>
                <w:rFonts w:cs="Times New Roman"/>
                <w:sz w:val="24"/>
                <w:rtl/>
              </w:rPr>
              <w:t>עבירה מינהלית</w:t>
            </w:r>
          </w:p>
        </w:tc>
        <w:tc>
          <w:tcPr>
            <w:tcW w:w="567" w:type="dxa"/>
          </w:tcPr>
          <w:p w14:paraId="508660F1" w14:textId="77777777" w:rsidR="004F3824" w:rsidRPr="004F3824" w:rsidRDefault="004F3824" w:rsidP="004F3824">
            <w:pPr>
              <w:spacing w:line="240" w:lineRule="auto"/>
              <w:jc w:val="left"/>
              <w:rPr>
                <w:rStyle w:val="Hyperlink"/>
                <w:rtl/>
              </w:rPr>
            </w:pPr>
            <w:hyperlink w:anchor="Seif1" w:tooltip="עבירה מינהלית" w:history="1">
              <w:r w:rsidRPr="004F3824">
                <w:rPr>
                  <w:rStyle w:val="Hyperlink"/>
                </w:rPr>
                <w:t>Go</w:t>
              </w:r>
            </w:hyperlink>
          </w:p>
        </w:tc>
        <w:tc>
          <w:tcPr>
            <w:tcW w:w="850" w:type="dxa"/>
          </w:tcPr>
          <w:p w14:paraId="4E41E9D2" w14:textId="77777777" w:rsidR="004F3824" w:rsidRPr="004F3824" w:rsidRDefault="004F3824" w:rsidP="004F382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F3824" w:rsidRPr="004F3824" w14:paraId="2F996F4E" w14:textId="77777777" w:rsidTr="004F3824">
        <w:tblPrEx>
          <w:tblCellMar>
            <w:top w:w="0" w:type="dxa"/>
            <w:bottom w:w="0" w:type="dxa"/>
          </w:tblCellMar>
        </w:tblPrEx>
        <w:tc>
          <w:tcPr>
            <w:tcW w:w="1247" w:type="dxa"/>
          </w:tcPr>
          <w:p w14:paraId="02D13F7F" w14:textId="77777777" w:rsidR="004F3824" w:rsidRPr="004F3824" w:rsidRDefault="004F3824" w:rsidP="004F3824">
            <w:pPr>
              <w:spacing w:line="240" w:lineRule="auto"/>
              <w:jc w:val="left"/>
              <w:rPr>
                <w:rFonts w:cs="Frankruhel"/>
                <w:sz w:val="24"/>
                <w:rtl/>
              </w:rPr>
            </w:pPr>
            <w:r>
              <w:rPr>
                <w:rFonts w:cs="Times New Roman"/>
                <w:sz w:val="24"/>
                <w:rtl/>
              </w:rPr>
              <w:t xml:space="preserve">סעיף 2 </w:t>
            </w:r>
          </w:p>
        </w:tc>
        <w:tc>
          <w:tcPr>
            <w:tcW w:w="5669" w:type="dxa"/>
          </w:tcPr>
          <w:p w14:paraId="307DA26F" w14:textId="77777777" w:rsidR="004F3824" w:rsidRPr="004F3824" w:rsidRDefault="004F3824" w:rsidP="004F3824">
            <w:pPr>
              <w:spacing w:line="240" w:lineRule="auto"/>
              <w:jc w:val="left"/>
              <w:rPr>
                <w:rFonts w:cs="Frankruhel"/>
                <w:sz w:val="24"/>
                <w:rtl/>
              </w:rPr>
            </w:pPr>
            <w:r>
              <w:rPr>
                <w:rFonts w:cs="Times New Roman"/>
                <w:sz w:val="24"/>
                <w:rtl/>
              </w:rPr>
              <w:t>קנס מינהלי קצוב</w:t>
            </w:r>
          </w:p>
        </w:tc>
        <w:tc>
          <w:tcPr>
            <w:tcW w:w="567" w:type="dxa"/>
          </w:tcPr>
          <w:p w14:paraId="5ECD581D" w14:textId="77777777" w:rsidR="004F3824" w:rsidRPr="004F3824" w:rsidRDefault="004F3824" w:rsidP="004F3824">
            <w:pPr>
              <w:spacing w:line="240" w:lineRule="auto"/>
              <w:jc w:val="left"/>
              <w:rPr>
                <w:rStyle w:val="Hyperlink"/>
                <w:rtl/>
              </w:rPr>
            </w:pPr>
            <w:hyperlink w:anchor="Seif2" w:tooltip="קנס מינהלי קצוב" w:history="1">
              <w:r w:rsidRPr="004F3824">
                <w:rPr>
                  <w:rStyle w:val="Hyperlink"/>
                </w:rPr>
                <w:t>Go</w:t>
              </w:r>
            </w:hyperlink>
          </w:p>
        </w:tc>
        <w:tc>
          <w:tcPr>
            <w:tcW w:w="850" w:type="dxa"/>
          </w:tcPr>
          <w:p w14:paraId="06BA2E93" w14:textId="77777777" w:rsidR="004F3824" w:rsidRPr="004F3824" w:rsidRDefault="004F3824" w:rsidP="004F382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F3824" w:rsidRPr="004F3824" w14:paraId="06D9346D" w14:textId="77777777" w:rsidTr="004F3824">
        <w:tblPrEx>
          <w:tblCellMar>
            <w:top w:w="0" w:type="dxa"/>
            <w:bottom w:w="0" w:type="dxa"/>
          </w:tblCellMar>
        </w:tblPrEx>
        <w:tc>
          <w:tcPr>
            <w:tcW w:w="1247" w:type="dxa"/>
          </w:tcPr>
          <w:p w14:paraId="2C4FDC21" w14:textId="77777777" w:rsidR="004F3824" w:rsidRPr="004F3824" w:rsidRDefault="004F3824" w:rsidP="004F3824">
            <w:pPr>
              <w:spacing w:line="240" w:lineRule="auto"/>
              <w:jc w:val="left"/>
              <w:rPr>
                <w:rFonts w:cs="Frankruhel"/>
                <w:sz w:val="24"/>
                <w:rtl/>
              </w:rPr>
            </w:pPr>
            <w:r>
              <w:rPr>
                <w:rFonts w:cs="Times New Roman"/>
                <w:sz w:val="24"/>
                <w:rtl/>
              </w:rPr>
              <w:t xml:space="preserve">סעיף 3 </w:t>
            </w:r>
          </w:p>
        </w:tc>
        <w:tc>
          <w:tcPr>
            <w:tcW w:w="5669" w:type="dxa"/>
          </w:tcPr>
          <w:p w14:paraId="0EBC9AD5" w14:textId="77777777" w:rsidR="004F3824" w:rsidRPr="004F3824" w:rsidRDefault="004F3824" w:rsidP="004F3824">
            <w:pPr>
              <w:spacing w:line="240" w:lineRule="auto"/>
              <w:jc w:val="left"/>
              <w:rPr>
                <w:rFonts w:cs="Frankruhel"/>
                <w:sz w:val="24"/>
                <w:rtl/>
              </w:rPr>
            </w:pPr>
            <w:r>
              <w:rPr>
                <w:rFonts w:cs="Times New Roman"/>
                <w:sz w:val="24"/>
                <w:rtl/>
              </w:rPr>
              <w:t>עבירה בנסיבות של שימוש למגורים</w:t>
            </w:r>
          </w:p>
        </w:tc>
        <w:tc>
          <w:tcPr>
            <w:tcW w:w="567" w:type="dxa"/>
          </w:tcPr>
          <w:p w14:paraId="748CA3BC" w14:textId="77777777" w:rsidR="004F3824" w:rsidRPr="004F3824" w:rsidRDefault="004F3824" w:rsidP="004F3824">
            <w:pPr>
              <w:spacing w:line="240" w:lineRule="auto"/>
              <w:jc w:val="left"/>
              <w:rPr>
                <w:rStyle w:val="Hyperlink"/>
                <w:rtl/>
              </w:rPr>
            </w:pPr>
            <w:hyperlink w:anchor="Seif3" w:tooltip="עבירה בנסיבות של שימוש למגורים" w:history="1">
              <w:r w:rsidRPr="004F3824">
                <w:rPr>
                  <w:rStyle w:val="Hyperlink"/>
                </w:rPr>
                <w:t>Go</w:t>
              </w:r>
            </w:hyperlink>
          </w:p>
        </w:tc>
        <w:tc>
          <w:tcPr>
            <w:tcW w:w="850" w:type="dxa"/>
          </w:tcPr>
          <w:p w14:paraId="527252A4" w14:textId="77777777" w:rsidR="004F3824" w:rsidRPr="004F3824" w:rsidRDefault="004F3824" w:rsidP="004F382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F3824" w:rsidRPr="004F3824" w14:paraId="3EE662CE" w14:textId="77777777" w:rsidTr="004F3824">
        <w:tblPrEx>
          <w:tblCellMar>
            <w:top w:w="0" w:type="dxa"/>
            <w:bottom w:w="0" w:type="dxa"/>
          </w:tblCellMar>
        </w:tblPrEx>
        <w:tc>
          <w:tcPr>
            <w:tcW w:w="1247" w:type="dxa"/>
          </w:tcPr>
          <w:p w14:paraId="55BCDAB7" w14:textId="77777777" w:rsidR="004F3824" w:rsidRPr="004F3824" w:rsidRDefault="004F3824" w:rsidP="004F3824">
            <w:pPr>
              <w:spacing w:line="240" w:lineRule="auto"/>
              <w:jc w:val="left"/>
              <w:rPr>
                <w:rFonts w:cs="Frankruhel"/>
                <w:sz w:val="24"/>
                <w:rtl/>
              </w:rPr>
            </w:pPr>
            <w:r>
              <w:rPr>
                <w:rFonts w:cs="Times New Roman"/>
                <w:sz w:val="24"/>
                <w:rtl/>
              </w:rPr>
              <w:t xml:space="preserve">סעיף 4 </w:t>
            </w:r>
          </w:p>
        </w:tc>
        <w:tc>
          <w:tcPr>
            <w:tcW w:w="5669" w:type="dxa"/>
          </w:tcPr>
          <w:p w14:paraId="491F8342" w14:textId="77777777" w:rsidR="004F3824" w:rsidRPr="004F3824" w:rsidRDefault="004F3824" w:rsidP="004F3824">
            <w:pPr>
              <w:spacing w:line="240" w:lineRule="auto"/>
              <w:jc w:val="left"/>
              <w:rPr>
                <w:rFonts w:cs="Frankruhel"/>
                <w:sz w:val="24"/>
                <w:rtl/>
              </w:rPr>
            </w:pPr>
            <w:r>
              <w:rPr>
                <w:rFonts w:cs="Times New Roman"/>
                <w:sz w:val="24"/>
                <w:rtl/>
              </w:rPr>
              <w:t>עבירה בנסיבות של עבודה להקמת גדר או שימוש בגדר</w:t>
            </w:r>
          </w:p>
        </w:tc>
        <w:tc>
          <w:tcPr>
            <w:tcW w:w="567" w:type="dxa"/>
          </w:tcPr>
          <w:p w14:paraId="58FB6094" w14:textId="77777777" w:rsidR="004F3824" w:rsidRPr="004F3824" w:rsidRDefault="004F3824" w:rsidP="004F3824">
            <w:pPr>
              <w:spacing w:line="240" w:lineRule="auto"/>
              <w:jc w:val="left"/>
              <w:rPr>
                <w:rStyle w:val="Hyperlink"/>
                <w:rtl/>
              </w:rPr>
            </w:pPr>
            <w:hyperlink w:anchor="Seif4" w:tooltip="עבירה בנסיבות של עבודה להקמת גדר או שימוש בגדר" w:history="1">
              <w:r w:rsidRPr="004F3824">
                <w:rPr>
                  <w:rStyle w:val="Hyperlink"/>
                </w:rPr>
                <w:t>Go</w:t>
              </w:r>
            </w:hyperlink>
          </w:p>
        </w:tc>
        <w:tc>
          <w:tcPr>
            <w:tcW w:w="850" w:type="dxa"/>
          </w:tcPr>
          <w:p w14:paraId="3EB4F34B" w14:textId="77777777" w:rsidR="004F3824" w:rsidRPr="004F3824" w:rsidRDefault="004F3824" w:rsidP="004F382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F3824" w:rsidRPr="004F3824" w14:paraId="1FD7AEA1" w14:textId="77777777" w:rsidTr="004F3824">
        <w:tblPrEx>
          <w:tblCellMar>
            <w:top w:w="0" w:type="dxa"/>
            <w:bottom w:w="0" w:type="dxa"/>
          </w:tblCellMar>
        </w:tblPrEx>
        <w:tc>
          <w:tcPr>
            <w:tcW w:w="1247" w:type="dxa"/>
          </w:tcPr>
          <w:p w14:paraId="27695B85" w14:textId="77777777" w:rsidR="004F3824" w:rsidRPr="004F3824" w:rsidRDefault="004F3824" w:rsidP="004F3824">
            <w:pPr>
              <w:spacing w:line="240" w:lineRule="auto"/>
              <w:jc w:val="left"/>
              <w:rPr>
                <w:rFonts w:cs="Frankruhel"/>
                <w:sz w:val="24"/>
                <w:rtl/>
              </w:rPr>
            </w:pPr>
            <w:r>
              <w:rPr>
                <w:rFonts w:cs="Times New Roman"/>
                <w:sz w:val="24"/>
                <w:rtl/>
              </w:rPr>
              <w:t xml:space="preserve">סעיף 5 </w:t>
            </w:r>
          </w:p>
        </w:tc>
        <w:tc>
          <w:tcPr>
            <w:tcW w:w="5669" w:type="dxa"/>
          </w:tcPr>
          <w:p w14:paraId="0FE8B943" w14:textId="77777777" w:rsidR="004F3824" w:rsidRPr="004F3824" w:rsidRDefault="004F3824" w:rsidP="004F3824">
            <w:pPr>
              <w:spacing w:line="240" w:lineRule="auto"/>
              <w:jc w:val="left"/>
              <w:rPr>
                <w:rFonts w:cs="Frankruhel"/>
                <w:sz w:val="24"/>
                <w:rtl/>
              </w:rPr>
            </w:pPr>
            <w:r>
              <w:rPr>
                <w:rFonts w:cs="Times New Roman"/>
                <w:sz w:val="24"/>
                <w:rtl/>
              </w:rPr>
              <w:t>התראה</w:t>
            </w:r>
          </w:p>
        </w:tc>
        <w:tc>
          <w:tcPr>
            <w:tcW w:w="567" w:type="dxa"/>
          </w:tcPr>
          <w:p w14:paraId="6E17FECD" w14:textId="77777777" w:rsidR="004F3824" w:rsidRPr="004F3824" w:rsidRDefault="004F3824" w:rsidP="004F3824">
            <w:pPr>
              <w:spacing w:line="240" w:lineRule="auto"/>
              <w:jc w:val="left"/>
              <w:rPr>
                <w:rStyle w:val="Hyperlink"/>
                <w:rtl/>
              </w:rPr>
            </w:pPr>
            <w:hyperlink w:anchor="Seif5" w:tooltip="התראה" w:history="1">
              <w:r w:rsidRPr="004F3824">
                <w:rPr>
                  <w:rStyle w:val="Hyperlink"/>
                </w:rPr>
                <w:t>Go</w:t>
              </w:r>
            </w:hyperlink>
          </w:p>
        </w:tc>
        <w:tc>
          <w:tcPr>
            <w:tcW w:w="850" w:type="dxa"/>
          </w:tcPr>
          <w:p w14:paraId="2996F8E8" w14:textId="77777777" w:rsidR="004F3824" w:rsidRPr="004F3824" w:rsidRDefault="004F3824" w:rsidP="004F382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F3824" w:rsidRPr="004F3824" w14:paraId="21EE3F73" w14:textId="77777777" w:rsidTr="004F3824">
        <w:tblPrEx>
          <w:tblCellMar>
            <w:top w:w="0" w:type="dxa"/>
            <w:bottom w:w="0" w:type="dxa"/>
          </w:tblCellMar>
        </w:tblPrEx>
        <w:tc>
          <w:tcPr>
            <w:tcW w:w="1247" w:type="dxa"/>
          </w:tcPr>
          <w:p w14:paraId="305321DE" w14:textId="77777777" w:rsidR="004F3824" w:rsidRPr="004F3824" w:rsidRDefault="004F3824" w:rsidP="004F3824">
            <w:pPr>
              <w:spacing w:line="240" w:lineRule="auto"/>
              <w:jc w:val="left"/>
              <w:rPr>
                <w:rFonts w:cs="Frankruhel"/>
                <w:sz w:val="24"/>
                <w:rtl/>
              </w:rPr>
            </w:pPr>
            <w:r>
              <w:rPr>
                <w:rFonts w:cs="Times New Roman"/>
                <w:sz w:val="24"/>
                <w:rtl/>
              </w:rPr>
              <w:t xml:space="preserve">סעיף 6 </w:t>
            </w:r>
          </w:p>
        </w:tc>
        <w:tc>
          <w:tcPr>
            <w:tcW w:w="5669" w:type="dxa"/>
          </w:tcPr>
          <w:p w14:paraId="00471127" w14:textId="77777777" w:rsidR="004F3824" w:rsidRPr="004F3824" w:rsidRDefault="004F3824" w:rsidP="004F3824">
            <w:pPr>
              <w:spacing w:line="240" w:lineRule="auto"/>
              <w:jc w:val="left"/>
              <w:rPr>
                <w:rFonts w:cs="Frankruhel"/>
                <w:sz w:val="24"/>
                <w:rtl/>
              </w:rPr>
            </w:pPr>
            <w:r>
              <w:rPr>
                <w:rFonts w:cs="Times New Roman"/>
                <w:sz w:val="24"/>
                <w:rtl/>
              </w:rPr>
              <w:t>דיווח</w:t>
            </w:r>
          </w:p>
        </w:tc>
        <w:tc>
          <w:tcPr>
            <w:tcW w:w="567" w:type="dxa"/>
          </w:tcPr>
          <w:p w14:paraId="4169ADEE" w14:textId="77777777" w:rsidR="004F3824" w:rsidRPr="004F3824" w:rsidRDefault="004F3824" w:rsidP="004F3824">
            <w:pPr>
              <w:spacing w:line="240" w:lineRule="auto"/>
              <w:jc w:val="left"/>
              <w:rPr>
                <w:rStyle w:val="Hyperlink"/>
                <w:rtl/>
              </w:rPr>
            </w:pPr>
            <w:hyperlink w:anchor="Seif6" w:tooltip="דיווח" w:history="1">
              <w:r w:rsidRPr="004F3824">
                <w:rPr>
                  <w:rStyle w:val="Hyperlink"/>
                </w:rPr>
                <w:t>Go</w:t>
              </w:r>
            </w:hyperlink>
          </w:p>
        </w:tc>
        <w:tc>
          <w:tcPr>
            <w:tcW w:w="850" w:type="dxa"/>
          </w:tcPr>
          <w:p w14:paraId="0E42561D" w14:textId="77777777" w:rsidR="004F3824" w:rsidRPr="004F3824" w:rsidRDefault="004F3824" w:rsidP="004F382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F3824" w:rsidRPr="004F3824" w14:paraId="760AB3EB" w14:textId="77777777" w:rsidTr="004F3824">
        <w:tblPrEx>
          <w:tblCellMar>
            <w:top w:w="0" w:type="dxa"/>
            <w:bottom w:w="0" w:type="dxa"/>
          </w:tblCellMar>
        </w:tblPrEx>
        <w:tc>
          <w:tcPr>
            <w:tcW w:w="1247" w:type="dxa"/>
          </w:tcPr>
          <w:p w14:paraId="4C04D8FF" w14:textId="77777777" w:rsidR="004F3824" w:rsidRPr="004F3824" w:rsidRDefault="004F3824" w:rsidP="004F3824">
            <w:pPr>
              <w:spacing w:line="240" w:lineRule="auto"/>
              <w:jc w:val="left"/>
              <w:rPr>
                <w:rFonts w:cs="Frankruhel"/>
                <w:sz w:val="24"/>
                <w:rtl/>
              </w:rPr>
            </w:pPr>
            <w:r>
              <w:rPr>
                <w:rFonts w:cs="Times New Roman"/>
                <w:sz w:val="24"/>
                <w:rtl/>
              </w:rPr>
              <w:t xml:space="preserve">סעיף 7 </w:t>
            </w:r>
          </w:p>
        </w:tc>
        <w:tc>
          <w:tcPr>
            <w:tcW w:w="5669" w:type="dxa"/>
          </w:tcPr>
          <w:p w14:paraId="71058DA5" w14:textId="77777777" w:rsidR="004F3824" w:rsidRPr="004F3824" w:rsidRDefault="004F3824" w:rsidP="004F3824">
            <w:pPr>
              <w:spacing w:line="240" w:lineRule="auto"/>
              <w:jc w:val="left"/>
              <w:rPr>
                <w:rFonts w:cs="Frankruhel"/>
                <w:sz w:val="24"/>
                <w:rtl/>
              </w:rPr>
            </w:pPr>
            <w:r>
              <w:rPr>
                <w:rFonts w:cs="Times New Roman"/>
                <w:sz w:val="24"/>
                <w:rtl/>
              </w:rPr>
              <w:t>תחילה</w:t>
            </w:r>
          </w:p>
        </w:tc>
        <w:tc>
          <w:tcPr>
            <w:tcW w:w="567" w:type="dxa"/>
          </w:tcPr>
          <w:p w14:paraId="7D17D911" w14:textId="77777777" w:rsidR="004F3824" w:rsidRPr="004F3824" w:rsidRDefault="004F3824" w:rsidP="004F3824">
            <w:pPr>
              <w:spacing w:line="240" w:lineRule="auto"/>
              <w:jc w:val="left"/>
              <w:rPr>
                <w:rStyle w:val="Hyperlink"/>
                <w:rtl/>
              </w:rPr>
            </w:pPr>
            <w:hyperlink w:anchor="Seif7" w:tooltip="תחילה" w:history="1">
              <w:r w:rsidRPr="004F3824">
                <w:rPr>
                  <w:rStyle w:val="Hyperlink"/>
                </w:rPr>
                <w:t>Go</w:t>
              </w:r>
            </w:hyperlink>
          </w:p>
        </w:tc>
        <w:tc>
          <w:tcPr>
            <w:tcW w:w="850" w:type="dxa"/>
          </w:tcPr>
          <w:p w14:paraId="16EF5132" w14:textId="77777777" w:rsidR="004F3824" w:rsidRPr="004F3824" w:rsidRDefault="004F3824" w:rsidP="004F382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13A52686" w14:textId="77777777" w:rsidR="00D25D5C" w:rsidRDefault="00D25D5C" w:rsidP="00787C29">
      <w:pPr>
        <w:pStyle w:val="big-header"/>
        <w:ind w:left="0" w:right="1134"/>
        <w:rPr>
          <w:rStyle w:val="default"/>
          <w:rFonts w:hint="cs"/>
          <w:sz w:val="22"/>
          <w:szCs w:val="22"/>
          <w:rtl/>
        </w:rPr>
      </w:pPr>
      <w:r>
        <w:rPr>
          <w:rFonts w:cs="FrankRuehl"/>
          <w:sz w:val="32"/>
          <w:rtl/>
        </w:rPr>
        <w:br w:type="page"/>
      </w:r>
      <w:r w:rsidR="00FD2807">
        <w:rPr>
          <w:rFonts w:cs="FrankRuehl" w:hint="cs"/>
          <w:sz w:val="32"/>
          <w:rtl/>
        </w:rPr>
        <w:lastRenderedPageBreak/>
        <w:t xml:space="preserve">תקנות העבירות המינהליות (קנס מינהלי </w:t>
      </w:r>
      <w:r w:rsidR="00FD2807">
        <w:rPr>
          <w:rFonts w:cs="FrankRuehl"/>
          <w:sz w:val="32"/>
          <w:rtl/>
        </w:rPr>
        <w:t>–</w:t>
      </w:r>
      <w:r w:rsidR="00FD2807">
        <w:rPr>
          <w:rFonts w:cs="FrankRuehl" w:hint="cs"/>
          <w:sz w:val="32"/>
          <w:rtl/>
        </w:rPr>
        <w:t xml:space="preserve"> תכנון ובנייה), תשע"ח-2018</w:t>
      </w:r>
      <w:r>
        <w:rPr>
          <w:rStyle w:val="default"/>
          <w:sz w:val="22"/>
          <w:szCs w:val="22"/>
          <w:rtl/>
        </w:rPr>
        <w:footnoteReference w:customMarkFollows="1" w:id="1"/>
        <w:t>*</w:t>
      </w:r>
    </w:p>
    <w:p w14:paraId="41C3A8BD" w14:textId="77777777" w:rsidR="00BD1625" w:rsidRDefault="00BD1625" w:rsidP="00BD1625">
      <w:pPr>
        <w:pStyle w:val="P00"/>
        <w:spacing w:before="72"/>
        <w:ind w:left="0" w:right="1134"/>
        <w:rPr>
          <w:rStyle w:val="default"/>
          <w:rFonts w:cs="FrankRuehl"/>
          <w:rtl/>
        </w:rPr>
      </w:pPr>
      <w:r>
        <w:rPr>
          <w:rStyle w:val="default"/>
          <w:rFonts w:cs="FrankRuehl" w:hint="cs"/>
          <w:rtl/>
        </w:rPr>
        <w:tab/>
        <w:t xml:space="preserve">בתוקף סמכותי לפי סעיפים 1 ו-2 לחוק העבירות המינהליות, התשמ"ו-1985 (להלן </w:t>
      </w:r>
      <w:r>
        <w:rPr>
          <w:rStyle w:val="default"/>
          <w:rFonts w:cs="FrankRuehl"/>
          <w:rtl/>
        </w:rPr>
        <w:t>–</w:t>
      </w:r>
      <w:r>
        <w:rPr>
          <w:rStyle w:val="default"/>
          <w:rFonts w:cs="FrankRuehl" w:hint="cs"/>
          <w:rtl/>
        </w:rPr>
        <w:t xml:space="preserve"> חוק</w:t>
      </w:r>
      <w:r w:rsidR="00FD2807">
        <w:rPr>
          <w:rStyle w:val="default"/>
          <w:rFonts w:cs="FrankRuehl" w:hint="cs"/>
          <w:rtl/>
        </w:rPr>
        <w:t xml:space="preserve"> העבירות המינהליות</w:t>
      </w:r>
      <w:r>
        <w:rPr>
          <w:rStyle w:val="default"/>
          <w:rFonts w:cs="FrankRuehl" w:hint="cs"/>
          <w:rtl/>
        </w:rPr>
        <w:t xml:space="preserve">), בהסכמת שר </w:t>
      </w:r>
      <w:r w:rsidR="00FD2807">
        <w:rPr>
          <w:rStyle w:val="default"/>
          <w:rFonts w:cs="FrankRuehl" w:hint="cs"/>
          <w:rtl/>
        </w:rPr>
        <w:t>האוצר</w:t>
      </w:r>
      <w:r>
        <w:rPr>
          <w:rStyle w:val="default"/>
          <w:rFonts w:cs="FrankRuehl" w:hint="cs"/>
          <w:rtl/>
        </w:rPr>
        <w:t xml:space="preserve"> ובאישור ועדת </w:t>
      </w:r>
      <w:r w:rsidR="00FD2807">
        <w:rPr>
          <w:rStyle w:val="default"/>
          <w:rFonts w:cs="FrankRuehl" w:hint="cs"/>
          <w:rtl/>
        </w:rPr>
        <w:t>הפנים והגנת הסביבה</w:t>
      </w:r>
      <w:r>
        <w:rPr>
          <w:rStyle w:val="default"/>
          <w:rFonts w:cs="FrankRuehl" w:hint="cs"/>
          <w:rtl/>
        </w:rPr>
        <w:t xml:space="preserve"> של הכנסת, אני מתקי</w:t>
      </w:r>
      <w:r w:rsidR="00FD2807">
        <w:rPr>
          <w:rStyle w:val="default"/>
          <w:rFonts w:cs="FrankRuehl" w:hint="cs"/>
          <w:rtl/>
        </w:rPr>
        <w:t>נה</w:t>
      </w:r>
      <w:r>
        <w:rPr>
          <w:rStyle w:val="default"/>
          <w:rFonts w:cs="FrankRuehl" w:hint="cs"/>
          <w:rtl/>
        </w:rPr>
        <w:t xml:space="preserve"> תקנות אלה:</w:t>
      </w:r>
    </w:p>
    <w:p w14:paraId="0A2D2E22" w14:textId="77777777" w:rsidR="00642120" w:rsidRDefault="00642120" w:rsidP="00BD1625">
      <w:pPr>
        <w:pStyle w:val="P00"/>
        <w:spacing w:before="72"/>
        <w:ind w:left="0" w:right="1134"/>
        <w:rPr>
          <w:rStyle w:val="default"/>
          <w:rFonts w:cs="FrankRuehl"/>
          <w:rtl/>
        </w:rPr>
      </w:pPr>
      <w:bookmarkStart w:id="0" w:name="Seif1"/>
      <w:bookmarkEnd w:id="0"/>
      <w:r>
        <w:rPr>
          <w:lang w:val="he-IL"/>
        </w:rPr>
        <w:pict w14:anchorId="4B3209E7">
          <v:rect id="_x0000_s1107" style="position:absolute;left:0;text-align:left;margin-left:464.5pt;margin-top:8.05pt;width:75.05pt;height:12pt;z-index:251654656" o:allowincell="f" filled="f" stroked="f" strokecolor="lime" strokeweight=".25pt">
            <v:textbox inset="0,0,0,0">
              <w:txbxContent>
                <w:p w14:paraId="5519B0E6" w14:textId="77777777" w:rsidR="00642120" w:rsidRDefault="00BD1625" w:rsidP="00642120">
                  <w:pPr>
                    <w:spacing w:line="160" w:lineRule="exact"/>
                    <w:jc w:val="left"/>
                    <w:rPr>
                      <w:rFonts w:cs="Miriam" w:hint="cs"/>
                      <w:noProof/>
                      <w:sz w:val="18"/>
                      <w:szCs w:val="18"/>
                      <w:rtl/>
                    </w:rPr>
                  </w:pPr>
                  <w:r>
                    <w:rPr>
                      <w:rFonts w:cs="Miriam" w:hint="cs"/>
                      <w:sz w:val="18"/>
                      <w:szCs w:val="18"/>
                      <w:rtl/>
                    </w:rPr>
                    <w:t>עבירה מינהלית</w:t>
                  </w:r>
                </w:p>
              </w:txbxContent>
            </v:textbox>
            <w10:anchorlock/>
          </v:rect>
        </w:pict>
      </w:r>
      <w:r>
        <w:rPr>
          <w:rStyle w:val="big-number"/>
          <w:rFonts w:cs="Miriam"/>
          <w:rtl/>
        </w:rPr>
        <w:t>1.</w:t>
      </w:r>
      <w:r>
        <w:rPr>
          <w:rStyle w:val="big-number"/>
          <w:rFonts w:cs="Miriam"/>
          <w:rtl/>
        </w:rPr>
        <w:tab/>
      </w:r>
      <w:r w:rsidR="00BD1625">
        <w:rPr>
          <w:rStyle w:val="default"/>
          <w:rFonts w:cs="FrankRuehl" w:hint="cs"/>
          <w:rtl/>
        </w:rPr>
        <w:t xml:space="preserve">עבירה </w:t>
      </w:r>
      <w:r w:rsidR="00FD2807">
        <w:rPr>
          <w:rStyle w:val="default"/>
          <w:rFonts w:cs="FrankRuehl" w:hint="cs"/>
          <w:rtl/>
        </w:rPr>
        <w:t xml:space="preserve">על סעיף מסעיפי חוק התכנון והבנייה, התשכ"ה-1965 (להלן </w:t>
      </w:r>
      <w:r w:rsidR="00FD2807">
        <w:rPr>
          <w:rStyle w:val="default"/>
          <w:rFonts w:cs="FrankRuehl"/>
          <w:rtl/>
        </w:rPr>
        <w:t>–</w:t>
      </w:r>
      <w:r w:rsidR="00FD2807">
        <w:rPr>
          <w:rStyle w:val="default"/>
          <w:rFonts w:cs="FrankRuehl" w:hint="cs"/>
          <w:rtl/>
        </w:rPr>
        <w:t xml:space="preserve"> החוק),</w:t>
      </w:r>
      <w:r w:rsidR="00BD1625">
        <w:rPr>
          <w:rStyle w:val="default"/>
          <w:rFonts w:cs="FrankRuehl" w:hint="cs"/>
          <w:rtl/>
        </w:rPr>
        <w:t xml:space="preserve"> כמפורט בטור א' שבתוספת, היא עבירה מינהלית.</w:t>
      </w:r>
    </w:p>
    <w:p w14:paraId="024F8F2B" w14:textId="77777777" w:rsidR="00642120" w:rsidRDefault="00642120" w:rsidP="00BD1625">
      <w:pPr>
        <w:pStyle w:val="P00"/>
        <w:spacing w:before="72"/>
        <w:ind w:left="0" w:right="1134"/>
        <w:rPr>
          <w:rStyle w:val="default"/>
          <w:rFonts w:cs="FrankRuehl"/>
          <w:rtl/>
        </w:rPr>
      </w:pPr>
      <w:bookmarkStart w:id="1" w:name="Seif2"/>
      <w:bookmarkEnd w:id="1"/>
      <w:r>
        <w:rPr>
          <w:lang w:val="he-IL"/>
        </w:rPr>
        <w:pict w14:anchorId="59B2C021">
          <v:rect id="_x0000_s1108" style="position:absolute;left:0;text-align:left;margin-left:464.5pt;margin-top:8.05pt;width:75.05pt;height:14.25pt;z-index:251655680" o:allowincell="f" filled="f" stroked="f" strokecolor="lime" strokeweight=".25pt">
            <v:textbox inset="0,0,0,0">
              <w:txbxContent>
                <w:p w14:paraId="1C560FDF" w14:textId="77777777" w:rsidR="00642120" w:rsidRDefault="00BD1625" w:rsidP="00642120">
                  <w:pPr>
                    <w:spacing w:line="160" w:lineRule="exact"/>
                    <w:jc w:val="left"/>
                    <w:rPr>
                      <w:rFonts w:cs="Miriam" w:hint="cs"/>
                      <w:noProof/>
                      <w:sz w:val="18"/>
                      <w:szCs w:val="18"/>
                      <w:rtl/>
                    </w:rPr>
                  </w:pPr>
                  <w:r>
                    <w:rPr>
                      <w:rFonts w:cs="Miriam" w:hint="cs"/>
                      <w:sz w:val="18"/>
                      <w:szCs w:val="18"/>
                      <w:rtl/>
                    </w:rPr>
                    <w:t>קנס מינהלי קצוב</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FD2807">
        <w:rPr>
          <w:rStyle w:val="default"/>
          <w:rFonts w:cs="FrankRuehl" w:hint="cs"/>
          <w:rtl/>
        </w:rPr>
        <w:t>(א)</w:t>
      </w:r>
      <w:r w:rsidR="00FD2807">
        <w:rPr>
          <w:rStyle w:val="default"/>
          <w:rFonts w:cs="FrankRuehl"/>
          <w:rtl/>
        </w:rPr>
        <w:tab/>
      </w:r>
      <w:r w:rsidR="00BD1625">
        <w:rPr>
          <w:rStyle w:val="default"/>
          <w:rFonts w:cs="FrankRuehl" w:hint="cs"/>
          <w:rtl/>
        </w:rPr>
        <w:t xml:space="preserve">לעבירה מינהלית כאמור </w:t>
      </w:r>
      <w:r w:rsidR="00FD2807">
        <w:rPr>
          <w:rStyle w:val="default"/>
          <w:rFonts w:cs="FrankRuehl" w:hint="cs"/>
          <w:rtl/>
        </w:rPr>
        <w:t>בתקנה</w:t>
      </w:r>
      <w:r w:rsidR="00BD1625">
        <w:rPr>
          <w:rStyle w:val="default"/>
          <w:rFonts w:cs="FrankRuehl" w:hint="cs"/>
          <w:rtl/>
        </w:rPr>
        <w:t xml:space="preserve"> 1 יהיה קנס מינהלי קצוב</w:t>
      </w:r>
      <w:r w:rsidR="00FD2807">
        <w:rPr>
          <w:rStyle w:val="default"/>
          <w:rFonts w:cs="FrankRuehl" w:hint="cs"/>
          <w:rtl/>
        </w:rPr>
        <w:t xml:space="preserve"> </w:t>
      </w:r>
      <w:r w:rsidR="00FD2807">
        <w:rPr>
          <w:rStyle w:val="default"/>
          <w:rFonts w:cs="FrankRuehl"/>
          <w:rtl/>
        </w:rPr>
        <w:t>–</w:t>
      </w:r>
    </w:p>
    <w:p w14:paraId="41341CAB" w14:textId="77777777" w:rsidR="00FD2807" w:rsidRDefault="00FD2807" w:rsidP="00FD280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יחיד </w:t>
      </w:r>
      <w:r>
        <w:rPr>
          <w:rStyle w:val="default"/>
          <w:rFonts w:cs="FrankRuehl"/>
          <w:rtl/>
        </w:rPr>
        <w:t>–</w:t>
      </w:r>
      <w:r>
        <w:rPr>
          <w:rStyle w:val="default"/>
          <w:rFonts w:cs="FrankRuehl" w:hint="cs"/>
          <w:rtl/>
        </w:rPr>
        <w:t xml:space="preserve"> כקבוע לצדה בטור ב' בתוספת;</w:t>
      </w:r>
    </w:p>
    <w:p w14:paraId="073CA0DF" w14:textId="77777777" w:rsidR="00FD2807" w:rsidRDefault="00FD2807" w:rsidP="00FD280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תאגיד </w:t>
      </w:r>
      <w:r>
        <w:rPr>
          <w:rStyle w:val="default"/>
          <w:rFonts w:cs="FrankRuehl"/>
          <w:rtl/>
        </w:rPr>
        <w:t>–</w:t>
      </w:r>
      <w:r>
        <w:rPr>
          <w:rStyle w:val="default"/>
          <w:rFonts w:cs="FrankRuehl" w:hint="cs"/>
          <w:rtl/>
        </w:rPr>
        <w:t xml:space="preserve"> כפל הקנס האמור בפסקה (1).</w:t>
      </w:r>
    </w:p>
    <w:p w14:paraId="3BF43FD6" w14:textId="77777777" w:rsidR="00FD2807" w:rsidRDefault="00FD2807" w:rsidP="00BD16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הקנס המינהלי הקצוב לעבירה מינהלית נמשכת המנויה בפרטים 3 ו-4 לתוספת יהיה כאמור בתקנת משנה (א) בתוספת של סכום כמפורט לצדה בטור ג', לכל יום, עד 90 ימים; ואולם לא יוטל סכום הקנס המפורט בטור ג', אם חלפו למעלה מ-120 ימים מיום שניתנה התראה כאמור בסעיף 8(ב1) חוק העבירות המינהליות.</w:t>
      </w:r>
    </w:p>
    <w:p w14:paraId="2441D0C2" w14:textId="77777777" w:rsidR="00DF2216" w:rsidRDefault="00DF2216" w:rsidP="00BD1625">
      <w:pPr>
        <w:pStyle w:val="P00"/>
        <w:spacing w:before="72"/>
        <w:ind w:left="0" w:right="1134"/>
        <w:rPr>
          <w:rStyle w:val="default"/>
          <w:rFonts w:cs="FrankRuehl"/>
          <w:rtl/>
        </w:rPr>
      </w:pPr>
      <w:bookmarkStart w:id="2" w:name="Seif3"/>
      <w:bookmarkEnd w:id="2"/>
      <w:r>
        <w:rPr>
          <w:lang w:val="he-IL"/>
        </w:rPr>
        <w:pict w14:anchorId="39818A54">
          <v:rect id="_x0000_s1123" style="position:absolute;left:0;text-align:left;margin-left:464.5pt;margin-top:8.05pt;width:75.05pt;height:16.9pt;z-index:251656704" o:allowincell="f" filled="f" stroked="f" strokecolor="lime" strokeweight=".25pt">
            <v:textbox inset="0,0,0,0">
              <w:txbxContent>
                <w:p w14:paraId="4DED8F17" w14:textId="77777777" w:rsidR="00DF2216" w:rsidRDefault="00BD1625" w:rsidP="00DF2216">
                  <w:pPr>
                    <w:spacing w:line="160" w:lineRule="exact"/>
                    <w:jc w:val="left"/>
                    <w:rPr>
                      <w:rFonts w:cs="Miriam" w:hint="cs"/>
                      <w:noProof/>
                      <w:sz w:val="18"/>
                      <w:szCs w:val="18"/>
                      <w:rtl/>
                    </w:rPr>
                  </w:pPr>
                  <w:r>
                    <w:rPr>
                      <w:rFonts w:cs="Miriam" w:hint="cs"/>
                      <w:sz w:val="18"/>
                      <w:szCs w:val="18"/>
                      <w:rtl/>
                    </w:rPr>
                    <w:t xml:space="preserve">עבירה </w:t>
                  </w:r>
                  <w:r w:rsidR="00FD2807">
                    <w:rPr>
                      <w:rFonts w:cs="Miriam" w:hint="cs"/>
                      <w:sz w:val="18"/>
                      <w:szCs w:val="18"/>
                      <w:rtl/>
                    </w:rPr>
                    <w:t>בנסיבות של שימוש למגורים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FD2807">
        <w:rPr>
          <w:rStyle w:val="default"/>
          <w:rFonts w:cs="FrankRuehl" w:hint="cs"/>
          <w:rtl/>
        </w:rPr>
        <w:t xml:space="preserve">נעברה עבירה כמפורט בפרטים 3 ו-4 בתוספת, בנסיבות של שימוש למגורים </w:t>
      </w:r>
      <w:r w:rsidR="00FD2807">
        <w:rPr>
          <w:rStyle w:val="default"/>
          <w:rFonts w:cs="FrankRuehl"/>
          <w:rtl/>
        </w:rPr>
        <w:t>–</w:t>
      </w:r>
      <w:r w:rsidR="00FD2807">
        <w:rPr>
          <w:rStyle w:val="default"/>
          <w:rFonts w:cs="FrankRuehl" w:hint="cs"/>
          <w:rtl/>
        </w:rPr>
        <w:t xml:space="preserve"> יהיה הקנס בגובה מחצית הקנס הנקוב לצד אותה עבירה בטורים ב' ו-ג' בתוספת</w:t>
      </w:r>
      <w:r w:rsidR="00BD1625">
        <w:rPr>
          <w:rStyle w:val="default"/>
          <w:rFonts w:cs="FrankRuehl" w:hint="cs"/>
          <w:rtl/>
        </w:rPr>
        <w:t>.</w:t>
      </w:r>
    </w:p>
    <w:p w14:paraId="0BF2580E" w14:textId="77777777" w:rsidR="00BD1625" w:rsidRDefault="00BD1625" w:rsidP="00BD1625">
      <w:pPr>
        <w:pStyle w:val="P00"/>
        <w:spacing w:before="72"/>
        <w:ind w:left="0" w:right="1134"/>
        <w:rPr>
          <w:rStyle w:val="default"/>
          <w:rFonts w:cs="FrankRuehl"/>
          <w:rtl/>
        </w:rPr>
      </w:pPr>
      <w:bookmarkStart w:id="3" w:name="Seif4"/>
      <w:bookmarkEnd w:id="3"/>
      <w:r>
        <w:rPr>
          <w:lang w:val="he-IL"/>
        </w:rPr>
        <w:pict w14:anchorId="39A49846">
          <v:rect id="_x0000_s1124" style="position:absolute;left:0;text-align:left;margin-left:464.5pt;margin-top:8.05pt;width:75.05pt;height:28.5pt;z-index:251657728" o:allowincell="f" filled="f" stroked="f" strokecolor="lime" strokeweight=".25pt">
            <v:textbox inset="0,0,0,0">
              <w:txbxContent>
                <w:p w14:paraId="1D8E5C47" w14:textId="77777777" w:rsidR="00BD1625" w:rsidRDefault="00BD1625" w:rsidP="00BD1625">
                  <w:pPr>
                    <w:spacing w:line="160" w:lineRule="exact"/>
                    <w:jc w:val="left"/>
                    <w:rPr>
                      <w:rFonts w:cs="Miriam" w:hint="cs"/>
                      <w:noProof/>
                      <w:sz w:val="18"/>
                      <w:szCs w:val="18"/>
                      <w:rtl/>
                    </w:rPr>
                  </w:pPr>
                  <w:r>
                    <w:rPr>
                      <w:rFonts w:cs="Miriam" w:hint="cs"/>
                      <w:sz w:val="18"/>
                      <w:szCs w:val="18"/>
                      <w:rtl/>
                    </w:rPr>
                    <w:t xml:space="preserve">עבירה </w:t>
                  </w:r>
                  <w:r w:rsidR="00FD2807">
                    <w:rPr>
                      <w:rFonts w:cs="Miriam" w:hint="cs"/>
                      <w:sz w:val="18"/>
                      <w:szCs w:val="18"/>
                      <w:rtl/>
                    </w:rPr>
                    <w:t>בנסיבות של עבודה להקמת גדר או שימוש בגדר</w:t>
                  </w:r>
                </w:p>
              </w:txbxContent>
            </v:textbox>
            <w10:anchorlock/>
          </v:rect>
        </w:pict>
      </w:r>
      <w:r>
        <w:rPr>
          <w:rStyle w:val="big-number"/>
          <w:rFonts w:cs="Miriam" w:hint="cs"/>
          <w:rtl/>
        </w:rPr>
        <w:t>4</w:t>
      </w:r>
      <w:r>
        <w:rPr>
          <w:rStyle w:val="big-number"/>
          <w:rFonts w:cs="Miriam"/>
          <w:rtl/>
        </w:rPr>
        <w:t>.</w:t>
      </w:r>
      <w:r>
        <w:rPr>
          <w:rStyle w:val="big-number"/>
          <w:rFonts w:cs="Miriam"/>
          <w:rtl/>
        </w:rPr>
        <w:tab/>
      </w:r>
      <w:r w:rsidR="00FD2807">
        <w:rPr>
          <w:rStyle w:val="default"/>
          <w:rFonts w:cs="FrankRuehl" w:hint="cs"/>
          <w:rtl/>
        </w:rPr>
        <w:t>נעברה עבירה כמפורט בפרטים 2 ו-4 בתוספת, בנסיבות של הקמת גדר או שימוש בגדר, אשר גובהה אינו עולה על 1.5 מטרים מפני הקרקע משני צדיה, יהיה הקנס בגובה מחצית הקנס הנקוב לצד אותם פרטים בטורים ב' ו-ג' בתוספת</w:t>
      </w:r>
      <w:r>
        <w:rPr>
          <w:rStyle w:val="default"/>
          <w:rFonts w:cs="FrankRuehl" w:hint="cs"/>
          <w:rtl/>
        </w:rPr>
        <w:t>.</w:t>
      </w:r>
    </w:p>
    <w:p w14:paraId="6B28BFB0" w14:textId="77777777" w:rsidR="00FD2807" w:rsidRDefault="00FD2807" w:rsidP="00FD2807">
      <w:pPr>
        <w:pStyle w:val="P00"/>
        <w:spacing w:before="72"/>
        <w:ind w:left="0" w:right="1134"/>
        <w:rPr>
          <w:rStyle w:val="default"/>
          <w:rFonts w:cs="FrankRuehl"/>
          <w:rtl/>
        </w:rPr>
      </w:pPr>
      <w:bookmarkStart w:id="4" w:name="Seif5"/>
      <w:bookmarkEnd w:id="4"/>
      <w:r>
        <w:rPr>
          <w:lang w:val="he-IL"/>
        </w:rPr>
        <w:pict w14:anchorId="7A729483">
          <v:rect id="_x0000_s1128" style="position:absolute;left:0;text-align:left;margin-left:464.5pt;margin-top:8.05pt;width:75.05pt;height:12.5pt;z-index:251658752" o:allowincell="f" filled="f" stroked="f" strokecolor="lime" strokeweight=".25pt">
            <v:textbox inset="0,0,0,0">
              <w:txbxContent>
                <w:p w14:paraId="60F3A8C6" w14:textId="77777777" w:rsidR="00FD2807" w:rsidRDefault="00FD2807" w:rsidP="00FD2807">
                  <w:pPr>
                    <w:spacing w:line="160" w:lineRule="exact"/>
                    <w:jc w:val="left"/>
                    <w:rPr>
                      <w:rFonts w:cs="Miriam" w:hint="cs"/>
                      <w:noProof/>
                      <w:sz w:val="18"/>
                      <w:szCs w:val="18"/>
                      <w:rtl/>
                    </w:rPr>
                  </w:pPr>
                  <w:r>
                    <w:rPr>
                      <w:rFonts w:cs="Miriam" w:hint="cs"/>
                      <w:sz w:val="18"/>
                      <w:szCs w:val="18"/>
                      <w:rtl/>
                    </w:rPr>
                    <w:t>התראה</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(א)</w:t>
      </w:r>
      <w:r>
        <w:rPr>
          <w:rStyle w:val="default"/>
          <w:rFonts w:cs="FrankRuehl"/>
          <w:rtl/>
        </w:rPr>
        <w:tab/>
      </w:r>
      <w:r>
        <w:rPr>
          <w:rStyle w:val="default"/>
          <w:rFonts w:cs="FrankRuehl" w:hint="cs"/>
          <w:rtl/>
        </w:rPr>
        <w:t>נעברה עבירה כמפורט בפרטים 1 עד 4 לתוספת, לא יוטל הקנס בשל העבירה לפי תקנה 2(א) אלא אם כן הומצאה לנקנס התראה המכילה את הפרטים כאמור בסעיף 8(ב) לחוק העבירות המינהליות, שלפיה אם לא יתקן את ההפרה או ישיב את המצב לקדמותו בתוך 30 ימים, יוטל על הנקנס קנס מינהלי בהתאם לתקנות אלה; ההתראה תהיה ערוכה לפי טופס שיורה עליו מנהל היחידה הארצית לאכיפה בתוקף סמכותו לפי סעיף 204 לחוק, אשר י</w:t>
      </w:r>
      <w:r w:rsidR="001434E4">
        <w:rPr>
          <w:rStyle w:val="default"/>
          <w:rFonts w:cs="FrankRuehl" w:hint="cs"/>
          <w:rtl/>
        </w:rPr>
        <w:t xml:space="preserve">פורסם באתר האינטרנט של היחידה הארצית לאכיפה; לעניין זה, "היחידה הארצית לאכיפה" ו"מנהל היחידה הארצית לאכיפה" </w:t>
      </w:r>
      <w:r w:rsidR="001434E4">
        <w:rPr>
          <w:rStyle w:val="default"/>
          <w:rFonts w:cs="FrankRuehl"/>
          <w:rtl/>
        </w:rPr>
        <w:t>–</w:t>
      </w:r>
      <w:r w:rsidR="001434E4">
        <w:rPr>
          <w:rStyle w:val="default"/>
          <w:rFonts w:cs="FrankRuehl" w:hint="cs"/>
          <w:rtl/>
        </w:rPr>
        <w:t xml:space="preserve"> כהגדרתם בסעיף 203 לחוק (להלן </w:t>
      </w:r>
      <w:r w:rsidR="001434E4">
        <w:rPr>
          <w:rStyle w:val="default"/>
          <w:rFonts w:cs="FrankRuehl"/>
          <w:rtl/>
        </w:rPr>
        <w:t>–</w:t>
      </w:r>
      <w:r w:rsidR="001434E4">
        <w:rPr>
          <w:rStyle w:val="default"/>
          <w:rFonts w:cs="FrankRuehl" w:hint="cs"/>
          <w:rtl/>
        </w:rPr>
        <w:t xml:space="preserve"> היחידה ומנהל היחידה, בהתאמה)</w:t>
      </w:r>
      <w:r>
        <w:rPr>
          <w:rStyle w:val="default"/>
          <w:rFonts w:cs="FrankRuehl" w:hint="cs"/>
          <w:rtl/>
        </w:rPr>
        <w:t>.</w:t>
      </w:r>
    </w:p>
    <w:p w14:paraId="154EC265" w14:textId="77777777" w:rsidR="001434E4" w:rsidRDefault="001434E4" w:rsidP="00FD28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התקיימו בעניינו של הנקנס הליכים מינהליים או שיפוטיים קודמים לפי החוק, רשאי המפקח להטיל עליו קנס כאמור בתקנת משנה (א) אף בלא המצאת ההתראה האמורה בה.</w:t>
      </w:r>
    </w:p>
    <w:p w14:paraId="09844F1F" w14:textId="77777777" w:rsidR="00FD2807" w:rsidRDefault="00FD2807" w:rsidP="00FD2807">
      <w:pPr>
        <w:pStyle w:val="P00"/>
        <w:spacing w:before="72"/>
        <w:ind w:left="0" w:right="1134"/>
        <w:rPr>
          <w:rStyle w:val="default"/>
          <w:rFonts w:cs="FrankRuehl"/>
          <w:rtl/>
        </w:rPr>
      </w:pPr>
      <w:bookmarkStart w:id="5" w:name="Seif6"/>
      <w:bookmarkEnd w:id="5"/>
      <w:r>
        <w:rPr>
          <w:lang w:val="he-IL"/>
        </w:rPr>
        <w:pict w14:anchorId="18B852B0">
          <v:rect id="_x0000_s1129" style="position:absolute;left:0;text-align:left;margin-left:464.5pt;margin-top:8.05pt;width:75.05pt;height:13.6pt;z-index:251659776" o:allowincell="f" filled="f" stroked="f" strokecolor="lime" strokeweight=".25pt">
            <v:textbox inset="0,0,0,0">
              <w:txbxContent>
                <w:p w14:paraId="259FF9FF" w14:textId="77777777" w:rsidR="00FD2807" w:rsidRDefault="001434E4" w:rsidP="00FD2807">
                  <w:pPr>
                    <w:spacing w:line="160" w:lineRule="exact"/>
                    <w:jc w:val="left"/>
                    <w:rPr>
                      <w:rFonts w:cs="Miriam" w:hint="cs"/>
                      <w:noProof/>
                      <w:sz w:val="18"/>
                      <w:szCs w:val="18"/>
                      <w:rtl/>
                    </w:rPr>
                  </w:pPr>
                  <w:r>
                    <w:rPr>
                      <w:rFonts w:cs="Miriam" w:hint="cs"/>
                      <w:sz w:val="18"/>
                      <w:szCs w:val="18"/>
                      <w:rtl/>
                    </w:rPr>
                    <w:t>דיווח</w:t>
                  </w:r>
                </w:p>
              </w:txbxContent>
            </v:textbox>
            <w10:anchorlock/>
          </v:rect>
        </w:pict>
      </w:r>
      <w:r w:rsidR="001434E4">
        <w:rPr>
          <w:rStyle w:val="big-number"/>
          <w:rFonts w:cs="Miriam" w:hint="cs"/>
          <w:rtl/>
        </w:rPr>
        <w:t>6</w:t>
      </w:r>
      <w:r>
        <w:rPr>
          <w:rStyle w:val="big-number"/>
          <w:rFonts w:cs="Miriam"/>
          <w:rtl/>
        </w:rPr>
        <w:t>.</w:t>
      </w:r>
      <w:r>
        <w:rPr>
          <w:rStyle w:val="big-number"/>
          <w:rFonts w:cs="Miriam"/>
          <w:rtl/>
        </w:rPr>
        <w:tab/>
      </w:r>
      <w:r w:rsidR="001434E4">
        <w:rPr>
          <w:rStyle w:val="default"/>
          <w:rFonts w:cs="FrankRuehl" w:hint="cs"/>
          <w:rtl/>
        </w:rPr>
        <w:t>מנהל היחידה ידווח לוועדת הפנים והגנת הסביבה של הכנסת, אחת לשנה ועד תום ארבע שנים מיום תחילתן של תקנות אלה, בדבר הקנסות המינהליים שהוטלו על פי תקנות אלה, בהתאם למידע שבידי היחידה</w:t>
      </w:r>
      <w:r>
        <w:rPr>
          <w:rStyle w:val="default"/>
          <w:rFonts w:cs="FrankRuehl" w:hint="cs"/>
          <w:rtl/>
        </w:rPr>
        <w:t>.</w:t>
      </w:r>
    </w:p>
    <w:p w14:paraId="33DC151B" w14:textId="77777777" w:rsidR="00FD2807" w:rsidRDefault="00FD2807" w:rsidP="00FD2807">
      <w:pPr>
        <w:pStyle w:val="P00"/>
        <w:spacing w:before="72"/>
        <w:ind w:left="0" w:right="1134"/>
        <w:rPr>
          <w:rStyle w:val="default"/>
          <w:rFonts w:cs="FrankRuehl"/>
          <w:rtl/>
        </w:rPr>
      </w:pPr>
      <w:bookmarkStart w:id="6" w:name="Seif7"/>
      <w:bookmarkEnd w:id="6"/>
      <w:r>
        <w:rPr>
          <w:lang w:val="he-IL"/>
        </w:rPr>
        <w:pict w14:anchorId="7248EF65">
          <v:rect id="_x0000_s1130" style="position:absolute;left:0;text-align:left;margin-left:464.5pt;margin-top:8.05pt;width:75.05pt;height:11.3pt;z-index:251660800" o:allowincell="f" filled="f" stroked="f" strokecolor="lime" strokeweight=".25pt">
            <v:textbox inset="0,0,0,0">
              <w:txbxContent>
                <w:p w14:paraId="7AB28B10" w14:textId="77777777" w:rsidR="00FD2807" w:rsidRDefault="001434E4" w:rsidP="00FD2807">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1434E4">
        <w:rPr>
          <w:rStyle w:val="big-number"/>
          <w:rFonts w:cs="Miriam" w:hint="cs"/>
          <w:rtl/>
        </w:rPr>
        <w:t>7</w:t>
      </w:r>
      <w:r>
        <w:rPr>
          <w:rStyle w:val="big-number"/>
          <w:rFonts w:cs="Miriam"/>
          <w:rtl/>
        </w:rPr>
        <w:t>.</w:t>
      </w:r>
      <w:r>
        <w:rPr>
          <w:rStyle w:val="big-number"/>
          <w:rFonts w:cs="Miriam"/>
          <w:rtl/>
        </w:rPr>
        <w:tab/>
      </w:r>
      <w:r w:rsidR="001434E4">
        <w:rPr>
          <w:rStyle w:val="default"/>
          <w:rFonts w:cs="FrankRuehl" w:hint="cs"/>
          <w:rtl/>
        </w:rPr>
        <w:t>תחילתן של תקנות אלה 6 חודשים מיום פרסומן</w:t>
      </w:r>
      <w:r>
        <w:rPr>
          <w:rStyle w:val="default"/>
          <w:rFonts w:cs="FrankRuehl" w:hint="cs"/>
          <w:rtl/>
        </w:rPr>
        <w:t>.</w:t>
      </w:r>
    </w:p>
    <w:p w14:paraId="1D22732B" w14:textId="77777777" w:rsidR="00642120" w:rsidRDefault="00642120" w:rsidP="00431CAA">
      <w:pPr>
        <w:pStyle w:val="P00"/>
        <w:spacing w:before="72"/>
        <w:ind w:left="0" w:right="1134"/>
        <w:rPr>
          <w:rStyle w:val="default"/>
          <w:rFonts w:cs="FrankRuehl" w:hint="cs"/>
          <w:rtl/>
        </w:rPr>
      </w:pPr>
    </w:p>
    <w:p w14:paraId="4DA9019A" w14:textId="77777777" w:rsidR="00BD1625" w:rsidRPr="00BD1625" w:rsidRDefault="00BD1625" w:rsidP="00BD1625">
      <w:pPr>
        <w:pStyle w:val="P00"/>
        <w:spacing w:before="72"/>
        <w:ind w:left="0" w:right="1134"/>
        <w:jc w:val="center"/>
        <w:rPr>
          <w:rStyle w:val="default"/>
          <w:rFonts w:cs="FrankRuehl" w:hint="cs"/>
          <w:b/>
          <w:bCs/>
          <w:rtl/>
        </w:rPr>
      </w:pPr>
      <w:r w:rsidRPr="00BD1625">
        <w:rPr>
          <w:rStyle w:val="default"/>
          <w:rFonts w:cs="FrankRuehl" w:hint="cs"/>
          <w:b/>
          <w:bCs/>
          <w:rtl/>
        </w:rPr>
        <w:t>תוספת</w:t>
      </w:r>
    </w:p>
    <w:p w14:paraId="67AF47A3" w14:textId="77777777" w:rsidR="00BD1625" w:rsidRPr="00BD1625" w:rsidRDefault="00BD1625" w:rsidP="00BD1625">
      <w:pPr>
        <w:pStyle w:val="P00"/>
        <w:spacing w:before="72"/>
        <w:ind w:left="0" w:right="1134"/>
        <w:jc w:val="center"/>
        <w:rPr>
          <w:rStyle w:val="default"/>
          <w:rFonts w:cs="FrankRuehl" w:hint="cs"/>
          <w:sz w:val="24"/>
          <w:szCs w:val="24"/>
          <w:rtl/>
        </w:rPr>
      </w:pPr>
      <w:r w:rsidRPr="00BD1625">
        <w:rPr>
          <w:rStyle w:val="default"/>
          <w:rFonts w:cs="FrankRuehl" w:hint="cs"/>
          <w:sz w:val="24"/>
          <w:szCs w:val="24"/>
          <w:rtl/>
        </w:rPr>
        <w:t>(תקנות 1 ו-2)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1985"/>
        <w:gridCol w:w="2268"/>
      </w:tblGrid>
      <w:tr w:rsidR="001434E4" w:rsidRPr="004A6312" w14:paraId="3852F820" w14:textId="77777777" w:rsidTr="004A6312">
        <w:tc>
          <w:tcPr>
            <w:tcW w:w="3685" w:type="dxa"/>
            <w:shd w:val="clear" w:color="auto" w:fill="auto"/>
            <w:vAlign w:val="bottom"/>
          </w:tcPr>
          <w:p w14:paraId="4A5C181F"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A6312">
              <w:rPr>
                <w:rStyle w:val="default"/>
                <w:rFonts w:cs="FrankRuehl" w:hint="cs"/>
                <w:sz w:val="18"/>
                <w:szCs w:val="22"/>
                <w:rtl/>
              </w:rPr>
              <w:t>טור א'</w:t>
            </w:r>
          </w:p>
          <w:p w14:paraId="4A164A48"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A6312">
              <w:rPr>
                <w:rStyle w:val="default"/>
                <w:rFonts w:cs="FrankRuehl" w:hint="cs"/>
                <w:sz w:val="18"/>
                <w:szCs w:val="22"/>
                <w:rtl/>
              </w:rPr>
              <w:t>הסעיף בחוק והיקף העבודה או השימוש, במטר מרובע או במטר אורך, הכול לפי העניין</w:t>
            </w:r>
          </w:p>
        </w:tc>
        <w:tc>
          <w:tcPr>
            <w:tcW w:w="1985" w:type="dxa"/>
            <w:shd w:val="clear" w:color="auto" w:fill="auto"/>
            <w:vAlign w:val="bottom"/>
          </w:tcPr>
          <w:p w14:paraId="542C9102"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A6312">
              <w:rPr>
                <w:rStyle w:val="default"/>
                <w:rFonts w:cs="FrankRuehl" w:hint="cs"/>
                <w:sz w:val="18"/>
                <w:szCs w:val="22"/>
                <w:rtl/>
              </w:rPr>
              <w:t>טור ב'</w:t>
            </w:r>
          </w:p>
          <w:p w14:paraId="4CC3E64C"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A6312">
              <w:rPr>
                <w:rStyle w:val="default"/>
                <w:rFonts w:cs="FrankRuehl" w:hint="cs"/>
                <w:sz w:val="18"/>
                <w:szCs w:val="22"/>
                <w:rtl/>
              </w:rPr>
              <w:t>קנס מינהלי קצוב (בשקלים חדשים)</w:t>
            </w:r>
          </w:p>
        </w:tc>
        <w:tc>
          <w:tcPr>
            <w:tcW w:w="2268" w:type="dxa"/>
            <w:shd w:val="clear" w:color="auto" w:fill="auto"/>
            <w:vAlign w:val="bottom"/>
          </w:tcPr>
          <w:p w14:paraId="1266D305"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A6312">
              <w:rPr>
                <w:rStyle w:val="default"/>
                <w:rFonts w:cs="FrankRuehl" w:hint="cs"/>
                <w:sz w:val="18"/>
                <w:szCs w:val="22"/>
                <w:rtl/>
              </w:rPr>
              <w:t>טור ג'</w:t>
            </w:r>
          </w:p>
          <w:p w14:paraId="0DBA1F64"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A6312">
              <w:rPr>
                <w:rStyle w:val="default"/>
                <w:rFonts w:cs="FrankRuehl" w:hint="cs"/>
                <w:sz w:val="18"/>
                <w:szCs w:val="22"/>
                <w:rtl/>
              </w:rPr>
              <w:t>תוספת לקנס בעבירה נמשכת (בשקלים חדשים)</w:t>
            </w:r>
          </w:p>
        </w:tc>
      </w:tr>
      <w:tr w:rsidR="001434E4" w:rsidRPr="004A6312" w14:paraId="13A68F3C" w14:textId="77777777" w:rsidTr="004A6312">
        <w:tc>
          <w:tcPr>
            <w:tcW w:w="3685" w:type="dxa"/>
            <w:shd w:val="clear" w:color="auto" w:fill="auto"/>
          </w:tcPr>
          <w:p w14:paraId="6205B153"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 xml:space="preserve">1. 243(א) </w:t>
            </w:r>
            <w:r w:rsidRPr="004A6312">
              <w:rPr>
                <w:rStyle w:val="default"/>
                <w:rFonts w:cs="FrankRuehl"/>
                <w:sz w:val="20"/>
                <w:szCs w:val="24"/>
                <w:rtl/>
              </w:rPr>
              <w:t>–</w:t>
            </w:r>
            <w:r w:rsidRPr="004A6312">
              <w:rPr>
                <w:rStyle w:val="default"/>
                <w:rFonts w:cs="FrankRuehl" w:hint="cs"/>
                <w:sz w:val="20"/>
                <w:szCs w:val="24"/>
                <w:rtl/>
              </w:rPr>
              <w:t xml:space="preserve"> לעניין עבודה בהיקף של –</w:t>
            </w:r>
          </w:p>
          <w:p w14:paraId="0F70A4DB"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(1) עד 10</w:t>
            </w:r>
          </w:p>
          <w:p w14:paraId="6F712804"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lastRenderedPageBreak/>
              <w:t>(2) מעל 10 עד 25</w:t>
            </w:r>
          </w:p>
          <w:p w14:paraId="63192613"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(3) מעל 25 עד 50</w:t>
            </w:r>
          </w:p>
          <w:p w14:paraId="56D69439"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(4) מעל 50 עד 75</w:t>
            </w:r>
          </w:p>
          <w:p w14:paraId="01012913"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(5) מעל 75 עד 100</w:t>
            </w:r>
          </w:p>
          <w:p w14:paraId="249173A1"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(6) מעל 100</w:t>
            </w:r>
          </w:p>
        </w:tc>
        <w:tc>
          <w:tcPr>
            <w:tcW w:w="1985" w:type="dxa"/>
            <w:shd w:val="clear" w:color="auto" w:fill="auto"/>
          </w:tcPr>
          <w:p w14:paraId="7B0DA407"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14:paraId="555AA341"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10,000</w:t>
            </w:r>
          </w:p>
          <w:p w14:paraId="1135DCD7"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lastRenderedPageBreak/>
              <w:t>25,000</w:t>
            </w:r>
          </w:p>
          <w:p w14:paraId="5A65F0FB"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50,000</w:t>
            </w:r>
          </w:p>
          <w:p w14:paraId="13DAB4F6"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100,000</w:t>
            </w:r>
          </w:p>
          <w:p w14:paraId="485D0ACC"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200,000</w:t>
            </w:r>
          </w:p>
          <w:p w14:paraId="34740E40"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300,000</w:t>
            </w:r>
          </w:p>
        </w:tc>
        <w:tc>
          <w:tcPr>
            <w:tcW w:w="2268" w:type="dxa"/>
            <w:shd w:val="clear" w:color="auto" w:fill="auto"/>
          </w:tcPr>
          <w:p w14:paraId="6353746E"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434E4" w:rsidRPr="004A6312" w14:paraId="28D49C2C" w14:textId="77777777" w:rsidTr="004A6312">
        <w:tc>
          <w:tcPr>
            <w:tcW w:w="3685" w:type="dxa"/>
            <w:shd w:val="clear" w:color="auto" w:fill="auto"/>
          </w:tcPr>
          <w:p w14:paraId="77D19A27"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 xml:space="preserve">2. 243(ב) </w:t>
            </w:r>
            <w:r w:rsidRPr="004A6312">
              <w:rPr>
                <w:rStyle w:val="default"/>
                <w:rFonts w:cs="FrankRuehl"/>
                <w:sz w:val="20"/>
                <w:szCs w:val="24"/>
                <w:rtl/>
              </w:rPr>
              <w:t>–</w:t>
            </w:r>
            <w:r w:rsidRPr="004A6312">
              <w:rPr>
                <w:rStyle w:val="default"/>
                <w:rFonts w:cs="FrankRuehl" w:hint="cs"/>
                <w:sz w:val="20"/>
                <w:szCs w:val="24"/>
                <w:rtl/>
              </w:rPr>
              <w:t xml:space="preserve"> לעניין עבודה בהיקף של –</w:t>
            </w:r>
          </w:p>
          <w:p w14:paraId="3F13D490"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(1) 25 עד 50</w:t>
            </w:r>
          </w:p>
          <w:p w14:paraId="76CE5EAB"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(2) מעל 50 עד 75</w:t>
            </w:r>
          </w:p>
          <w:p w14:paraId="6612B576"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(3) מעל 75 עד 100</w:t>
            </w:r>
          </w:p>
          <w:p w14:paraId="76C86D12"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(4) מעל 100</w:t>
            </w:r>
          </w:p>
        </w:tc>
        <w:tc>
          <w:tcPr>
            <w:tcW w:w="1985" w:type="dxa"/>
            <w:shd w:val="clear" w:color="auto" w:fill="auto"/>
          </w:tcPr>
          <w:p w14:paraId="020D3963"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14:paraId="505F4988"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25,000</w:t>
            </w:r>
          </w:p>
          <w:p w14:paraId="7294B395"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50,000</w:t>
            </w:r>
          </w:p>
          <w:p w14:paraId="4DBA4F6B"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100,000</w:t>
            </w:r>
          </w:p>
          <w:p w14:paraId="7F85921C"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150,000</w:t>
            </w:r>
          </w:p>
        </w:tc>
        <w:tc>
          <w:tcPr>
            <w:tcW w:w="2268" w:type="dxa"/>
            <w:shd w:val="clear" w:color="auto" w:fill="auto"/>
          </w:tcPr>
          <w:p w14:paraId="42433EFF"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434E4" w:rsidRPr="004A6312" w14:paraId="712DE298" w14:textId="77777777" w:rsidTr="004A6312">
        <w:tc>
          <w:tcPr>
            <w:tcW w:w="3685" w:type="dxa"/>
            <w:shd w:val="clear" w:color="auto" w:fill="auto"/>
          </w:tcPr>
          <w:p w14:paraId="7F780E29"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 xml:space="preserve">3. 243(ד) </w:t>
            </w:r>
            <w:r w:rsidRPr="004A6312">
              <w:rPr>
                <w:rStyle w:val="default"/>
                <w:rFonts w:cs="FrankRuehl"/>
                <w:sz w:val="20"/>
                <w:szCs w:val="24"/>
                <w:rtl/>
              </w:rPr>
              <w:t>–</w:t>
            </w:r>
            <w:r w:rsidRPr="004A6312">
              <w:rPr>
                <w:rStyle w:val="default"/>
                <w:rFonts w:cs="FrankRuehl" w:hint="cs"/>
                <w:sz w:val="20"/>
                <w:szCs w:val="24"/>
                <w:rtl/>
              </w:rPr>
              <w:t xml:space="preserve"> לעניין שימוש בהיקף של –</w:t>
            </w:r>
          </w:p>
          <w:p w14:paraId="3BC4345B"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(1) עד 10</w:t>
            </w:r>
          </w:p>
          <w:p w14:paraId="71194B77"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(2) מעל 10 עד 25</w:t>
            </w:r>
          </w:p>
          <w:p w14:paraId="72710E36"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(3) מעל 25 עד 50</w:t>
            </w:r>
          </w:p>
          <w:p w14:paraId="763B22BA"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(4) מעל 50 עד 75</w:t>
            </w:r>
          </w:p>
          <w:p w14:paraId="55B0362D"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(5) מעל 75 עד 100</w:t>
            </w:r>
          </w:p>
          <w:p w14:paraId="641B38E2"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(6) מעל 100</w:t>
            </w:r>
          </w:p>
        </w:tc>
        <w:tc>
          <w:tcPr>
            <w:tcW w:w="1985" w:type="dxa"/>
            <w:shd w:val="clear" w:color="auto" w:fill="auto"/>
          </w:tcPr>
          <w:p w14:paraId="03621C75"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14:paraId="65EA6CA0"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10,000</w:t>
            </w:r>
          </w:p>
          <w:p w14:paraId="6D5611D6"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25,000</w:t>
            </w:r>
          </w:p>
          <w:p w14:paraId="19F7252C"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50,000</w:t>
            </w:r>
          </w:p>
          <w:p w14:paraId="3959C826"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100,000</w:t>
            </w:r>
          </w:p>
          <w:p w14:paraId="4460385D"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200,000</w:t>
            </w:r>
          </w:p>
          <w:p w14:paraId="3A5F2A77"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300,000</w:t>
            </w:r>
          </w:p>
        </w:tc>
        <w:tc>
          <w:tcPr>
            <w:tcW w:w="2268" w:type="dxa"/>
            <w:shd w:val="clear" w:color="auto" w:fill="auto"/>
          </w:tcPr>
          <w:p w14:paraId="6FECF989"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1,400 ליום</w:t>
            </w:r>
          </w:p>
        </w:tc>
      </w:tr>
      <w:tr w:rsidR="001434E4" w:rsidRPr="004A6312" w14:paraId="49626944" w14:textId="77777777" w:rsidTr="004A6312">
        <w:tc>
          <w:tcPr>
            <w:tcW w:w="3685" w:type="dxa"/>
            <w:shd w:val="clear" w:color="auto" w:fill="auto"/>
          </w:tcPr>
          <w:p w14:paraId="085ADBBB"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 xml:space="preserve">4. 243(ה) </w:t>
            </w:r>
            <w:r w:rsidRPr="004A6312">
              <w:rPr>
                <w:rStyle w:val="default"/>
                <w:rFonts w:cs="FrankRuehl"/>
                <w:sz w:val="20"/>
                <w:szCs w:val="24"/>
                <w:rtl/>
              </w:rPr>
              <w:t>–</w:t>
            </w:r>
            <w:r w:rsidRPr="004A6312">
              <w:rPr>
                <w:rStyle w:val="default"/>
                <w:rFonts w:cs="FrankRuehl" w:hint="cs"/>
                <w:sz w:val="20"/>
                <w:szCs w:val="24"/>
                <w:rtl/>
              </w:rPr>
              <w:t xml:space="preserve"> לעניין שימוש בהיקף של –</w:t>
            </w:r>
          </w:p>
          <w:p w14:paraId="20AC47D0"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(1) 25 עד 100</w:t>
            </w:r>
          </w:p>
          <w:p w14:paraId="0C4BB6DB"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(2) מעל 100</w:t>
            </w:r>
          </w:p>
        </w:tc>
        <w:tc>
          <w:tcPr>
            <w:tcW w:w="1985" w:type="dxa"/>
            <w:shd w:val="clear" w:color="auto" w:fill="auto"/>
          </w:tcPr>
          <w:p w14:paraId="4FB29D30"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p w14:paraId="12452C08"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50,000</w:t>
            </w:r>
          </w:p>
          <w:p w14:paraId="02B6F079"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100,000</w:t>
            </w:r>
          </w:p>
        </w:tc>
        <w:tc>
          <w:tcPr>
            <w:tcW w:w="2268" w:type="dxa"/>
            <w:shd w:val="clear" w:color="auto" w:fill="auto"/>
          </w:tcPr>
          <w:p w14:paraId="3F3402F6"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750 ליום</w:t>
            </w:r>
          </w:p>
        </w:tc>
      </w:tr>
      <w:tr w:rsidR="001434E4" w:rsidRPr="004A6312" w14:paraId="144A0F2E" w14:textId="77777777" w:rsidTr="004A6312">
        <w:tc>
          <w:tcPr>
            <w:tcW w:w="3685" w:type="dxa"/>
            <w:shd w:val="clear" w:color="auto" w:fill="auto"/>
          </w:tcPr>
          <w:p w14:paraId="5F6D34A3"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A6312">
              <w:rPr>
                <w:rStyle w:val="default"/>
                <w:rFonts w:cs="FrankRuehl" w:hint="cs"/>
                <w:sz w:val="20"/>
                <w:szCs w:val="24"/>
                <w:rtl/>
              </w:rPr>
              <w:t xml:space="preserve">5. 246 </w:t>
            </w:r>
            <w:r w:rsidRPr="004A6312">
              <w:rPr>
                <w:rStyle w:val="default"/>
                <w:rFonts w:cs="FrankRuehl"/>
                <w:sz w:val="20"/>
                <w:szCs w:val="24"/>
                <w:rtl/>
              </w:rPr>
              <w:t>–</w:t>
            </w:r>
            <w:r w:rsidRPr="004A6312">
              <w:rPr>
                <w:rStyle w:val="default"/>
                <w:rFonts w:cs="FrankRuehl" w:hint="cs"/>
                <w:sz w:val="20"/>
                <w:szCs w:val="24"/>
                <w:rtl/>
              </w:rPr>
              <w:t xml:space="preserve"> לעניין הפרת צו לפי סעיף 216 או לפי סעיף 219 לחוק</w:t>
            </w:r>
          </w:p>
        </w:tc>
        <w:tc>
          <w:tcPr>
            <w:tcW w:w="1985" w:type="dxa"/>
            <w:shd w:val="clear" w:color="auto" w:fill="auto"/>
          </w:tcPr>
          <w:p w14:paraId="7B89305F"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A6312">
              <w:rPr>
                <w:rStyle w:val="default"/>
                <w:rFonts w:cs="FrankRuehl" w:hint="cs"/>
                <w:sz w:val="20"/>
                <w:szCs w:val="24"/>
                <w:rtl/>
              </w:rPr>
              <w:t>50,000</w:t>
            </w:r>
          </w:p>
        </w:tc>
        <w:tc>
          <w:tcPr>
            <w:tcW w:w="2268" w:type="dxa"/>
            <w:shd w:val="clear" w:color="auto" w:fill="auto"/>
          </w:tcPr>
          <w:p w14:paraId="5911A093" w14:textId="77777777" w:rsidR="001434E4" w:rsidRPr="004A6312" w:rsidRDefault="001434E4" w:rsidP="004A631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bl>
    <w:p w14:paraId="78352123" w14:textId="77777777" w:rsidR="00D25D5C" w:rsidRDefault="00D25D5C" w:rsidP="00431CAA">
      <w:pPr>
        <w:pStyle w:val="P00"/>
        <w:spacing w:before="72"/>
        <w:ind w:left="0" w:right="1134"/>
        <w:rPr>
          <w:rStyle w:val="default"/>
          <w:rFonts w:cs="FrankRuehl"/>
          <w:rtl/>
        </w:rPr>
      </w:pPr>
    </w:p>
    <w:p w14:paraId="29453C38" w14:textId="77777777" w:rsidR="00FD2807" w:rsidRDefault="00FD2807" w:rsidP="00431CAA">
      <w:pPr>
        <w:pStyle w:val="P00"/>
        <w:spacing w:before="72"/>
        <w:ind w:left="0" w:right="1134"/>
        <w:rPr>
          <w:rStyle w:val="default"/>
          <w:rFonts w:cs="FrankRuehl" w:hint="cs"/>
          <w:rtl/>
        </w:rPr>
      </w:pPr>
    </w:p>
    <w:p w14:paraId="6023F799" w14:textId="77777777" w:rsidR="00D50C5F" w:rsidRDefault="001434E4" w:rsidP="001434E4">
      <w:pPr>
        <w:pStyle w:val="sig-0"/>
        <w:tabs>
          <w:tab w:val="clear" w:pos="4820"/>
          <w:tab w:val="center" w:pos="5670"/>
        </w:tabs>
        <w:spacing w:before="72"/>
        <w:ind w:left="0" w:right="1134"/>
        <w:rPr>
          <w:rFonts w:cs="FrankRuehl" w:hint="cs"/>
          <w:sz w:val="26"/>
          <w:rtl/>
        </w:rPr>
      </w:pPr>
      <w:r>
        <w:rPr>
          <w:rFonts w:cs="FrankRuehl" w:hint="cs"/>
          <w:sz w:val="26"/>
          <w:rtl/>
        </w:rPr>
        <w:t>כ"ג בסיוון התשע"ח (6 ביוני 2018</w:t>
      </w:r>
      <w:r w:rsidR="00BD1625">
        <w:rPr>
          <w:rFonts w:cs="FrankRuehl" w:hint="cs"/>
          <w:sz w:val="26"/>
          <w:rtl/>
        </w:rPr>
        <w:t>)</w:t>
      </w:r>
      <w:r w:rsidR="00D50C5F">
        <w:rPr>
          <w:rFonts w:cs="FrankRuehl" w:hint="cs"/>
          <w:sz w:val="26"/>
          <w:rtl/>
        </w:rPr>
        <w:tab/>
      </w:r>
      <w:r>
        <w:rPr>
          <w:rFonts w:cs="FrankRuehl" w:hint="cs"/>
          <w:sz w:val="26"/>
          <w:rtl/>
        </w:rPr>
        <w:t>איילת שקד</w:t>
      </w:r>
    </w:p>
    <w:p w14:paraId="5EDE9ED1" w14:textId="77777777" w:rsidR="00D50C5F" w:rsidRDefault="00D50C5F" w:rsidP="001434E4">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w:t>
      </w:r>
      <w:r w:rsidR="001434E4">
        <w:rPr>
          <w:rFonts w:cs="FrankRuehl" w:hint="cs"/>
          <w:sz w:val="22"/>
          <w:rtl/>
        </w:rPr>
        <w:t>ת</w:t>
      </w:r>
      <w:r>
        <w:rPr>
          <w:rFonts w:cs="FrankRuehl" w:hint="cs"/>
          <w:sz w:val="22"/>
          <w:rtl/>
        </w:rPr>
        <w:t xml:space="preserve"> </w:t>
      </w:r>
      <w:r w:rsidR="00BD1625">
        <w:rPr>
          <w:rFonts w:cs="FrankRuehl" w:hint="cs"/>
          <w:sz w:val="22"/>
          <w:rtl/>
        </w:rPr>
        <w:t>המשפטים</w:t>
      </w:r>
    </w:p>
    <w:p w14:paraId="1D7FA9E5" w14:textId="77777777" w:rsidR="00FD2807" w:rsidRDefault="00FD2807" w:rsidP="00927A15">
      <w:pPr>
        <w:pStyle w:val="P00"/>
        <w:spacing w:before="72"/>
        <w:ind w:left="0" w:right="1134"/>
        <w:rPr>
          <w:rStyle w:val="default"/>
          <w:rFonts w:cs="FrankRuehl" w:hint="cs"/>
          <w:rtl/>
        </w:rPr>
      </w:pPr>
    </w:p>
    <w:p w14:paraId="45A5743B" w14:textId="77777777" w:rsidR="00927A15" w:rsidRDefault="00927A15" w:rsidP="00927A15">
      <w:pPr>
        <w:pStyle w:val="P00"/>
        <w:spacing w:before="72"/>
        <w:ind w:left="0" w:right="1134"/>
        <w:rPr>
          <w:rStyle w:val="default"/>
          <w:rFonts w:cs="FrankRuehl" w:hint="cs"/>
          <w:rtl/>
        </w:rPr>
      </w:pPr>
    </w:p>
    <w:p w14:paraId="7768E48E" w14:textId="77777777" w:rsidR="004F3824" w:rsidRDefault="004F3824" w:rsidP="00927A15">
      <w:pPr>
        <w:pStyle w:val="P00"/>
        <w:spacing w:before="72"/>
        <w:ind w:left="0" w:right="1134"/>
        <w:rPr>
          <w:rStyle w:val="default"/>
          <w:rFonts w:cs="FrankRuehl"/>
          <w:rtl/>
        </w:rPr>
      </w:pPr>
    </w:p>
    <w:p w14:paraId="0E1515B9" w14:textId="77777777" w:rsidR="004F3824" w:rsidRDefault="004F3824" w:rsidP="00927A15">
      <w:pPr>
        <w:pStyle w:val="P00"/>
        <w:spacing w:before="72"/>
        <w:ind w:left="0" w:right="1134"/>
        <w:rPr>
          <w:rStyle w:val="default"/>
          <w:rFonts w:cs="FrankRuehl"/>
          <w:rtl/>
        </w:rPr>
      </w:pPr>
    </w:p>
    <w:p w14:paraId="59EF10AE" w14:textId="77777777" w:rsidR="004F3824" w:rsidRDefault="004F3824" w:rsidP="004F3824">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435FBF13" w14:textId="77777777" w:rsidR="00CE2543" w:rsidRPr="004F3824" w:rsidRDefault="00CE2543" w:rsidP="004F3824">
      <w:pPr>
        <w:pStyle w:val="P00"/>
        <w:spacing w:before="72"/>
        <w:ind w:left="0" w:right="1134"/>
        <w:jc w:val="center"/>
        <w:rPr>
          <w:rStyle w:val="default"/>
          <w:rFonts w:cs="David"/>
          <w:color w:val="0000FF"/>
          <w:szCs w:val="24"/>
          <w:u w:val="single"/>
          <w:rtl/>
        </w:rPr>
      </w:pPr>
    </w:p>
    <w:sectPr w:rsidR="00CE2543" w:rsidRPr="004F382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A2F9" w14:textId="77777777" w:rsidR="0095583A" w:rsidRDefault="0095583A">
      <w:r>
        <w:separator/>
      </w:r>
    </w:p>
  </w:endnote>
  <w:endnote w:type="continuationSeparator" w:id="0">
    <w:p w14:paraId="0C0612FA" w14:textId="77777777" w:rsidR="0095583A" w:rsidRDefault="0095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8D68"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B9AC70"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1946D7"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2543">
      <w:rPr>
        <w:rFonts w:cs="TopType Jerushalmi"/>
        <w:noProof/>
        <w:color w:val="000000"/>
        <w:sz w:val="14"/>
        <w:szCs w:val="14"/>
      </w:rPr>
      <w:t>Z:\000000000000-law\yael\09-07-19\tav\500_188.doc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98EB"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F3824">
      <w:rPr>
        <w:rFonts w:hAnsi="FrankRuehl" w:cs="FrankRuehl"/>
        <w:noProof/>
        <w:sz w:val="24"/>
        <w:szCs w:val="24"/>
        <w:rtl/>
      </w:rPr>
      <w:t>3</w:t>
    </w:r>
    <w:r>
      <w:rPr>
        <w:rFonts w:hAnsi="FrankRuehl" w:cs="FrankRuehl"/>
        <w:sz w:val="24"/>
        <w:szCs w:val="24"/>
        <w:rtl/>
      </w:rPr>
      <w:fldChar w:fldCharType="end"/>
    </w:r>
  </w:p>
  <w:p w14:paraId="73704337"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CF78A3"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2543">
      <w:rPr>
        <w:rFonts w:cs="TopType Jerushalmi"/>
        <w:noProof/>
        <w:color w:val="000000"/>
        <w:sz w:val="14"/>
        <w:szCs w:val="14"/>
      </w:rPr>
      <w:t>Z:\000000000000-law\yael\09-07-19\tav\500_188.doc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DE23" w14:textId="77777777" w:rsidR="0095583A" w:rsidRDefault="0095583A" w:rsidP="007C57AA">
      <w:pPr>
        <w:spacing w:before="60" w:line="240" w:lineRule="auto"/>
        <w:ind w:right="1134"/>
      </w:pPr>
      <w:r>
        <w:separator/>
      </w:r>
    </w:p>
  </w:footnote>
  <w:footnote w:type="continuationSeparator" w:id="0">
    <w:p w14:paraId="0C834F27" w14:textId="77777777" w:rsidR="0095583A" w:rsidRDefault="0095583A">
      <w:pPr>
        <w:spacing w:before="60"/>
        <w:ind w:right="1134"/>
      </w:pPr>
      <w:r>
        <w:separator/>
      </w:r>
    </w:p>
  </w:footnote>
  <w:footnote w:id="1">
    <w:p w14:paraId="287E540C" w14:textId="77777777" w:rsidR="00331C31" w:rsidRDefault="00904EEA" w:rsidP="00331C31">
      <w:pPr>
        <w:pStyle w:val="footnote"/>
        <w:spacing w:before="72"/>
        <w:ind w:left="0" w:right="1134"/>
        <w:rPr>
          <w:rFonts w:cs="FrankRuehl" w:hint="cs"/>
          <w:rtl/>
        </w:rPr>
      </w:pPr>
      <w:r>
        <w:rPr>
          <w:rFonts w:cs="FrankRuehl"/>
        </w:rPr>
        <w:t>*</w:t>
      </w:r>
      <w:r>
        <w:rPr>
          <w:rFonts w:cs="FrankRuehl" w:hint="cs"/>
          <w:rtl/>
        </w:rPr>
        <w:t xml:space="preserve"> </w:t>
      </w:r>
      <w:r w:rsidR="000E6E54">
        <w:rPr>
          <w:rFonts w:cs="FrankRuehl" w:hint="cs"/>
          <w:rtl/>
        </w:rPr>
        <w:t>פורס</w:t>
      </w:r>
      <w:r w:rsidR="000155F9">
        <w:rPr>
          <w:rFonts w:cs="FrankRuehl" w:hint="cs"/>
          <w:rtl/>
        </w:rPr>
        <w:t>מו</w:t>
      </w:r>
      <w:r w:rsidR="008C2526">
        <w:rPr>
          <w:rFonts w:cs="FrankRuehl" w:hint="cs"/>
          <w:rtl/>
        </w:rPr>
        <w:t xml:space="preserve"> </w:t>
      </w:r>
      <w:hyperlink r:id="rId1" w:history="1">
        <w:r w:rsidR="00BD1625" w:rsidRPr="00331C31">
          <w:rPr>
            <w:rStyle w:val="Hyperlink"/>
            <w:rFonts w:cs="FrankRuehl" w:hint="cs"/>
            <w:rtl/>
          </w:rPr>
          <w:t>ק"ת תש</w:t>
        </w:r>
        <w:r w:rsidR="00FD2807" w:rsidRPr="00331C31">
          <w:rPr>
            <w:rStyle w:val="Hyperlink"/>
            <w:rFonts w:cs="FrankRuehl" w:hint="cs"/>
            <w:rtl/>
          </w:rPr>
          <w:t>ע"ח</w:t>
        </w:r>
        <w:r w:rsidR="00BD1625" w:rsidRPr="00331C31">
          <w:rPr>
            <w:rStyle w:val="Hyperlink"/>
            <w:rFonts w:cs="FrankRuehl" w:hint="cs"/>
            <w:rtl/>
          </w:rPr>
          <w:t xml:space="preserve"> מס' </w:t>
        </w:r>
        <w:r w:rsidR="00FD2807" w:rsidRPr="00331C31">
          <w:rPr>
            <w:rStyle w:val="Hyperlink"/>
            <w:rFonts w:cs="FrankRuehl" w:hint="cs"/>
            <w:rtl/>
          </w:rPr>
          <w:t>8026</w:t>
        </w:r>
      </w:hyperlink>
      <w:r w:rsidR="00BD1625">
        <w:rPr>
          <w:rFonts w:cs="FrankRuehl" w:hint="cs"/>
          <w:rtl/>
        </w:rPr>
        <w:t xml:space="preserve"> מיום </w:t>
      </w:r>
      <w:r w:rsidR="00FD2807">
        <w:rPr>
          <w:rFonts w:cs="FrankRuehl" w:hint="cs"/>
          <w:rtl/>
        </w:rPr>
        <w:t>20.6.2018</w:t>
      </w:r>
      <w:r w:rsidR="00BD1625">
        <w:rPr>
          <w:rFonts w:cs="FrankRuehl" w:hint="cs"/>
          <w:rtl/>
        </w:rPr>
        <w:t xml:space="preserve"> עמ' </w:t>
      </w:r>
      <w:r w:rsidR="00FD2807">
        <w:rPr>
          <w:rFonts w:cs="FrankRuehl" w:hint="cs"/>
          <w:rtl/>
        </w:rPr>
        <w:t>2222</w:t>
      </w:r>
      <w:r w:rsidR="008C252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BC5A"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A799533"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5D8A77"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3AC2F" w14:textId="77777777" w:rsidR="00904EEA" w:rsidRDefault="00BD1625" w:rsidP="003E17A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העבירות המינהליות (קנס מינהלי </w:t>
    </w:r>
    <w:r>
      <w:rPr>
        <w:rFonts w:hAnsi="FrankRuehl" w:cs="FrankRuehl"/>
        <w:color w:val="000000"/>
        <w:sz w:val="28"/>
        <w:szCs w:val="28"/>
        <w:rtl/>
      </w:rPr>
      <w:t>–</w:t>
    </w:r>
    <w:r>
      <w:rPr>
        <w:rFonts w:hAnsi="FrankRuehl" w:cs="FrankRuehl" w:hint="cs"/>
        <w:color w:val="000000"/>
        <w:sz w:val="28"/>
        <w:szCs w:val="28"/>
        <w:rtl/>
      </w:rPr>
      <w:t xml:space="preserve"> תכנון </w:t>
    </w:r>
    <w:r w:rsidR="00FD2807">
      <w:rPr>
        <w:rFonts w:hAnsi="FrankRuehl" w:cs="FrankRuehl" w:hint="cs"/>
        <w:color w:val="000000"/>
        <w:sz w:val="28"/>
        <w:szCs w:val="28"/>
        <w:rtl/>
      </w:rPr>
      <w:t>ובנייה), תשע"ח-2018</w:t>
    </w:r>
  </w:p>
  <w:p w14:paraId="0FD15FDE"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57847D"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1330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1489A"/>
    <w:rsid w:val="000155F9"/>
    <w:rsid w:val="000201C8"/>
    <w:rsid w:val="00046B7F"/>
    <w:rsid w:val="000619D9"/>
    <w:rsid w:val="00064468"/>
    <w:rsid w:val="000948CA"/>
    <w:rsid w:val="000D7097"/>
    <w:rsid w:val="000D7FBE"/>
    <w:rsid w:val="000E6E54"/>
    <w:rsid w:val="000F06B4"/>
    <w:rsid w:val="000F0F44"/>
    <w:rsid w:val="0010753D"/>
    <w:rsid w:val="00112119"/>
    <w:rsid w:val="00122C2E"/>
    <w:rsid w:val="001275F0"/>
    <w:rsid w:val="001434E4"/>
    <w:rsid w:val="00186445"/>
    <w:rsid w:val="001C4AB6"/>
    <w:rsid w:val="001E0FA8"/>
    <w:rsid w:val="002216B6"/>
    <w:rsid w:val="002538D4"/>
    <w:rsid w:val="002C7187"/>
    <w:rsid w:val="002E3E60"/>
    <w:rsid w:val="0033109A"/>
    <w:rsid w:val="00331C31"/>
    <w:rsid w:val="0033559B"/>
    <w:rsid w:val="00342C78"/>
    <w:rsid w:val="00347703"/>
    <w:rsid w:val="003528CA"/>
    <w:rsid w:val="003A23D8"/>
    <w:rsid w:val="003B0172"/>
    <w:rsid w:val="003E10E3"/>
    <w:rsid w:val="003E17A4"/>
    <w:rsid w:val="003E74D6"/>
    <w:rsid w:val="003F5C71"/>
    <w:rsid w:val="0041737A"/>
    <w:rsid w:val="00431CAA"/>
    <w:rsid w:val="004355B4"/>
    <w:rsid w:val="004555FD"/>
    <w:rsid w:val="00460500"/>
    <w:rsid w:val="00462659"/>
    <w:rsid w:val="00484974"/>
    <w:rsid w:val="00490D4B"/>
    <w:rsid w:val="004A6312"/>
    <w:rsid w:val="004C3C1F"/>
    <w:rsid w:val="004F31AA"/>
    <w:rsid w:val="004F32A4"/>
    <w:rsid w:val="004F3824"/>
    <w:rsid w:val="004F512C"/>
    <w:rsid w:val="005416A0"/>
    <w:rsid w:val="005607E7"/>
    <w:rsid w:val="00574BC7"/>
    <w:rsid w:val="005A4835"/>
    <w:rsid w:val="005C17DB"/>
    <w:rsid w:val="005C6342"/>
    <w:rsid w:val="005E3B35"/>
    <w:rsid w:val="005E7167"/>
    <w:rsid w:val="00635CB5"/>
    <w:rsid w:val="00640B97"/>
    <w:rsid w:val="00642120"/>
    <w:rsid w:val="006849D8"/>
    <w:rsid w:val="00687666"/>
    <w:rsid w:val="00697BB2"/>
    <w:rsid w:val="00700FF2"/>
    <w:rsid w:val="00720039"/>
    <w:rsid w:val="0076254E"/>
    <w:rsid w:val="0078071F"/>
    <w:rsid w:val="00787C29"/>
    <w:rsid w:val="007B6045"/>
    <w:rsid w:val="007C0B21"/>
    <w:rsid w:val="007C57AA"/>
    <w:rsid w:val="008159FF"/>
    <w:rsid w:val="00852A6C"/>
    <w:rsid w:val="0085655A"/>
    <w:rsid w:val="0086107A"/>
    <w:rsid w:val="0087771D"/>
    <w:rsid w:val="0089792E"/>
    <w:rsid w:val="008A638E"/>
    <w:rsid w:val="008C2526"/>
    <w:rsid w:val="008E367E"/>
    <w:rsid w:val="008F2EE2"/>
    <w:rsid w:val="00904EEA"/>
    <w:rsid w:val="00906581"/>
    <w:rsid w:val="00927A15"/>
    <w:rsid w:val="0095583A"/>
    <w:rsid w:val="00955AC8"/>
    <w:rsid w:val="00977C07"/>
    <w:rsid w:val="009C2916"/>
    <w:rsid w:val="009E2AAC"/>
    <w:rsid w:val="00A10AE2"/>
    <w:rsid w:val="00A141C3"/>
    <w:rsid w:val="00A14F70"/>
    <w:rsid w:val="00A42C95"/>
    <w:rsid w:val="00A66F20"/>
    <w:rsid w:val="00A9239A"/>
    <w:rsid w:val="00AC7B1B"/>
    <w:rsid w:val="00B12F53"/>
    <w:rsid w:val="00B17AF7"/>
    <w:rsid w:val="00B62BCF"/>
    <w:rsid w:val="00B8400A"/>
    <w:rsid w:val="00B84C6D"/>
    <w:rsid w:val="00B87DA4"/>
    <w:rsid w:val="00BD1625"/>
    <w:rsid w:val="00BE03B7"/>
    <w:rsid w:val="00BF580C"/>
    <w:rsid w:val="00C17A30"/>
    <w:rsid w:val="00C22E37"/>
    <w:rsid w:val="00C34AA6"/>
    <w:rsid w:val="00C53230"/>
    <w:rsid w:val="00C6067A"/>
    <w:rsid w:val="00C90BBE"/>
    <w:rsid w:val="00CA174A"/>
    <w:rsid w:val="00CC7FEC"/>
    <w:rsid w:val="00CD6719"/>
    <w:rsid w:val="00CE2543"/>
    <w:rsid w:val="00D10BBD"/>
    <w:rsid w:val="00D25D5C"/>
    <w:rsid w:val="00D3243E"/>
    <w:rsid w:val="00D33D4D"/>
    <w:rsid w:val="00D4088D"/>
    <w:rsid w:val="00D50C5F"/>
    <w:rsid w:val="00D5121D"/>
    <w:rsid w:val="00D55EBB"/>
    <w:rsid w:val="00D5641C"/>
    <w:rsid w:val="00D714B8"/>
    <w:rsid w:val="00D909F6"/>
    <w:rsid w:val="00DA04E8"/>
    <w:rsid w:val="00DC6621"/>
    <w:rsid w:val="00DF1462"/>
    <w:rsid w:val="00DF2216"/>
    <w:rsid w:val="00E00F3D"/>
    <w:rsid w:val="00E7431C"/>
    <w:rsid w:val="00E967BF"/>
    <w:rsid w:val="00EC16B8"/>
    <w:rsid w:val="00ED50FD"/>
    <w:rsid w:val="00EE528E"/>
    <w:rsid w:val="00EE70B6"/>
    <w:rsid w:val="00EF1C64"/>
    <w:rsid w:val="00F327FE"/>
    <w:rsid w:val="00F6207C"/>
    <w:rsid w:val="00F67F6D"/>
    <w:rsid w:val="00F77B57"/>
    <w:rsid w:val="00F810E4"/>
    <w:rsid w:val="00F87D85"/>
    <w:rsid w:val="00F97644"/>
    <w:rsid w:val="00FA1FFE"/>
    <w:rsid w:val="00FB27A7"/>
    <w:rsid w:val="00FD0C2B"/>
    <w:rsid w:val="00FD2807"/>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CCB80C"/>
  <w15:chartTrackingRefBased/>
  <w15:docId w15:val="{31FFE310-B33F-429E-99D5-11C38E0B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4113</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7536654</vt:i4>
      </vt:variant>
      <vt:variant>
        <vt:i4>0</vt:i4>
      </vt:variant>
      <vt:variant>
        <vt:i4>0</vt:i4>
      </vt:variant>
      <vt:variant>
        <vt:i4>5</vt:i4>
      </vt:variant>
      <vt:variant>
        <vt:lpwstr>http://www.nevo.co.il/Law_word/law06/TAK-8026.pdf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העבירות המינהליות (קנס מינהלי – תכנון ובנייה), תשע"ח-2018</vt:lpwstr>
  </property>
  <property fmtid="{D5CDD505-2E9C-101B-9397-08002B2CF9AE}" pid="4" name="LAWNUMBER">
    <vt:lpwstr>0880</vt:lpwstr>
  </property>
  <property fmtid="{D5CDD505-2E9C-101B-9397-08002B2CF9AE}" pid="5" name="TYPE">
    <vt:lpwstr>01</vt:lpwstr>
  </property>
  <property fmtid="{D5CDD505-2E9C-101B-9397-08002B2CF9AE}" pid="6" name="CHNAME">
    <vt:lpwstr>משפט מינהלי</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MEKOR_NAME1">
    <vt:lpwstr>חוק העבירות המינהליות</vt:lpwstr>
  </property>
  <property fmtid="{D5CDD505-2E9C-101B-9397-08002B2CF9AE}" pid="23" name="MEKOR_SAIF1">
    <vt:lpwstr>1X;2X</vt:lpwstr>
  </property>
  <property fmtid="{D5CDD505-2E9C-101B-9397-08002B2CF9AE}" pid="24" name="NOSE11">
    <vt:lpwstr>עונשין ומשפט פלילי</vt:lpwstr>
  </property>
  <property fmtid="{D5CDD505-2E9C-101B-9397-08002B2CF9AE}" pid="25" name="NOSE21">
    <vt:lpwstr>עבירות</vt:lpwstr>
  </property>
  <property fmtid="{D5CDD505-2E9C-101B-9397-08002B2CF9AE}" pid="26" name="NOSE31">
    <vt:lpwstr>עבירות מינהליות</vt:lpwstr>
  </property>
  <property fmtid="{D5CDD505-2E9C-101B-9397-08002B2CF9AE}" pid="27" name="NOSE41">
    <vt:lpwstr>קנס מינהלי</vt:lpwstr>
  </property>
  <property fmtid="{D5CDD505-2E9C-101B-9397-08002B2CF9AE}" pid="28" name="NOSE12">
    <vt:lpwstr>רשויות ומשפט מנהלי</vt:lpwstr>
  </property>
  <property fmtid="{D5CDD505-2E9C-101B-9397-08002B2CF9AE}" pid="29" name="NOSE22">
    <vt:lpwstr>עבירות מינהליות</vt:lpwstr>
  </property>
  <property fmtid="{D5CDD505-2E9C-101B-9397-08002B2CF9AE}" pid="30" name="NOSE32">
    <vt:lpwstr>קנס מינהלי</vt:lpwstr>
  </property>
  <property fmtid="{D5CDD505-2E9C-101B-9397-08002B2CF9AE}" pid="31" name="NOSE42">
    <vt:lpwstr/>
  </property>
  <property fmtid="{D5CDD505-2E9C-101B-9397-08002B2CF9AE}" pid="32" name="NOSE13">
    <vt:lpwstr>בתי משפט וסדרי דין</vt:lpwstr>
  </property>
  <property fmtid="{D5CDD505-2E9C-101B-9397-08002B2CF9AE}" pid="33" name="NOSE23">
    <vt:lpwstr>סדר דין פלילי</vt:lpwstr>
  </property>
  <property fmtid="{D5CDD505-2E9C-101B-9397-08002B2CF9AE}" pid="34" name="NOSE33">
    <vt:lpwstr>עבירות מינהליות</vt:lpwstr>
  </property>
  <property fmtid="{D5CDD505-2E9C-101B-9397-08002B2CF9AE}" pid="35" name="NOSE43">
    <vt:lpwstr>קנס מינהלי</vt:lpwstr>
  </property>
  <property fmtid="{D5CDD505-2E9C-101B-9397-08002B2CF9AE}" pid="36" name="NOSE14">
    <vt:lpwstr>רשויות ומשפט מנהלי</vt:lpwstr>
  </property>
  <property fmtid="{D5CDD505-2E9C-101B-9397-08002B2CF9AE}" pid="37" name="NOSE24">
    <vt:lpwstr>תכנון ובניה</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http://www.nevo.co.il/Law_word/law06/TAK-8026.pdf;‎רשומות - תקנות כלליות#פורסמו ק"ת תשע"ח ‏מס' 8026 #מיום 20.6.2018 עמ' 2222‏</vt:lpwstr>
  </property>
  <property fmtid="{D5CDD505-2E9C-101B-9397-08002B2CF9AE}" pid="64" name="LINKK2">
    <vt:lpwstr/>
  </property>
</Properties>
</file>