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CCB2" w14:textId="77777777" w:rsidR="00782B96" w:rsidRDefault="00782B96">
      <w:pPr>
        <w:pStyle w:val="big-header"/>
        <w:ind w:left="0" w:right="1134"/>
        <w:rPr>
          <w:rFonts w:cs="FrankRuehl" w:hint="cs"/>
          <w:sz w:val="32"/>
          <w:rtl/>
        </w:rPr>
      </w:pPr>
      <w:r>
        <w:rPr>
          <w:rFonts w:cs="FrankRuehl" w:hint="cs"/>
          <w:sz w:val="32"/>
          <w:rtl/>
        </w:rPr>
        <w:t xml:space="preserve">תקנות העבירות המינהליות (קנס מינהלי </w:t>
      </w:r>
      <w:r>
        <w:rPr>
          <w:rFonts w:cs="FrankRuehl"/>
          <w:sz w:val="32"/>
          <w:rtl/>
        </w:rPr>
        <w:t>–</w:t>
      </w:r>
      <w:r>
        <w:rPr>
          <w:rFonts w:cs="FrankRuehl" w:hint="cs"/>
          <w:sz w:val="32"/>
          <w:rtl/>
        </w:rPr>
        <w:t xml:space="preserve"> אגודות שיתופיות), תשס"ד-2003</w:t>
      </w:r>
    </w:p>
    <w:p w14:paraId="03EEB384" w14:textId="77777777" w:rsidR="000E3666" w:rsidRDefault="000E3666" w:rsidP="000E3666">
      <w:pPr>
        <w:spacing w:line="320" w:lineRule="auto"/>
        <w:rPr>
          <w:rFonts w:hint="cs"/>
          <w:rtl/>
        </w:rPr>
      </w:pPr>
    </w:p>
    <w:p w14:paraId="7769832D" w14:textId="77777777" w:rsidR="007F4532" w:rsidRDefault="007F4532" w:rsidP="000E3666">
      <w:pPr>
        <w:spacing w:line="320" w:lineRule="auto"/>
        <w:rPr>
          <w:rFonts w:hint="cs"/>
          <w:rtl/>
        </w:rPr>
      </w:pPr>
    </w:p>
    <w:p w14:paraId="25DA4657" w14:textId="77777777" w:rsidR="000E3666" w:rsidRDefault="000E3666" w:rsidP="000E3666">
      <w:pPr>
        <w:spacing w:line="320" w:lineRule="auto"/>
        <w:rPr>
          <w:rFonts w:cs="Miriam"/>
          <w:szCs w:val="22"/>
          <w:rtl/>
        </w:rPr>
      </w:pPr>
      <w:r w:rsidRPr="000E3666">
        <w:rPr>
          <w:rFonts w:cs="Miriam"/>
          <w:szCs w:val="22"/>
          <w:rtl/>
        </w:rPr>
        <w:t>משפט פרטי וכלכלה</w:t>
      </w:r>
      <w:r w:rsidRPr="000E3666">
        <w:rPr>
          <w:rFonts w:cs="FrankRuehl"/>
          <w:szCs w:val="26"/>
          <w:rtl/>
        </w:rPr>
        <w:t xml:space="preserve"> – תאגידים וניירות ערך – אגודות שיתופיות</w:t>
      </w:r>
    </w:p>
    <w:p w14:paraId="41C94E26" w14:textId="77777777" w:rsidR="000E3666" w:rsidRDefault="000E3666" w:rsidP="000E3666">
      <w:pPr>
        <w:spacing w:line="320" w:lineRule="auto"/>
        <w:rPr>
          <w:rFonts w:cs="Miriam"/>
          <w:szCs w:val="22"/>
          <w:rtl/>
        </w:rPr>
      </w:pPr>
      <w:r w:rsidRPr="000E3666">
        <w:rPr>
          <w:rFonts w:cs="Miriam"/>
          <w:szCs w:val="22"/>
          <w:rtl/>
        </w:rPr>
        <w:t>עונשין ומשפט פלילי</w:t>
      </w:r>
      <w:r w:rsidRPr="000E3666">
        <w:rPr>
          <w:rFonts w:cs="FrankRuehl"/>
          <w:szCs w:val="26"/>
          <w:rtl/>
        </w:rPr>
        <w:t xml:space="preserve"> – עבירות – עבירות מינהליות – קנס מינהלי</w:t>
      </w:r>
    </w:p>
    <w:p w14:paraId="62C7D9C6" w14:textId="77777777" w:rsidR="000E3666" w:rsidRDefault="000E3666" w:rsidP="000E3666">
      <w:pPr>
        <w:spacing w:line="320" w:lineRule="auto"/>
        <w:rPr>
          <w:rFonts w:cs="Miriam"/>
          <w:szCs w:val="22"/>
          <w:rtl/>
        </w:rPr>
      </w:pPr>
      <w:r w:rsidRPr="000E3666">
        <w:rPr>
          <w:rFonts w:cs="Miriam"/>
          <w:szCs w:val="22"/>
          <w:rtl/>
        </w:rPr>
        <w:t>בתי משפט וסדרי דין</w:t>
      </w:r>
      <w:r w:rsidRPr="000E3666">
        <w:rPr>
          <w:rFonts w:cs="FrankRuehl"/>
          <w:szCs w:val="26"/>
          <w:rtl/>
        </w:rPr>
        <w:t xml:space="preserve"> – סדר דין פלילי – עבירות מינהליות – קנס מינהלי</w:t>
      </w:r>
    </w:p>
    <w:p w14:paraId="27FA7632" w14:textId="77777777" w:rsidR="000E3666" w:rsidRPr="000E3666" w:rsidRDefault="000E3666" w:rsidP="000E3666">
      <w:pPr>
        <w:spacing w:line="320" w:lineRule="auto"/>
        <w:rPr>
          <w:rFonts w:cs="Miriam" w:hint="cs"/>
          <w:szCs w:val="22"/>
          <w:rtl/>
        </w:rPr>
      </w:pPr>
      <w:r w:rsidRPr="000E3666">
        <w:rPr>
          <w:rFonts w:cs="Miriam"/>
          <w:szCs w:val="22"/>
          <w:rtl/>
        </w:rPr>
        <w:t>רשויות ומשפט מנהלי</w:t>
      </w:r>
      <w:r w:rsidRPr="000E3666">
        <w:rPr>
          <w:rFonts w:cs="FrankRuehl"/>
          <w:szCs w:val="26"/>
          <w:rtl/>
        </w:rPr>
        <w:t xml:space="preserve"> – עבירות מינהליות – קנס מינהלי</w:t>
      </w:r>
    </w:p>
    <w:p w14:paraId="4E9519E8" w14:textId="77777777" w:rsidR="00782B96" w:rsidRDefault="00782B9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5224" w:rsidRPr="006F5224" w14:paraId="190C8DE3" w14:textId="77777777" w:rsidTr="006F5224">
        <w:tblPrEx>
          <w:tblCellMar>
            <w:top w:w="0" w:type="dxa"/>
            <w:bottom w:w="0" w:type="dxa"/>
          </w:tblCellMar>
        </w:tblPrEx>
        <w:tc>
          <w:tcPr>
            <w:tcW w:w="1247" w:type="dxa"/>
          </w:tcPr>
          <w:p w14:paraId="490FA688" w14:textId="77777777" w:rsidR="006F5224" w:rsidRPr="006F5224" w:rsidRDefault="006F5224" w:rsidP="006F5224">
            <w:pPr>
              <w:rPr>
                <w:rFonts w:cs="Frankruhel" w:hint="cs"/>
                <w:rtl/>
              </w:rPr>
            </w:pPr>
            <w:r>
              <w:rPr>
                <w:rtl/>
              </w:rPr>
              <w:t xml:space="preserve">סעיף 1 </w:t>
            </w:r>
          </w:p>
        </w:tc>
        <w:tc>
          <w:tcPr>
            <w:tcW w:w="5669" w:type="dxa"/>
          </w:tcPr>
          <w:p w14:paraId="787493A8" w14:textId="77777777" w:rsidR="006F5224" w:rsidRPr="006F5224" w:rsidRDefault="006F5224" w:rsidP="006F5224">
            <w:pPr>
              <w:rPr>
                <w:rFonts w:cs="Frankruhel" w:hint="cs"/>
                <w:rtl/>
              </w:rPr>
            </w:pPr>
            <w:r>
              <w:rPr>
                <w:rtl/>
              </w:rPr>
              <w:t>עבירה מינהלית</w:t>
            </w:r>
          </w:p>
        </w:tc>
        <w:tc>
          <w:tcPr>
            <w:tcW w:w="567" w:type="dxa"/>
          </w:tcPr>
          <w:p w14:paraId="2B519595" w14:textId="77777777" w:rsidR="006F5224" w:rsidRPr="006F5224" w:rsidRDefault="006F5224" w:rsidP="006F5224">
            <w:pPr>
              <w:rPr>
                <w:rStyle w:val="Hyperlink"/>
                <w:rFonts w:hint="cs"/>
                <w:rtl/>
              </w:rPr>
            </w:pPr>
            <w:hyperlink w:anchor="Seif1" w:tooltip="עבירה מינהלית" w:history="1">
              <w:r w:rsidRPr="006F5224">
                <w:rPr>
                  <w:rStyle w:val="Hyperlink"/>
                </w:rPr>
                <w:t>Go</w:t>
              </w:r>
            </w:hyperlink>
          </w:p>
        </w:tc>
        <w:tc>
          <w:tcPr>
            <w:tcW w:w="850" w:type="dxa"/>
          </w:tcPr>
          <w:p w14:paraId="73E45137" w14:textId="77777777" w:rsidR="006F5224" w:rsidRPr="006F5224" w:rsidRDefault="006F5224" w:rsidP="006F522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5224" w:rsidRPr="006F5224" w14:paraId="108EC31A" w14:textId="77777777" w:rsidTr="006F5224">
        <w:tblPrEx>
          <w:tblCellMar>
            <w:top w:w="0" w:type="dxa"/>
            <w:bottom w:w="0" w:type="dxa"/>
          </w:tblCellMar>
        </w:tblPrEx>
        <w:tc>
          <w:tcPr>
            <w:tcW w:w="1247" w:type="dxa"/>
          </w:tcPr>
          <w:p w14:paraId="11AC0E51" w14:textId="77777777" w:rsidR="006F5224" w:rsidRPr="006F5224" w:rsidRDefault="006F5224" w:rsidP="006F5224">
            <w:pPr>
              <w:rPr>
                <w:rFonts w:cs="Frankruhel" w:hint="cs"/>
                <w:rtl/>
              </w:rPr>
            </w:pPr>
            <w:r>
              <w:rPr>
                <w:rtl/>
              </w:rPr>
              <w:t xml:space="preserve">סעיף 2 </w:t>
            </w:r>
          </w:p>
        </w:tc>
        <w:tc>
          <w:tcPr>
            <w:tcW w:w="5669" w:type="dxa"/>
          </w:tcPr>
          <w:p w14:paraId="10ADEC88" w14:textId="77777777" w:rsidR="006F5224" w:rsidRPr="006F5224" w:rsidRDefault="006F5224" w:rsidP="006F5224">
            <w:pPr>
              <w:rPr>
                <w:rFonts w:cs="Frankruhel" w:hint="cs"/>
                <w:rtl/>
              </w:rPr>
            </w:pPr>
            <w:r>
              <w:rPr>
                <w:rtl/>
              </w:rPr>
              <w:t>קנס מינהלי קצוב</w:t>
            </w:r>
          </w:p>
        </w:tc>
        <w:tc>
          <w:tcPr>
            <w:tcW w:w="567" w:type="dxa"/>
          </w:tcPr>
          <w:p w14:paraId="7B57CC3C" w14:textId="77777777" w:rsidR="006F5224" w:rsidRPr="006F5224" w:rsidRDefault="006F5224" w:rsidP="006F5224">
            <w:pPr>
              <w:rPr>
                <w:rStyle w:val="Hyperlink"/>
                <w:rFonts w:hint="cs"/>
                <w:rtl/>
              </w:rPr>
            </w:pPr>
            <w:hyperlink w:anchor="Seif2" w:tooltip="קנס מינהלי קצוב" w:history="1">
              <w:r w:rsidRPr="006F5224">
                <w:rPr>
                  <w:rStyle w:val="Hyperlink"/>
                </w:rPr>
                <w:t>Go</w:t>
              </w:r>
            </w:hyperlink>
          </w:p>
        </w:tc>
        <w:tc>
          <w:tcPr>
            <w:tcW w:w="850" w:type="dxa"/>
          </w:tcPr>
          <w:p w14:paraId="724307CA" w14:textId="77777777" w:rsidR="006F5224" w:rsidRPr="006F5224" w:rsidRDefault="006F5224" w:rsidP="006F522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5224" w:rsidRPr="006F5224" w14:paraId="0D6F0416" w14:textId="77777777" w:rsidTr="006F5224">
        <w:tblPrEx>
          <w:tblCellMar>
            <w:top w:w="0" w:type="dxa"/>
            <w:bottom w:w="0" w:type="dxa"/>
          </w:tblCellMar>
        </w:tblPrEx>
        <w:tc>
          <w:tcPr>
            <w:tcW w:w="1247" w:type="dxa"/>
          </w:tcPr>
          <w:p w14:paraId="4FDF7384" w14:textId="77777777" w:rsidR="006F5224" w:rsidRPr="006F5224" w:rsidRDefault="006F5224" w:rsidP="006F5224">
            <w:pPr>
              <w:rPr>
                <w:rFonts w:cs="Frankruhel" w:hint="cs"/>
                <w:rtl/>
              </w:rPr>
            </w:pPr>
            <w:r>
              <w:rPr>
                <w:rtl/>
              </w:rPr>
              <w:t xml:space="preserve">סעיף 3 </w:t>
            </w:r>
          </w:p>
        </w:tc>
        <w:tc>
          <w:tcPr>
            <w:tcW w:w="5669" w:type="dxa"/>
          </w:tcPr>
          <w:p w14:paraId="4A5F7C33" w14:textId="77777777" w:rsidR="006F5224" w:rsidRPr="006F5224" w:rsidRDefault="006F5224" w:rsidP="006F5224">
            <w:pPr>
              <w:rPr>
                <w:rFonts w:cs="Frankruhel" w:hint="cs"/>
                <w:rtl/>
              </w:rPr>
            </w:pPr>
            <w:r>
              <w:rPr>
                <w:rtl/>
              </w:rPr>
              <w:t>עבירה מינהלית נמשכת</w:t>
            </w:r>
          </w:p>
        </w:tc>
        <w:tc>
          <w:tcPr>
            <w:tcW w:w="567" w:type="dxa"/>
          </w:tcPr>
          <w:p w14:paraId="4C2C83EC" w14:textId="77777777" w:rsidR="006F5224" w:rsidRPr="006F5224" w:rsidRDefault="006F5224" w:rsidP="006F5224">
            <w:pPr>
              <w:rPr>
                <w:rStyle w:val="Hyperlink"/>
                <w:rFonts w:hint="cs"/>
                <w:rtl/>
              </w:rPr>
            </w:pPr>
            <w:hyperlink w:anchor="Seif3" w:tooltip="עבירה מינהלית נמשכת" w:history="1">
              <w:r w:rsidRPr="006F5224">
                <w:rPr>
                  <w:rStyle w:val="Hyperlink"/>
                </w:rPr>
                <w:t>Go</w:t>
              </w:r>
            </w:hyperlink>
          </w:p>
        </w:tc>
        <w:tc>
          <w:tcPr>
            <w:tcW w:w="850" w:type="dxa"/>
          </w:tcPr>
          <w:p w14:paraId="62CDD4F1" w14:textId="77777777" w:rsidR="006F5224" w:rsidRPr="006F5224" w:rsidRDefault="006F5224" w:rsidP="006F522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F5224" w:rsidRPr="006F5224" w14:paraId="4C4CDB9F" w14:textId="77777777" w:rsidTr="006F5224">
        <w:tblPrEx>
          <w:tblCellMar>
            <w:top w:w="0" w:type="dxa"/>
            <w:bottom w:w="0" w:type="dxa"/>
          </w:tblCellMar>
        </w:tblPrEx>
        <w:tc>
          <w:tcPr>
            <w:tcW w:w="1247" w:type="dxa"/>
          </w:tcPr>
          <w:p w14:paraId="76FC6DFF" w14:textId="77777777" w:rsidR="006F5224" w:rsidRPr="006F5224" w:rsidRDefault="006F5224" w:rsidP="006F5224">
            <w:pPr>
              <w:rPr>
                <w:rFonts w:cs="Frankruhel" w:hint="cs"/>
                <w:rtl/>
              </w:rPr>
            </w:pPr>
            <w:r>
              <w:rPr>
                <w:rtl/>
              </w:rPr>
              <w:t xml:space="preserve">סעיף 4 </w:t>
            </w:r>
          </w:p>
        </w:tc>
        <w:tc>
          <w:tcPr>
            <w:tcW w:w="5669" w:type="dxa"/>
          </w:tcPr>
          <w:p w14:paraId="4D14BDB5" w14:textId="77777777" w:rsidR="006F5224" w:rsidRPr="006F5224" w:rsidRDefault="006F5224" w:rsidP="006F5224">
            <w:pPr>
              <w:rPr>
                <w:rFonts w:cs="Frankruhel" w:hint="cs"/>
                <w:rtl/>
              </w:rPr>
            </w:pPr>
            <w:r>
              <w:rPr>
                <w:rtl/>
              </w:rPr>
              <w:t>תחילה</w:t>
            </w:r>
          </w:p>
        </w:tc>
        <w:tc>
          <w:tcPr>
            <w:tcW w:w="567" w:type="dxa"/>
          </w:tcPr>
          <w:p w14:paraId="2FBE9C27" w14:textId="77777777" w:rsidR="006F5224" w:rsidRPr="006F5224" w:rsidRDefault="006F5224" w:rsidP="006F5224">
            <w:pPr>
              <w:rPr>
                <w:rStyle w:val="Hyperlink"/>
                <w:rFonts w:hint="cs"/>
                <w:rtl/>
              </w:rPr>
            </w:pPr>
            <w:hyperlink w:anchor="Seif4" w:tooltip="תחילה" w:history="1">
              <w:r w:rsidRPr="006F5224">
                <w:rPr>
                  <w:rStyle w:val="Hyperlink"/>
                </w:rPr>
                <w:t>Go</w:t>
              </w:r>
            </w:hyperlink>
          </w:p>
        </w:tc>
        <w:tc>
          <w:tcPr>
            <w:tcW w:w="850" w:type="dxa"/>
          </w:tcPr>
          <w:p w14:paraId="3E793E03" w14:textId="77777777" w:rsidR="006F5224" w:rsidRPr="006F5224" w:rsidRDefault="006F5224" w:rsidP="006F522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F5224" w:rsidRPr="006F5224" w14:paraId="057C547E" w14:textId="77777777" w:rsidTr="006F5224">
        <w:tblPrEx>
          <w:tblCellMar>
            <w:top w:w="0" w:type="dxa"/>
            <w:bottom w:w="0" w:type="dxa"/>
          </w:tblCellMar>
        </w:tblPrEx>
        <w:tc>
          <w:tcPr>
            <w:tcW w:w="1247" w:type="dxa"/>
          </w:tcPr>
          <w:p w14:paraId="3B923722" w14:textId="77777777" w:rsidR="006F5224" w:rsidRPr="006F5224" w:rsidRDefault="006F5224" w:rsidP="006F5224">
            <w:pPr>
              <w:rPr>
                <w:rFonts w:cs="Frankruhel" w:hint="cs"/>
                <w:rtl/>
              </w:rPr>
            </w:pPr>
          </w:p>
        </w:tc>
        <w:tc>
          <w:tcPr>
            <w:tcW w:w="5669" w:type="dxa"/>
          </w:tcPr>
          <w:p w14:paraId="7359DB0E" w14:textId="77777777" w:rsidR="006F5224" w:rsidRPr="006F5224" w:rsidRDefault="006F5224" w:rsidP="006F5224">
            <w:pPr>
              <w:rPr>
                <w:rFonts w:cs="Frankruhel" w:hint="cs"/>
                <w:rtl/>
              </w:rPr>
            </w:pPr>
            <w:r>
              <w:rPr>
                <w:rtl/>
              </w:rPr>
              <w:t>תוספת</w:t>
            </w:r>
          </w:p>
        </w:tc>
        <w:tc>
          <w:tcPr>
            <w:tcW w:w="567" w:type="dxa"/>
          </w:tcPr>
          <w:p w14:paraId="5935A1C5" w14:textId="77777777" w:rsidR="006F5224" w:rsidRPr="006F5224" w:rsidRDefault="006F5224" w:rsidP="006F5224">
            <w:pPr>
              <w:rPr>
                <w:rStyle w:val="Hyperlink"/>
                <w:rFonts w:hint="cs"/>
                <w:rtl/>
              </w:rPr>
            </w:pPr>
            <w:hyperlink w:anchor="med0" w:tooltip="תוספת" w:history="1">
              <w:r w:rsidRPr="006F5224">
                <w:rPr>
                  <w:rStyle w:val="Hyperlink"/>
                </w:rPr>
                <w:t>Go</w:t>
              </w:r>
            </w:hyperlink>
          </w:p>
        </w:tc>
        <w:tc>
          <w:tcPr>
            <w:tcW w:w="850" w:type="dxa"/>
          </w:tcPr>
          <w:p w14:paraId="798BDBCE" w14:textId="77777777" w:rsidR="006F5224" w:rsidRPr="006F5224" w:rsidRDefault="006F5224" w:rsidP="006F522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DC2138F" w14:textId="77777777" w:rsidR="00782B96" w:rsidRDefault="00782B96">
      <w:pPr>
        <w:pStyle w:val="big-header"/>
        <w:ind w:left="0" w:right="1134"/>
        <w:rPr>
          <w:rFonts w:cs="FrankRuehl" w:hint="cs"/>
          <w:sz w:val="32"/>
          <w:rtl/>
        </w:rPr>
      </w:pPr>
    </w:p>
    <w:p w14:paraId="697507C0" w14:textId="77777777" w:rsidR="00782B96" w:rsidRDefault="00782B96" w:rsidP="000E3666">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תקנות העבירות המינהליות (קנס מינהלי </w:t>
      </w:r>
      <w:r>
        <w:rPr>
          <w:rFonts w:cs="FrankRuehl"/>
          <w:sz w:val="32"/>
          <w:rtl/>
        </w:rPr>
        <w:t>–</w:t>
      </w:r>
      <w:r>
        <w:rPr>
          <w:rFonts w:cs="FrankRuehl" w:hint="cs"/>
          <w:sz w:val="32"/>
          <w:rtl/>
        </w:rPr>
        <w:t xml:space="preserve"> אגודות שיתופיות), תשס"ד-2003</w:t>
      </w:r>
      <w:r>
        <w:rPr>
          <w:rStyle w:val="default"/>
          <w:sz w:val="22"/>
          <w:szCs w:val="22"/>
          <w:rtl/>
        </w:rPr>
        <w:footnoteReference w:customMarkFollows="1" w:id="1"/>
        <w:t>*</w:t>
      </w:r>
    </w:p>
    <w:p w14:paraId="49B7306F" w14:textId="77777777" w:rsidR="00782B96" w:rsidRDefault="00782B96">
      <w:pPr>
        <w:pStyle w:val="P00"/>
        <w:spacing w:before="72"/>
        <w:ind w:left="0" w:right="1134"/>
        <w:rPr>
          <w:rStyle w:val="default"/>
          <w:rFonts w:cs="FrankRuehl" w:hint="cs"/>
          <w:rtl/>
        </w:rPr>
      </w:pPr>
      <w:r>
        <w:rPr>
          <w:rStyle w:val="default"/>
          <w:rFonts w:cs="FrankRuehl" w:hint="cs"/>
          <w:rtl/>
        </w:rPr>
        <w:tab/>
        <w:t xml:space="preserve">בתוקף סמכותי לפי סעיפים 1 ו-2 לחוק העבירות המינהליות, התשמ"ו-1985 (להלן </w:t>
      </w:r>
      <w:r>
        <w:rPr>
          <w:rStyle w:val="default"/>
          <w:rFonts w:cs="FrankRuehl"/>
          <w:rtl/>
        </w:rPr>
        <w:t>–</w:t>
      </w:r>
      <w:r>
        <w:rPr>
          <w:rStyle w:val="default"/>
          <w:rFonts w:cs="FrankRuehl" w:hint="cs"/>
          <w:rtl/>
        </w:rPr>
        <w:t xml:space="preserve"> חוק העבירות המינהליות), בהסכמת שר התעשיה המסחר והתעסוקה, ובאישור ועדת החוקה חוק ומשפט של הכנסת, אני מתקין תקנות אלה:</w:t>
      </w:r>
    </w:p>
    <w:p w14:paraId="13C9EA71" w14:textId="77777777" w:rsidR="00782B96" w:rsidRDefault="00782B96">
      <w:pPr>
        <w:pStyle w:val="P00"/>
        <w:spacing w:before="72"/>
        <w:ind w:left="0" w:right="1134"/>
        <w:rPr>
          <w:rStyle w:val="default"/>
          <w:rFonts w:cs="FrankRuehl" w:hint="cs"/>
          <w:rtl/>
        </w:rPr>
      </w:pPr>
      <w:bookmarkStart w:id="0" w:name="Seif1"/>
      <w:bookmarkEnd w:id="0"/>
      <w:r>
        <w:rPr>
          <w:rFonts w:cs="Miriam"/>
          <w:lang w:val="he-IL"/>
        </w:rPr>
        <w:pict w14:anchorId="52CD4237">
          <v:rect id="_x0000_s1026" style="position:absolute;left:0;text-align:left;margin-left:463.5pt;margin-top:8.05pt;width:75.05pt;height:8.95pt;z-index:251655680" filled="f" stroked="f" strokecolor="lime" strokeweight=".25pt">
            <v:textbox style="mso-next-textbox:#_x0000_s1026" inset="1mm,0,1mm,0">
              <w:txbxContent>
                <w:p w14:paraId="0304F47F" w14:textId="77777777" w:rsidR="00782B96" w:rsidRDefault="00782B96">
                  <w:pPr>
                    <w:spacing w:line="160" w:lineRule="exact"/>
                    <w:rPr>
                      <w:rFonts w:cs="Miriam" w:hint="cs"/>
                      <w:noProof/>
                      <w:sz w:val="18"/>
                      <w:szCs w:val="18"/>
                      <w:rtl/>
                    </w:rPr>
                  </w:pPr>
                  <w:r>
                    <w:rPr>
                      <w:rFonts w:cs="Miriam" w:hint="cs"/>
                      <w:sz w:val="18"/>
                      <w:szCs w:val="18"/>
                      <w:rtl/>
                    </w:rPr>
                    <w:t>עבירה מינהלית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עבירה על הוראה מהוראות סעיף 57 לפקודת האגודות השיתופיות (להלן </w:t>
      </w:r>
      <w:r>
        <w:rPr>
          <w:rStyle w:val="default"/>
          <w:rFonts w:cs="FrankRuehl"/>
          <w:rtl/>
        </w:rPr>
        <w:t>–</w:t>
      </w:r>
      <w:r>
        <w:rPr>
          <w:rStyle w:val="default"/>
          <w:rFonts w:cs="FrankRuehl" w:hint="cs"/>
          <w:rtl/>
        </w:rPr>
        <w:t xml:space="preserve"> הפקודה), לענין הפרה של סעיפי הפקודה והתקנות כמפורט בתוספת, היא עבירה מינהלית.</w:t>
      </w:r>
    </w:p>
    <w:p w14:paraId="4433BBE7" w14:textId="77777777" w:rsidR="00782B96" w:rsidRDefault="00782B96">
      <w:pPr>
        <w:pStyle w:val="P00"/>
        <w:spacing w:before="72"/>
        <w:ind w:left="0" w:right="1134"/>
        <w:rPr>
          <w:rStyle w:val="default"/>
          <w:rFonts w:cs="FrankRuehl" w:hint="cs"/>
          <w:rtl/>
        </w:rPr>
      </w:pPr>
      <w:bookmarkStart w:id="1" w:name="Seif2"/>
      <w:bookmarkEnd w:id="1"/>
      <w:r>
        <w:rPr>
          <w:rFonts w:cs="Miriam"/>
          <w:lang w:val="he-IL"/>
        </w:rPr>
        <w:pict w14:anchorId="277214F8">
          <v:rect id="_x0000_s1059" style="position:absolute;left:0;text-align:left;margin-left:464.35pt;margin-top:8.05pt;width:75.05pt;height:9.1pt;z-index:251656704" o:allowincell="f" filled="f" stroked="f" strokecolor="lime" strokeweight=".25pt">
            <v:textbox style="mso-next-textbox:#_x0000_s1059" inset="1mm,0,1mm,0">
              <w:txbxContent>
                <w:p w14:paraId="4B5596C1" w14:textId="77777777" w:rsidR="00782B96" w:rsidRDefault="00782B96">
                  <w:pPr>
                    <w:spacing w:line="160" w:lineRule="exact"/>
                    <w:rPr>
                      <w:rFonts w:cs="Miriam" w:hint="cs"/>
                      <w:noProof/>
                      <w:sz w:val="18"/>
                      <w:szCs w:val="18"/>
                      <w:rtl/>
                    </w:rPr>
                  </w:pPr>
                  <w:r>
                    <w:rPr>
                      <w:rFonts w:cs="Miriam" w:hint="cs"/>
                      <w:sz w:val="18"/>
                      <w:szCs w:val="18"/>
                      <w:rtl/>
                    </w:rPr>
                    <w:t>קנס מינהלי קצוב</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לעבירה מינהלית כאמור בתקנה 1 יהיה קנס מינהלי קצוב של 1,500 שקלים חדשים.</w:t>
      </w:r>
    </w:p>
    <w:p w14:paraId="0FBC785E" w14:textId="77777777" w:rsidR="00782B96" w:rsidRDefault="00782B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הקנס המינהלי הקצוב לעבירה מינהלית חוזרת יהיה כפל הקנס האמור בתקנת משנה (א).</w:t>
      </w:r>
    </w:p>
    <w:p w14:paraId="4C6273C2" w14:textId="77777777" w:rsidR="00782B96" w:rsidRDefault="00782B96">
      <w:pPr>
        <w:pStyle w:val="P00"/>
        <w:spacing w:before="72"/>
        <w:ind w:left="0" w:right="1134"/>
        <w:rPr>
          <w:rStyle w:val="default"/>
          <w:rFonts w:cs="FrankRuehl" w:hint="cs"/>
          <w:rtl/>
        </w:rPr>
      </w:pPr>
      <w:bookmarkStart w:id="2" w:name="Seif3"/>
      <w:bookmarkEnd w:id="2"/>
      <w:r>
        <w:rPr>
          <w:rFonts w:cs="Miriam"/>
          <w:lang w:val="he-IL"/>
        </w:rPr>
        <w:pict w14:anchorId="5E9B3187">
          <v:rect id="_x0000_s1061" style="position:absolute;left:0;text-align:left;margin-left:463.5pt;margin-top:8.05pt;width:75.05pt;height:15.55pt;z-index:251657728" filled="f" stroked="f" strokecolor="lime" strokeweight=".25pt">
            <v:textbox style="mso-next-textbox:#_x0000_s1061" inset="1mm,0,1mm,0">
              <w:txbxContent>
                <w:p w14:paraId="47AE8973" w14:textId="77777777" w:rsidR="00782B96" w:rsidRDefault="00782B96">
                  <w:pPr>
                    <w:spacing w:line="160" w:lineRule="exact"/>
                    <w:rPr>
                      <w:rFonts w:cs="Miriam" w:hint="cs"/>
                      <w:noProof/>
                      <w:sz w:val="18"/>
                      <w:szCs w:val="18"/>
                      <w:rtl/>
                    </w:rPr>
                  </w:pPr>
                  <w:r>
                    <w:rPr>
                      <w:rFonts w:cs="Miriam" w:hint="cs"/>
                      <w:sz w:val="18"/>
                      <w:szCs w:val="18"/>
                      <w:rtl/>
                    </w:rPr>
                    <w:t>עבירה מינהלית נמשכת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הקנס המינהלי הקצוב לעבירה מינהלית נמשכת יהיה קנס בשיעור החלק העשירי של הקנס הקבוע בתקנה 2, לפי הענין, לכל יום שבו נמשכת העבירה לאחר המועד שנקבע בהתראה כאמור בסעיף 8(ב1) לחוק העבירות המינהליות.</w:t>
      </w:r>
    </w:p>
    <w:p w14:paraId="77FFA97F" w14:textId="77777777" w:rsidR="00782B96" w:rsidRDefault="00782B96">
      <w:pPr>
        <w:pStyle w:val="P00"/>
        <w:spacing w:before="72"/>
        <w:ind w:left="0" w:right="1134"/>
        <w:rPr>
          <w:rStyle w:val="default"/>
          <w:rFonts w:cs="FrankRuehl" w:hint="cs"/>
          <w:rtl/>
        </w:rPr>
      </w:pPr>
      <w:bookmarkStart w:id="3" w:name="Seif4"/>
      <w:bookmarkEnd w:id="3"/>
      <w:r>
        <w:rPr>
          <w:rFonts w:cs="Miriam"/>
          <w:lang w:val="he-IL"/>
        </w:rPr>
        <w:pict w14:anchorId="02C7F42B">
          <v:rect id="_x0000_s1062" style="position:absolute;left:0;text-align:left;margin-left:463.5pt;margin-top:8.05pt;width:75.05pt;height:8.95pt;z-index:251658752" filled="f" stroked="f" strokecolor="lime" strokeweight=".25pt">
            <v:textbox style="mso-next-textbox:#_x0000_s1062" inset="1mm,0,1mm,0">
              <w:txbxContent>
                <w:p w14:paraId="66C87CA5" w14:textId="77777777" w:rsidR="00782B96" w:rsidRDefault="00782B9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30 ימים מיום פרסומן.</w:t>
      </w:r>
    </w:p>
    <w:p w14:paraId="26166D0B" w14:textId="77777777" w:rsidR="00782B96" w:rsidRDefault="00782B96">
      <w:pPr>
        <w:pStyle w:val="P00"/>
        <w:spacing w:before="72"/>
        <w:ind w:left="0" w:right="1134"/>
        <w:rPr>
          <w:rStyle w:val="default"/>
          <w:rFonts w:cs="FrankRuehl" w:hint="cs"/>
          <w:rtl/>
        </w:rPr>
      </w:pPr>
    </w:p>
    <w:p w14:paraId="4561F4DF" w14:textId="77777777" w:rsidR="00782B96" w:rsidRPr="007F4532" w:rsidRDefault="00782B96" w:rsidP="007F4532">
      <w:pPr>
        <w:pStyle w:val="medium2-header"/>
        <w:keepLines w:val="0"/>
        <w:spacing w:before="72"/>
        <w:ind w:left="0" w:right="1134"/>
        <w:rPr>
          <w:rFonts w:cs="FrankRuehl" w:hint="cs"/>
          <w:noProof/>
          <w:rtl/>
        </w:rPr>
      </w:pPr>
      <w:bookmarkStart w:id="4" w:name="med0"/>
      <w:bookmarkEnd w:id="4"/>
      <w:r w:rsidRPr="007F4532">
        <w:rPr>
          <w:rFonts w:cs="FrankRuehl" w:hint="cs"/>
          <w:noProof/>
          <w:rtl/>
        </w:rPr>
        <w:t>תוספת</w:t>
      </w:r>
    </w:p>
    <w:p w14:paraId="59FBD97D" w14:textId="77777777" w:rsidR="00782B96" w:rsidRDefault="00782B96">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2DD37F61"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תקנה 3 לתקנות האגודות השיתופיות (רשויות האגודה), התשל"ה-1975 (להלן </w:t>
      </w:r>
      <w:r>
        <w:rPr>
          <w:rStyle w:val="default"/>
          <w:rFonts w:cs="FrankRuehl"/>
          <w:rtl/>
        </w:rPr>
        <w:t>–</w:t>
      </w:r>
      <w:r>
        <w:rPr>
          <w:rStyle w:val="default"/>
          <w:rFonts w:cs="FrankRuehl" w:hint="cs"/>
          <w:rtl/>
        </w:rPr>
        <w:t xml:space="preserve"> תקנות הרשויות).</w:t>
      </w:r>
    </w:p>
    <w:p w14:paraId="25CA8674"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תקנה 14(ד) לתקנות הרשויות.</w:t>
      </w:r>
    </w:p>
    <w:p w14:paraId="6594DE4A"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תקנה 27 לתקנות הרשויות.</w:t>
      </w:r>
    </w:p>
    <w:p w14:paraId="1B20A808"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Fonts w:cs="FrankRuehl"/>
          <w:rtl/>
          <w:lang w:val="he-IL"/>
        </w:rPr>
        <w:pict w14:anchorId="4BEECD38">
          <v:shapetype id="_x0000_t202" coordsize="21600,21600" o:spt="202" path="m,l,21600r21600,l21600,xe">
            <v:stroke joinstyle="miter"/>
            <v:path gradientshapeok="t" o:connecttype="rect"/>
          </v:shapetype>
          <v:shape id="_x0000_s1063" type="#_x0000_t202" style="position:absolute;left:0;text-align:left;margin-left:470.35pt;margin-top:7.1pt;width:1in;height:13.1pt;z-index:251659776" filled="f" stroked="f">
            <v:textbox inset="1mm,0,1mm,0">
              <w:txbxContent>
                <w:p w14:paraId="59B9C79B" w14:textId="77777777" w:rsidR="00782B96" w:rsidRDefault="00782B96">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FrankRuehl"/>
          <w:rtl/>
        </w:rPr>
        <w:t>(3א)</w:t>
      </w:r>
      <w:r>
        <w:rPr>
          <w:rStyle w:val="default"/>
          <w:rFonts w:cs="FrankRuehl" w:hint="cs"/>
          <w:rtl/>
        </w:rPr>
        <w:tab/>
      </w:r>
      <w:r>
        <w:rPr>
          <w:rStyle w:val="default"/>
          <w:rFonts w:cs="FrankRuehl"/>
          <w:rtl/>
        </w:rPr>
        <w:t>תקנה 28 לתקנות הרשויות.</w:t>
      </w:r>
    </w:p>
    <w:p w14:paraId="4EDB0B01" w14:textId="77777777" w:rsidR="00782B96" w:rsidRPr="009855C5" w:rsidRDefault="00782B96">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vanish/>
          <w:color w:val="FF0000"/>
          <w:sz w:val="20"/>
          <w:szCs w:val="20"/>
          <w:shd w:val="clear" w:color="auto" w:fill="FFFF99"/>
          <w:rtl/>
        </w:rPr>
      </w:pPr>
      <w:bookmarkStart w:id="5" w:name="Rov3"/>
      <w:r w:rsidRPr="009855C5">
        <w:rPr>
          <w:rStyle w:val="default"/>
          <w:rFonts w:cs="FrankRuehl" w:hint="cs"/>
          <w:vanish/>
          <w:color w:val="FF0000"/>
          <w:sz w:val="20"/>
          <w:szCs w:val="20"/>
          <w:shd w:val="clear" w:color="auto" w:fill="FFFF99"/>
          <w:rtl/>
        </w:rPr>
        <w:t>מיום 27.5.2006</w:t>
      </w:r>
    </w:p>
    <w:p w14:paraId="444205DF" w14:textId="77777777" w:rsidR="00782B96" w:rsidRPr="009855C5" w:rsidRDefault="00782B96">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b/>
          <w:bCs/>
          <w:vanish/>
          <w:sz w:val="20"/>
          <w:szCs w:val="20"/>
          <w:shd w:val="clear" w:color="auto" w:fill="FFFF99"/>
          <w:rtl/>
        </w:rPr>
      </w:pPr>
      <w:r w:rsidRPr="009855C5">
        <w:rPr>
          <w:rStyle w:val="default"/>
          <w:rFonts w:cs="FrankRuehl" w:hint="cs"/>
          <w:b/>
          <w:bCs/>
          <w:vanish/>
          <w:sz w:val="20"/>
          <w:szCs w:val="20"/>
          <w:shd w:val="clear" w:color="auto" w:fill="FFFF99"/>
          <w:rtl/>
        </w:rPr>
        <w:t>תק' תשס"ו-2006</w:t>
      </w:r>
    </w:p>
    <w:p w14:paraId="33E8140E" w14:textId="77777777" w:rsidR="00782B96" w:rsidRPr="009855C5" w:rsidRDefault="00782B96">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vanish/>
          <w:sz w:val="20"/>
          <w:szCs w:val="20"/>
          <w:shd w:val="clear" w:color="auto" w:fill="FFFF99"/>
          <w:rtl/>
        </w:rPr>
      </w:pPr>
      <w:hyperlink r:id="rId7" w:history="1">
        <w:r w:rsidRPr="009855C5">
          <w:rPr>
            <w:rStyle w:val="Hyperlink"/>
            <w:rFonts w:cs="FrankRuehl" w:hint="cs"/>
            <w:vanish/>
            <w:szCs w:val="20"/>
            <w:shd w:val="clear" w:color="auto" w:fill="FFFF99"/>
            <w:rtl/>
          </w:rPr>
          <w:t>ק"ת תשס"ו מס' 6477</w:t>
        </w:r>
      </w:hyperlink>
      <w:r w:rsidRPr="009855C5">
        <w:rPr>
          <w:rStyle w:val="default"/>
          <w:rFonts w:cs="FrankRuehl" w:hint="cs"/>
          <w:vanish/>
          <w:sz w:val="20"/>
          <w:szCs w:val="20"/>
          <w:shd w:val="clear" w:color="auto" w:fill="FFFF99"/>
          <w:rtl/>
        </w:rPr>
        <w:t xml:space="preserve"> מיום 27.4.2006 עמ' 729</w:t>
      </w:r>
    </w:p>
    <w:p w14:paraId="695620F8" w14:textId="77777777" w:rsidR="00782B96" w:rsidRDefault="00782B96">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b/>
          <w:bCs/>
          <w:sz w:val="2"/>
          <w:szCs w:val="2"/>
          <w:rtl/>
        </w:rPr>
      </w:pPr>
      <w:r w:rsidRPr="009855C5">
        <w:rPr>
          <w:rStyle w:val="default"/>
          <w:rFonts w:cs="FrankRuehl" w:hint="cs"/>
          <w:b/>
          <w:bCs/>
          <w:vanish/>
          <w:sz w:val="20"/>
          <w:szCs w:val="20"/>
          <w:shd w:val="clear" w:color="auto" w:fill="FFFF99"/>
          <w:rtl/>
        </w:rPr>
        <w:t>הוספת פרט 3א</w:t>
      </w:r>
      <w:bookmarkEnd w:id="5"/>
    </w:p>
    <w:p w14:paraId="283BB9AA"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תקנה 59 לתקנות הרשויות.</w:t>
      </w:r>
    </w:p>
    <w:p w14:paraId="164E73FF" w14:textId="77777777" w:rsidR="00782B96" w:rsidRDefault="00782B9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סעיף 20 לפקודה, תקנה 4 לתקנות האגודות השיתופיות (ניהול וביקורת חשבונות), התשל"ה-1975, ותקנה 1 לתקנות האגודות השיתופיות (דוח כספי, פנקסים, ספרים והודעות), התשל"ו-1976.</w:t>
      </w:r>
    </w:p>
    <w:p w14:paraId="5AC4AAD1" w14:textId="77777777" w:rsidR="00782B96" w:rsidRPr="009855C5" w:rsidRDefault="00782B96" w:rsidP="009855C5">
      <w:pPr>
        <w:pStyle w:val="P00"/>
        <w:spacing w:before="72"/>
        <w:ind w:left="0" w:right="1134"/>
        <w:rPr>
          <w:rStyle w:val="default"/>
          <w:rFonts w:cs="FrankRuehl" w:hint="cs"/>
          <w:rtl/>
        </w:rPr>
      </w:pPr>
    </w:p>
    <w:p w14:paraId="45DA0212" w14:textId="77777777" w:rsidR="00782B96" w:rsidRPr="009855C5" w:rsidRDefault="00782B96" w:rsidP="009855C5">
      <w:pPr>
        <w:pStyle w:val="P00"/>
        <w:spacing w:before="72"/>
        <w:ind w:left="0" w:right="1134"/>
        <w:rPr>
          <w:rStyle w:val="default"/>
          <w:rFonts w:cs="FrankRuehl" w:hint="cs"/>
          <w:rtl/>
        </w:rPr>
      </w:pPr>
    </w:p>
    <w:p w14:paraId="578E46D4" w14:textId="77777777" w:rsidR="00782B96" w:rsidRDefault="00782B96" w:rsidP="007F453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י"ג בכסלו התשס"ד (8 בדצמבר 2003)</w:t>
      </w:r>
      <w:r w:rsidR="007F4532">
        <w:rPr>
          <w:rFonts w:cs="FrankRuehl" w:hint="cs"/>
          <w:sz w:val="26"/>
          <w:szCs w:val="26"/>
          <w:rtl/>
        </w:rPr>
        <w:tab/>
      </w:r>
      <w:r>
        <w:rPr>
          <w:rFonts w:cs="FrankRuehl" w:hint="cs"/>
          <w:sz w:val="26"/>
          <w:szCs w:val="26"/>
          <w:rtl/>
        </w:rPr>
        <w:t>יוסף (טומי) לפיד</w:t>
      </w:r>
    </w:p>
    <w:p w14:paraId="08400823" w14:textId="77777777" w:rsidR="00782B96" w:rsidRDefault="00782B96" w:rsidP="007F45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המשפטים</w:t>
      </w:r>
    </w:p>
    <w:p w14:paraId="1B84E761" w14:textId="77777777" w:rsidR="00782B96" w:rsidRDefault="00782B96" w:rsidP="009855C5">
      <w:pPr>
        <w:pStyle w:val="P00"/>
        <w:spacing w:before="72"/>
        <w:ind w:left="0" w:right="1134"/>
        <w:rPr>
          <w:rStyle w:val="default"/>
          <w:rFonts w:cs="FrankRuehl" w:hint="cs"/>
          <w:rtl/>
        </w:rPr>
      </w:pPr>
    </w:p>
    <w:p w14:paraId="54AD44B6" w14:textId="77777777" w:rsidR="009855C5" w:rsidRDefault="009855C5" w:rsidP="009855C5">
      <w:pPr>
        <w:pStyle w:val="P00"/>
        <w:spacing w:before="72"/>
        <w:ind w:left="0" w:right="1134"/>
        <w:rPr>
          <w:rStyle w:val="default"/>
          <w:rFonts w:cs="FrankRuehl" w:hint="cs"/>
          <w:rtl/>
        </w:rPr>
      </w:pPr>
    </w:p>
    <w:p w14:paraId="1631D71B" w14:textId="77777777" w:rsidR="006F5224" w:rsidRDefault="006F5224" w:rsidP="009855C5">
      <w:pPr>
        <w:pStyle w:val="P00"/>
        <w:spacing w:before="72"/>
        <w:ind w:left="0" w:right="1134"/>
        <w:rPr>
          <w:rStyle w:val="default"/>
          <w:rFonts w:cs="FrankRuehl"/>
          <w:rtl/>
        </w:rPr>
      </w:pPr>
    </w:p>
    <w:p w14:paraId="1115EA3F" w14:textId="77777777" w:rsidR="006F5224" w:rsidRDefault="006F5224" w:rsidP="009855C5">
      <w:pPr>
        <w:pStyle w:val="P00"/>
        <w:spacing w:before="72"/>
        <w:ind w:left="0" w:right="1134"/>
        <w:rPr>
          <w:rStyle w:val="default"/>
          <w:rFonts w:cs="FrankRuehl"/>
          <w:rtl/>
        </w:rPr>
      </w:pPr>
    </w:p>
    <w:p w14:paraId="10C838A6" w14:textId="77777777" w:rsidR="006F5224" w:rsidRDefault="006F5224" w:rsidP="006F522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31EFE6" w14:textId="77777777" w:rsidR="009855C5" w:rsidRPr="006F5224" w:rsidRDefault="009855C5" w:rsidP="006F5224">
      <w:pPr>
        <w:pStyle w:val="P00"/>
        <w:spacing w:before="72"/>
        <w:ind w:left="0" w:right="1134"/>
        <w:jc w:val="center"/>
        <w:rPr>
          <w:rStyle w:val="default"/>
          <w:rFonts w:cs="David" w:hint="cs"/>
          <w:color w:val="0000FF"/>
          <w:szCs w:val="24"/>
          <w:u w:val="single"/>
          <w:rtl/>
        </w:rPr>
      </w:pPr>
    </w:p>
    <w:sectPr w:rsidR="009855C5" w:rsidRPr="006F522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CAFF" w14:textId="77777777" w:rsidR="00072A89" w:rsidRDefault="00072A89">
      <w:r>
        <w:separator/>
      </w:r>
    </w:p>
  </w:endnote>
  <w:endnote w:type="continuationSeparator" w:id="0">
    <w:p w14:paraId="4BAE66E9" w14:textId="77777777" w:rsidR="00072A89" w:rsidRDefault="0007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E32A" w14:textId="77777777" w:rsidR="00782B96" w:rsidRDefault="00782B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AFBB45" w14:textId="77777777" w:rsidR="00782B96" w:rsidRDefault="00782B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B006F5" w14:textId="77777777" w:rsidR="00782B96" w:rsidRDefault="00782B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Z:\00000000-law\yael\06-05-01\table\999_229.doc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2470" w14:textId="77777777" w:rsidR="00782B96" w:rsidRDefault="00782B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5224">
      <w:rPr>
        <w:rFonts w:hAnsi="FrankRuehl" w:cs="FrankRuehl"/>
        <w:noProof/>
        <w:sz w:val="24"/>
        <w:szCs w:val="24"/>
        <w:rtl/>
      </w:rPr>
      <w:t>2</w:t>
    </w:r>
    <w:r>
      <w:rPr>
        <w:rFonts w:hAnsi="FrankRuehl" w:cs="FrankRuehl"/>
        <w:sz w:val="24"/>
        <w:szCs w:val="24"/>
        <w:rtl/>
      </w:rPr>
      <w:fldChar w:fldCharType="end"/>
    </w:r>
  </w:p>
  <w:p w14:paraId="177EC79D" w14:textId="77777777" w:rsidR="00782B96" w:rsidRDefault="00782B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BC8D4D" w14:textId="77777777" w:rsidR="00782B96" w:rsidRDefault="00782B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Z:\00000000-law\yael\06-05-01\table\999_229.doc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AEA5" w14:textId="77777777" w:rsidR="00072A89" w:rsidRDefault="00072A89">
      <w:r>
        <w:separator/>
      </w:r>
    </w:p>
  </w:footnote>
  <w:footnote w:type="continuationSeparator" w:id="0">
    <w:p w14:paraId="0365648B" w14:textId="77777777" w:rsidR="00072A89" w:rsidRDefault="00072A89">
      <w:r>
        <w:continuationSeparator/>
      </w:r>
    </w:p>
  </w:footnote>
  <w:footnote w:id="1">
    <w:p w14:paraId="712983FC" w14:textId="77777777" w:rsidR="00782B96" w:rsidRDefault="00782B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E072F">
          <w:rPr>
            <w:rStyle w:val="Hyperlink"/>
            <w:rFonts w:cs="FrankRuehl" w:hint="cs"/>
            <w:rtl/>
          </w:rPr>
          <w:t>ק"ת תשס"ד מס' 6278</w:t>
        </w:r>
      </w:hyperlink>
      <w:r>
        <w:rPr>
          <w:rFonts w:cs="FrankRuehl" w:hint="cs"/>
          <w:rtl/>
        </w:rPr>
        <w:t xml:space="preserve"> מיום 22.12.2003 עמ' 84.</w:t>
      </w:r>
    </w:p>
    <w:p w14:paraId="60B955F4" w14:textId="77777777" w:rsidR="00782B96" w:rsidRDefault="00782B96" w:rsidP="007F45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תשס"ו מס' 6477</w:t>
        </w:r>
      </w:hyperlink>
      <w:r>
        <w:rPr>
          <w:rFonts w:cs="FrankRuehl" w:hint="cs"/>
          <w:rtl/>
        </w:rPr>
        <w:t xml:space="preserve"> מיום 27.4.2006 עמ' 729 </w:t>
      </w:r>
      <w:r>
        <w:rPr>
          <w:rFonts w:cs="FrankRuehl"/>
          <w:rtl/>
        </w:rPr>
        <w:t>–</w:t>
      </w:r>
      <w:r>
        <w:rPr>
          <w:rFonts w:cs="FrankRuehl" w:hint="cs"/>
          <w:rtl/>
        </w:rPr>
        <w:t xml:space="preserve"> תק' תשס"ו-2006;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313C" w14:textId="77777777" w:rsidR="00782B96" w:rsidRDefault="00782B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E7B4D3" w14:textId="77777777" w:rsidR="00782B96" w:rsidRDefault="00782B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10B6F4" w14:textId="77777777" w:rsidR="00782B96" w:rsidRDefault="00782B9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7695" w14:textId="77777777" w:rsidR="00782B96" w:rsidRDefault="00782B9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העבירות המינהליות (קנס מינהלי </w:t>
    </w:r>
    <w:r>
      <w:rPr>
        <w:rFonts w:hAnsi="FrankRuehl" w:cs="FrankRuehl"/>
        <w:color w:val="000000"/>
        <w:sz w:val="28"/>
        <w:szCs w:val="28"/>
        <w:rtl/>
      </w:rPr>
      <w:t>–</w:t>
    </w:r>
    <w:r>
      <w:rPr>
        <w:rFonts w:hAnsi="FrankRuehl" w:cs="FrankRuehl" w:hint="cs"/>
        <w:color w:val="000000"/>
        <w:sz w:val="28"/>
        <w:szCs w:val="28"/>
        <w:rtl/>
      </w:rPr>
      <w:t xml:space="preserve"> אגודות שיתופיות), תשס"ד-2003</w:t>
    </w:r>
  </w:p>
  <w:p w14:paraId="2F45047A" w14:textId="77777777" w:rsidR="00782B96" w:rsidRDefault="00782B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C987B4" w14:textId="77777777" w:rsidR="00782B96" w:rsidRDefault="00782B9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6179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666"/>
    <w:rsid w:val="00072A89"/>
    <w:rsid w:val="000E3666"/>
    <w:rsid w:val="00113FB2"/>
    <w:rsid w:val="00250B95"/>
    <w:rsid w:val="00436FFD"/>
    <w:rsid w:val="00463513"/>
    <w:rsid w:val="004E3566"/>
    <w:rsid w:val="00686DE9"/>
    <w:rsid w:val="006F5224"/>
    <w:rsid w:val="00782B96"/>
    <w:rsid w:val="00797CD4"/>
    <w:rsid w:val="007F4532"/>
    <w:rsid w:val="00847755"/>
    <w:rsid w:val="009855C5"/>
    <w:rsid w:val="00AE072F"/>
    <w:rsid w:val="00C01D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830BAF"/>
  <w15:chartTrackingRefBased/>
  <w15:docId w15:val="{E14BA75A-AFE1-486E-A2FC-0F66DFC2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477.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477.pdf" TargetMode="External"/><Relationship Id="rId1" Type="http://schemas.openxmlformats.org/officeDocument/2006/relationships/hyperlink" Target="http://www.nevo.co.il/Law_word/law06/TAK-62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2312</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7864331</vt:i4>
      </vt:variant>
      <vt:variant>
        <vt:i4>30</vt:i4>
      </vt:variant>
      <vt:variant>
        <vt:i4>0</vt:i4>
      </vt:variant>
      <vt:variant>
        <vt:i4>5</vt:i4>
      </vt:variant>
      <vt:variant>
        <vt:lpwstr>http://www.nevo.co.il/Law_word/law06/tak-6477.pdf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3</vt:i4>
      </vt:variant>
      <vt:variant>
        <vt:i4>0</vt:i4>
      </vt:variant>
      <vt:variant>
        <vt:i4>5</vt:i4>
      </vt:variant>
      <vt:variant>
        <vt:lpwstr>http://www.nevo.co.il/Law_word/law06/tak-6477.pdf</vt:lpwstr>
      </vt:variant>
      <vt:variant>
        <vt:lpwstr/>
      </vt:variant>
      <vt:variant>
        <vt:i4>7864322</vt:i4>
      </vt:variant>
      <vt:variant>
        <vt:i4>0</vt:i4>
      </vt:variant>
      <vt:variant>
        <vt:i4>0</vt:i4>
      </vt:variant>
      <vt:variant>
        <vt:i4>5</vt:i4>
      </vt:variant>
      <vt:variant>
        <vt:lpwstr>http://www.nevo.co.il/Law_word/law06/TAK-6278.pdf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העבירות המינהליות (קנס מינהלי - אגודות שיתופיות), תשס"ד-2003</vt:lpwstr>
  </property>
  <property fmtid="{D5CDD505-2E9C-101B-9397-08002B2CF9AE}" pid="4" name="LAWNUMBER">
    <vt:lpwstr>0229</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http://www.nevo.co.il/Law_word/law06/tak-6477.pdf;רשומות - תקנות כלליות#תוקנו ק"ת תשס"ו מס' 6477 #מיום 27.4.2006 #עמ' 729 #תק' תשס"ו-2006#תחילתן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אגודות שיתופיות</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עבירות</vt:lpwstr>
  </property>
  <property fmtid="{D5CDD505-2E9C-101B-9397-08002B2CF9AE}" pid="28" name="NOSE32">
    <vt:lpwstr>עבירות מינהליות</vt:lpwstr>
  </property>
  <property fmtid="{D5CDD505-2E9C-101B-9397-08002B2CF9AE}" pid="29" name="NOSE42">
    <vt:lpwstr>קנס מינהלי</vt:lpwstr>
  </property>
  <property fmtid="{D5CDD505-2E9C-101B-9397-08002B2CF9AE}" pid="30" name="NOSE13">
    <vt:lpwstr>בתי משפט וסדרי דין</vt:lpwstr>
  </property>
  <property fmtid="{D5CDD505-2E9C-101B-9397-08002B2CF9AE}" pid="31" name="NOSE23">
    <vt:lpwstr>סדר דין פלילי</vt:lpwstr>
  </property>
  <property fmtid="{D5CDD505-2E9C-101B-9397-08002B2CF9AE}" pid="32" name="NOSE33">
    <vt:lpwstr>עבירות מינהליות</vt:lpwstr>
  </property>
  <property fmtid="{D5CDD505-2E9C-101B-9397-08002B2CF9AE}" pid="33" name="NOSE43">
    <vt:lpwstr>קנס מינהלי</vt:lpwstr>
  </property>
  <property fmtid="{D5CDD505-2E9C-101B-9397-08002B2CF9AE}" pid="34" name="NOSE14">
    <vt:lpwstr>רשויות ומשפט מנהלי</vt:lpwstr>
  </property>
  <property fmtid="{D5CDD505-2E9C-101B-9397-08002B2CF9AE}" pid="35" name="NOSE24">
    <vt:lpwstr>עבירות מינהליות</vt:lpwstr>
  </property>
  <property fmtid="{D5CDD505-2E9C-101B-9397-08002B2CF9AE}" pid="36" name="NOSE34">
    <vt:lpwstr>קנס מינהלי</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העבירות המינהליות</vt:lpwstr>
  </property>
  <property fmtid="{D5CDD505-2E9C-101B-9397-08002B2CF9AE}" pid="63" name="MEKOR_SAIF1">
    <vt:lpwstr>1X;2X</vt:lpwstr>
  </property>
</Properties>
</file>