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542" w:rsidRDefault="00BC154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איסור פרסום מודעה מפלה בדבר הצעת עבודה), תשס"ב-2002</w:t>
      </w:r>
    </w:p>
    <w:p w:rsidR="00BC1542" w:rsidRPr="00BC1542" w:rsidRDefault="00BC1542" w:rsidP="00BC1542">
      <w:pPr>
        <w:spacing w:line="320" w:lineRule="auto"/>
        <w:rPr>
          <w:rFonts w:cs="FrankRuehl"/>
          <w:szCs w:val="26"/>
          <w:rtl/>
        </w:rPr>
      </w:pPr>
    </w:p>
    <w:p w:rsidR="00BC1542" w:rsidRDefault="00BC1542" w:rsidP="00BC1542">
      <w:pPr>
        <w:spacing w:line="320" w:lineRule="auto"/>
        <w:rPr>
          <w:rFonts w:cs="Miriam"/>
          <w:szCs w:val="22"/>
          <w:rtl/>
        </w:rPr>
      </w:pPr>
      <w:r w:rsidRPr="00BC1542">
        <w:rPr>
          <w:rFonts w:cs="Miriam"/>
          <w:szCs w:val="22"/>
          <w:rtl/>
        </w:rPr>
        <w:t>עבודה</w:t>
      </w:r>
      <w:r w:rsidRPr="00BC1542">
        <w:rPr>
          <w:rFonts w:cs="FrankRuehl"/>
          <w:szCs w:val="26"/>
          <w:rtl/>
        </w:rPr>
        <w:t xml:space="preserve"> – שוויון בעבודה</w:t>
      </w:r>
    </w:p>
    <w:p w:rsidR="00BC1542" w:rsidRDefault="00BC1542" w:rsidP="00BC1542">
      <w:pPr>
        <w:spacing w:line="320" w:lineRule="auto"/>
        <w:rPr>
          <w:rFonts w:cs="Miriam"/>
          <w:szCs w:val="22"/>
          <w:rtl/>
        </w:rPr>
      </w:pPr>
      <w:r w:rsidRPr="00BC1542">
        <w:rPr>
          <w:rFonts w:cs="Miriam"/>
          <w:szCs w:val="22"/>
          <w:rtl/>
        </w:rPr>
        <w:t>עונשין ומשפט פלילי</w:t>
      </w:r>
      <w:r w:rsidRPr="00BC1542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BC1542" w:rsidRDefault="00BC1542" w:rsidP="00BC1542">
      <w:pPr>
        <w:spacing w:line="320" w:lineRule="auto"/>
        <w:rPr>
          <w:rFonts w:cs="Miriam"/>
          <w:szCs w:val="22"/>
          <w:rtl/>
        </w:rPr>
      </w:pPr>
      <w:r w:rsidRPr="00BC1542">
        <w:rPr>
          <w:rFonts w:cs="Miriam"/>
          <w:szCs w:val="22"/>
          <w:rtl/>
        </w:rPr>
        <w:t>בתי משפט וסדרי דין</w:t>
      </w:r>
      <w:r w:rsidRPr="00BC1542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:rsidR="00BC1542" w:rsidRPr="00BC1542" w:rsidRDefault="00BC1542" w:rsidP="00BC1542">
      <w:pPr>
        <w:spacing w:line="320" w:lineRule="auto"/>
        <w:rPr>
          <w:rFonts w:cs="Miriam" w:hint="cs"/>
          <w:szCs w:val="22"/>
          <w:rtl/>
        </w:rPr>
      </w:pPr>
      <w:r w:rsidRPr="00BC1542">
        <w:rPr>
          <w:rFonts w:cs="Miriam"/>
          <w:szCs w:val="22"/>
          <w:rtl/>
        </w:rPr>
        <w:t>רשויות ומשפט מנהלי</w:t>
      </w:r>
      <w:r w:rsidRPr="00BC1542">
        <w:rPr>
          <w:rFonts w:cs="FrankRuehl"/>
          <w:szCs w:val="26"/>
          <w:rtl/>
        </w:rPr>
        <w:t xml:space="preserve"> – עבירות מינהליות – קנס מינהלי</w:t>
      </w:r>
    </w:p>
    <w:p w:rsidR="00BC1542" w:rsidRDefault="00BC154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28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2881" w:rsidRDefault="00034A37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:rsidR="00DE2881" w:rsidRDefault="00DE2881">
            <w:hyperlink w:anchor="Seif0" w:tooltip="עבירה מינהל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2881" w:rsidRDefault="00DE2881">
            <w:pPr>
              <w:rPr>
                <w:rtl/>
              </w:rPr>
            </w:pPr>
            <w:r>
              <w:rPr>
                <w:rtl/>
              </w:rPr>
              <w:t>עבירה מינהלית</w:t>
            </w:r>
          </w:p>
        </w:tc>
        <w:tc>
          <w:tcPr>
            <w:tcW w:w="1247" w:type="dxa"/>
          </w:tcPr>
          <w:p w:rsidR="00DE2881" w:rsidRDefault="00DE2881">
            <w:r>
              <w:rPr>
                <w:rtl/>
              </w:rPr>
              <w:t xml:space="preserve">סעיף 1 </w:t>
            </w:r>
          </w:p>
        </w:tc>
      </w:tr>
      <w:tr w:rsidR="00DE28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2881" w:rsidRDefault="00034A37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:rsidR="00DE2881" w:rsidRDefault="00DE2881">
            <w:hyperlink w:anchor="Seif1" w:tooltip="קנס מינהלי קצו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2881" w:rsidRDefault="00DE2881">
            <w:pPr>
              <w:rPr>
                <w:rtl/>
              </w:rPr>
            </w:pPr>
            <w:r>
              <w:rPr>
                <w:rtl/>
              </w:rPr>
              <w:t>קנס מינהלי קצוב</w:t>
            </w:r>
          </w:p>
        </w:tc>
        <w:tc>
          <w:tcPr>
            <w:tcW w:w="1247" w:type="dxa"/>
          </w:tcPr>
          <w:p w:rsidR="00DE2881" w:rsidRDefault="00DE2881">
            <w:r>
              <w:rPr>
                <w:rtl/>
              </w:rPr>
              <w:t xml:space="preserve">סעיף 2 </w:t>
            </w:r>
          </w:p>
        </w:tc>
      </w:tr>
      <w:tr w:rsidR="00DE28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2881" w:rsidRDefault="00034A37">
            <w:pPr>
              <w:rPr>
                <w:rFonts w:hint="cs"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67" w:type="dxa"/>
          </w:tcPr>
          <w:p w:rsidR="00DE2881" w:rsidRDefault="00DE2881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2881" w:rsidRDefault="00DE2881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DE2881" w:rsidRDefault="00DE2881">
            <w:r>
              <w:rPr>
                <w:rtl/>
              </w:rPr>
              <w:t xml:space="preserve">סעיף 3 </w:t>
            </w:r>
          </w:p>
        </w:tc>
      </w:tr>
    </w:tbl>
    <w:p w:rsidR="00BC1542" w:rsidRDefault="00BC1542" w:rsidP="00BC1542">
      <w:pPr>
        <w:pStyle w:val="big-header"/>
        <w:ind w:left="0" w:right="1134"/>
        <w:rPr>
          <w:rFonts w:cs="FrankRuehl"/>
          <w:sz w:val="32"/>
          <w:rtl/>
        </w:rPr>
      </w:pPr>
    </w:p>
    <w:p w:rsidR="00BC1542" w:rsidRDefault="00BC1542" w:rsidP="00BC154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איסור פרסום מודעה מפלה בדבר הצעת עבודה), תשס"ב-2002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E2881" w:rsidRDefault="00DE28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סעיפים 1 ו-2 לחוק העבירות המינהליות, התשמ"ו-1986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בהסכמת שר העבודה והרווחה </w:t>
      </w:r>
      <w:r>
        <w:rPr>
          <w:rStyle w:val="default"/>
          <w:rFonts w:cs="FrankRuehl"/>
          <w:rtl/>
        </w:rPr>
        <w:t xml:space="preserve">ובאישור ועדת </w:t>
      </w:r>
      <w:r>
        <w:rPr>
          <w:rStyle w:val="default"/>
          <w:rFonts w:cs="FrankRuehl" w:hint="cs"/>
          <w:rtl/>
        </w:rPr>
        <w:t>החוקה חוק ומשפט</w:t>
      </w:r>
      <w:r>
        <w:rPr>
          <w:rStyle w:val="default"/>
          <w:rFonts w:cs="FrankRuehl"/>
          <w:rtl/>
        </w:rPr>
        <w:t xml:space="preserve"> של הכנסת, 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:rsidR="00DE2881" w:rsidRDefault="00DE2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0pt;z-index:251656704" o:allowincell="f" filled="f" stroked="f" strokecolor="lime" strokeweight=".25pt">
            <v:textbox inset="0,0,0,0">
              <w:txbxContent>
                <w:p w:rsidR="00DE2881" w:rsidRDefault="00DE288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עבירה על הוראת סעיף 8 לחוק שוויון ההזדמנויות בעבודה, התשמ"ח-1988, היא עבירה מינהלית.</w:t>
      </w:r>
    </w:p>
    <w:p w:rsidR="00DE2881" w:rsidRDefault="00DE2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32" style="position:absolute;left:0;text-align:left;margin-left:464.5pt;margin-top:8.05pt;width:75.05pt;height:11.1pt;z-index:251657728" o:allowincell="f" filled="f" stroked="f" strokecolor="lime" strokeweight=".25pt">
            <v:textbox style="mso-next-textbox:#_x0000_s1032" inset="0,0,0,0">
              <w:txbxContent>
                <w:p w:rsidR="00DE2881" w:rsidRDefault="00DE288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לעבירה מינהלית כאמור בתקנה 1 יהיה קנס מינהלי קצוב בסכום של 2,500 שקלים חדשים.</w:t>
      </w:r>
    </w:p>
    <w:p w:rsidR="00DE2881" w:rsidRDefault="00DE2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הקנס המינהלי הקצוב לעבירה מינהלית נמשכת יהיה קנס בשיעור החלק החמישים של הקנס האמור בתקנת משנה (א) לכל יום שבו נמשכת  העבירה לאחר שנמסרה ההודעה על הטלת הקנס המינהלית.</w:t>
      </w:r>
    </w:p>
    <w:p w:rsidR="00DE2881" w:rsidRDefault="00DE2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הקנס המינהלי הקצוב לעבירה מינהלית חוזרת יהיה כפל הקנס האמור בתקנת משנה (א); לענין זה, "עבירה מינהלית חוזרת"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כקבוע בתקנה 1(א)(2) לתקנות העבירות המינהליות, התשמ"ו-1986.</w:t>
      </w:r>
    </w:p>
    <w:p w:rsidR="00DE2881" w:rsidRDefault="00DE28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036" style="position:absolute;left:0;text-align:left;margin-left:464.5pt;margin-top:8.05pt;width:75.05pt;height:17.15pt;z-index:251658752" o:allowincell="f" filled="f" stroked="f" strokecolor="lime" strokeweight=".25pt">
            <v:textbox style="mso-next-textbox:#_x0000_s1036" inset="0,0,0,0">
              <w:txbxContent>
                <w:p w:rsidR="00DE2881" w:rsidRDefault="00DE288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תחילתן של תקנות אלה שלושים ימים מיום פרסומן.</w:t>
      </w:r>
    </w:p>
    <w:p w:rsidR="00DE2881" w:rsidRDefault="00DE2881">
      <w:pPr>
        <w:pStyle w:val="page"/>
        <w:widowControl/>
        <w:tabs>
          <w:tab w:val="left" w:pos="4536"/>
        </w:tabs>
        <w:ind w:right="1134"/>
        <w:rPr>
          <w:rStyle w:val="default"/>
          <w:rFonts w:cs="FrankRuehl" w:hint="cs"/>
          <w:position w:val="0"/>
          <w:rtl/>
        </w:rPr>
      </w:pPr>
    </w:p>
    <w:p w:rsidR="00DE2881" w:rsidRDefault="00DE2881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DE2881" w:rsidRDefault="00DE2881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:rsidR="00DE2881" w:rsidRDefault="00DE2881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בסיון התשס"ב (23 במאי 2002)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מאיר שטרית</w:t>
      </w:r>
    </w:p>
    <w:p w:rsidR="00DE2881" w:rsidRDefault="00DE288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DE2881" w:rsidRDefault="00DE2881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DE2881" w:rsidRDefault="00DE2881">
      <w:pPr>
        <w:pStyle w:val="sig-1"/>
        <w:widowControl/>
        <w:ind w:left="0" w:right="1134"/>
        <w:rPr>
          <w:rFonts w:cs="FrankRuehl"/>
          <w:sz w:val="22"/>
          <w:rtl/>
        </w:rPr>
      </w:pPr>
    </w:p>
    <w:sectPr w:rsidR="00DE288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7EED" w:rsidRDefault="00097EED">
      <w:r>
        <w:separator/>
      </w:r>
    </w:p>
  </w:endnote>
  <w:endnote w:type="continuationSeparator" w:id="0">
    <w:p w:rsidR="00097EED" w:rsidRDefault="0009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881" w:rsidRDefault="00DE288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2881" w:rsidRDefault="00DE288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2881" w:rsidRDefault="00DE288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G:\Nevo\Laws\999_018.doc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881" w:rsidRDefault="00DE288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11B0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E2881" w:rsidRDefault="00DE288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E2881" w:rsidRDefault="00DE288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G:\Nevo\Laws\999_018.doc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7EED" w:rsidRDefault="00097EED">
      <w:r>
        <w:separator/>
      </w:r>
    </w:p>
  </w:footnote>
  <w:footnote w:type="continuationSeparator" w:id="0">
    <w:p w:rsidR="00097EED" w:rsidRDefault="00097EED">
      <w:r>
        <w:continuationSeparator/>
      </w:r>
    </w:p>
  </w:footnote>
  <w:footnote w:id="1">
    <w:p w:rsidR="00BC1542" w:rsidRDefault="00BC1542" w:rsidP="00BC15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9923D3">
          <w:rPr>
            <w:rStyle w:val="Hyperlink"/>
            <w:rFonts w:cs="FrankRuehl" w:hint="cs"/>
            <w:rtl/>
          </w:rPr>
          <w:t>ק"ת תשס"ב מס' 6172</w:t>
        </w:r>
      </w:hyperlink>
      <w:r>
        <w:rPr>
          <w:rFonts w:cs="FrankRuehl" w:hint="cs"/>
          <w:rtl/>
        </w:rPr>
        <w:t xml:space="preserve"> מיום 5.6.2002 עמ' 779.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881" w:rsidRDefault="00DE288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E2881" w:rsidRDefault="00DE28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2881" w:rsidRDefault="00DE28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2881" w:rsidRDefault="00DE288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איסור פרסום מודעה מפלה בדבר הצעת עבודה), תשס"ב-2002</w:t>
    </w:r>
  </w:p>
  <w:p w:rsidR="00DE2881" w:rsidRDefault="00DE28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2881" w:rsidRDefault="00DE288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6222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542"/>
    <w:rsid w:val="00034A37"/>
    <w:rsid w:val="00097EED"/>
    <w:rsid w:val="001B685E"/>
    <w:rsid w:val="009923D3"/>
    <w:rsid w:val="00A11B06"/>
    <w:rsid w:val="00A321C4"/>
    <w:rsid w:val="00BC1542"/>
    <w:rsid w:val="00C92999"/>
    <w:rsid w:val="00CA50F4"/>
    <w:rsid w:val="00DE2881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946388D-AFF3-4B68-A2DE-0F80A49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1399</CharactersWithSpaces>
  <SharedDoc>false</SharedDoc>
  <HLinks>
    <vt:vector size="24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שני ליימן 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העבירות המינהליות (קנס מינהלי - איסור פרסום מודעה מפלה בדבר הצעת עבודה), תשס"ב-2002</vt:lpwstr>
  </property>
  <property fmtid="{D5CDD505-2E9C-101B-9397-08002B2CF9AE}" pid="4" name="LAWNUMBER">
    <vt:lpwstr>0018</vt:lpwstr>
  </property>
  <property fmtid="{D5CDD505-2E9C-101B-9397-08002B2CF9AE}" pid="5" name="TYPE">
    <vt:lpwstr>01</vt:lpwstr>
  </property>
  <property fmtid="{D5CDD505-2E9C-101B-9397-08002B2CF9AE}" pid="6" name="NOSE11">
    <vt:lpwstr>עבודה</vt:lpwstr>
  </property>
  <property fmtid="{D5CDD505-2E9C-101B-9397-08002B2CF9AE}" pid="7" name="NOSE21">
    <vt:lpwstr>שוויון בעבודה</vt:lpwstr>
  </property>
  <property fmtid="{D5CDD505-2E9C-101B-9397-08002B2CF9AE}" pid="8" name="NOSE31">
    <vt:lpwstr/>
  </property>
  <property fmtid="{D5CDD505-2E9C-101B-9397-08002B2CF9AE}" pid="9" name="NOSE41">
    <vt:lpwstr/>
  </property>
  <property fmtid="{D5CDD505-2E9C-101B-9397-08002B2CF9AE}" pid="10" name="NOSE12">
    <vt:lpwstr>עונשין ומשפט פלילי</vt:lpwstr>
  </property>
  <property fmtid="{D5CDD505-2E9C-101B-9397-08002B2CF9AE}" pid="11" name="NOSE22">
    <vt:lpwstr>עבירות</vt:lpwstr>
  </property>
  <property fmtid="{D5CDD505-2E9C-101B-9397-08002B2CF9AE}" pid="12" name="NOSE32">
    <vt:lpwstr>עבירות מינהליות</vt:lpwstr>
  </property>
  <property fmtid="{D5CDD505-2E9C-101B-9397-08002B2CF9AE}" pid="13" name="NOSE42">
    <vt:lpwstr>קנס מינהלי</vt:lpwstr>
  </property>
  <property fmtid="{D5CDD505-2E9C-101B-9397-08002B2CF9AE}" pid="14" name="NOSE13">
    <vt:lpwstr>בתי משפט וסדרי דין</vt:lpwstr>
  </property>
  <property fmtid="{D5CDD505-2E9C-101B-9397-08002B2CF9AE}" pid="15" name="NOSE23">
    <vt:lpwstr>סדר דין פלילי</vt:lpwstr>
  </property>
  <property fmtid="{D5CDD505-2E9C-101B-9397-08002B2CF9AE}" pid="16" name="NOSE33">
    <vt:lpwstr>עבירות מינהליות</vt:lpwstr>
  </property>
  <property fmtid="{D5CDD505-2E9C-101B-9397-08002B2CF9AE}" pid="17" name="NOSE43">
    <vt:lpwstr>קנס מינהלי</vt:lpwstr>
  </property>
  <property fmtid="{D5CDD505-2E9C-101B-9397-08002B2CF9AE}" pid="18" name="NOSE14">
    <vt:lpwstr>רשויות ומשפט מנהלי</vt:lpwstr>
  </property>
  <property fmtid="{D5CDD505-2E9C-101B-9397-08002B2CF9AE}" pid="19" name="NOSE24">
    <vt:lpwstr>עבירות מינהליות</vt:lpwstr>
  </property>
  <property fmtid="{D5CDD505-2E9C-101B-9397-08002B2CF9AE}" pid="20" name="NOSE34">
    <vt:lpwstr>קנס מינהלי</vt:lpwstr>
  </property>
  <property fmtid="{D5CDD505-2E9C-101B-9397-08002B2CF9AE}" pid="21" name="NOSE44">
    <vt:lpwstr/>
  </property>
  <property fmtid="{D5CDD505-2E9C-101B-9397-08002B2CF9AE}" pid="22" name="NOSE15">
    <vt:lpwstr/>
  </property>
  <property fmtid="{D5CDD505-2E9C-101B-9397-08002B2CF9AE}" pid="23" name="NOSE25">
    <vt:lpwstr/>
  </property>
  <property fmtid="{D5CDD505-2E9C-101B-9397-08002B2CF9AE}" pid="24" name="NOSE35">
    <vt:lpwstr/>
  </property>
  <property fmtid="{D5CDD505-2E9C-101B-9397-08002B2CF9AE}" pid="25" name="NOSE45">
    <vt:lpwstr/>
  </property>
  <property fmtid="{D5CDD505-2E9C-101B-9397-08002B2CF9AE}" pid="26" name="NOSE16">
    <vt:lpwstr/>
  </property>
  <property fmtid="{D5CDD505-2E9C-101B-9397-08002B2CF9AE}" pid="27" name="NOSE26">
    <vt:lpwstr/>
  </property>
  <property fmtid="{D5CDD505-2E9C-101B-9397-08002B2CF9AE}" pid="28" name="NOSE36">
    <vt:lpwstr/>
  </property>
  <property fmtid="{D5CDD505-2E9C-101B-9397-08002B2CF9AE}" pid="29" name="NOSE46">
    <vt:lpwstr/>
  </property>
  <property fmtid="{D5CDD505-2E9C-101B-9397-08002B2CF9AE}" pid="30" name="NOSE17">
    <vt:lpwstr/>
  </property>
  <property fmtid="{D5CDD505-2E9C-101B-9397-08002B2CF9AE}" pid="31" name="NOSE27">
    <vt:lpwstr/>
  </property>
  <property fmtid="{D5CDD505-2E9C-101B-9397-08002B2CF9AE}" pid="32" name="NOSE37">
    <vt:lpwstr/>
  </property>
  <property fmtid="{D5CDD505-2E9C-101B-9397-08002B2CF9AE}" pid="33" name="NOSE47">
    <vt:lpwstr/>
  </property>
  <property fmtid="{D5CDD505-2E9C-101B-9397-08002B2CF9AE}" pid="34" name="NOSE18">
    <vt:lpwstr/>
  </property>
  <property fmtid="{D5CDD505-2E9C-101B-9397-08002B2CF9AE}" pid="35" name="NOSE28">
    <vt:lpwstr/>
  </property>
  <property fmtid="{D5CDD505-2E9C-101B-9397-08002B2CF9AE}" pid="36" name="NOSE38">
    <vt:lpwstr/>
  </property>
  <property fmtid="{D5CDD505-2E9C-101B-9397-08002B2CF9AE}" pid="37" name="NOSE48">
    <vt:lpwstr/>
  </property>
  <property fmtid="{D5CDD505-2E9C-101B-9397-08002B2CF9AE}" pid="38" name="NOSE19">
    <vt:lpwstr/>
  </property>
  <property fmtid="{D5CDD505-2E9C-101B-9397-08002B2CF9AE}" pid="39" name="NOSE29">
    <vt:lpwstr/>
  </property>
  <property fmtid="{D5CDD505-2E9C-101B-9397-08002B2CF9AE}" pid="40" name="NOSE39">
    <vt:lpwstr/>
  </property>
  <property fmtid="{D5CDD505-2E9C-101B-9397-08002B2CF9AE}" pid="41" name="NOSE49">
    <vt:lpwstr/>
  </property>
  <property fmtid="{D5CDD505-2E9C-101B-9397-08002B2CF9AE}" pid="42" name="NOSE110">
    <vt:lpwstr/>
  </property>
  <property fmtid="{D5CDD505-2E9C-101B-9397-08002B2CF9AE}" pid="43" name="NOSE210">
    <vt:lpwstr/>
  </property>
  <property fmtid="{D5CDD505-2E9C-101B-9397-08002B2CF9AE}" pid="44" name="NOSE310">
    <vt:lpwstr/>
  </property>
  <property fmtid="{D5CDD505-2E9C-101B-9397-08002B2CF9AE}" pid="45" name="NOSE410">
    <vt:lpwstr/>
  </property>
  <property fmtid="{D5CDD505-2E9C-101B-9397-08002B2CF9AE}" pid="46" name="MEKOR_NAME1">
    <vt:lpwstr>חוק העבירות המינהליות</vt:lpwstr>
  </property>
  <property fmtid="{D5CDD505-2E9C-101B-9397-08002B2CF9AE}" pid="47" name="MEKOR_SAIF1">
    <vt:lpwstr>1X;2X</vt:lpwstr>
  </property>
</Properties>
</file>