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C4FF" w14:textId="77777777" w:rsidR="00846296" w:rsidRDefault="00846296" w:rsidP="004B70E8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העבירות המינהליות (קנס מינהלי </w:t>
      </w:r>
      <w:r w:rsidR="004B70E8">
        <w:rPr>
          <w:rtl/>
        </w:rPr>
        <w:t>–</w:t>
      </w:r>
      <w:r>
        <w:rPr>
          <w:rtl/>
        </w:rPr>
        <w:t xml:space="preserve"> ב</w:t>
      </w:r>
      <w:r w:rsidR="004B70E8">
        <w:rPr>
          <w:rtl/>
        </w:rPr>
        <w:t>טיחות בעבודה), תשנ"ו</w:t>
      </w:r>
      <w:r w:rsidR="004B70E8">
        <w:rPr>
          <w:rFonts w:hint="cs"/>
          <w:rtl/>
        </w:rPr>
        <w:t>-</w:t>
      </w:r>
      <w:r>
        <w:rPr>
          <w:rtl/>
        </w:rPr>
        <w:t>1995</w:t>
      </w:r>
    </w:p>
    <w:p w14:paraId="1E4330D9" w14:textId="77777777" w:rsidR="00F4539F" w:rsidRDefault="00F4539F" w:rsidP="00F4539F">
      <w:pPr>
        <w:spacing w:line="320" w:lineRule="auto"/>
        <w:jc w:val="left"/>
        <w:rPr>
          <w:rtl/>
        </w:rPr>
      </w:pPr>
    </w:p>
    <w:p w14:paraId="12B5AFE1" w14:textId="77777777" w:rsidR="00F4539F" w:rsidRDefault="00F4539F" w:rsidP="00F4539F">
      <w:pPr>
        <w:spacing w:line="320" w:lineRule="auto"/>
        <w:jc w:val="left"/>
        <w:rPr>
          <w:rFonts w:cs="Miriam"/>
          <w:szCs w:val="22"/>
          <w:rtl/>
        </w:rPr>
      </w:pPr>
      <w:r w:rsidRPr="00F4539F">
        <w:rPr>
          <w:rFonts w:cs="Miriam"/>
          <w:szCs w:val="22"/>
          <w:rtl/>
        </w:rPr>
        <w:t>עבודה</w:t>
      </w:r>
      <w:r w:rsidRPr="00F4539F">
        <w:rPr>
          <w:rFonts w:cs="FrankRuehl"/>
          <w:szCs w:val="26"/>
          <w:rtl/>
        </w:rPr>
        <w:t xml:space="preserve"> – בטיחות בעבודה</w:t>
      </w:r>
    </w:p>
    <w:p w14:paraId="5F29034F" w14:textId="77777777" w:rsidR="00F4539F" w:rsidRDefault="00F4539F" w:rsidP="00F4539F">
      <w:pPr>
        <w:spacing w:line="320" w:lineRule="auto"/>
        <w:jc w:val="left"/>
        <w:rPr>
          <w:rFonts w:cs="Miriam"/>
          <w:szCs w:val="22"/>
          <w:rtl/>
        </w:rPr>
      </w:pPr>
      <w:r w:rsidRPr="00F4539F">
        <w:rPr>
          <w:rFonts w:cs="Miriam"/>
          <w:szCs w:val="22"/>
          <w:rtl/>
        </w:rPr>
        <w:t>עונשין ומשפט פלילי</w:t>
      </w:r>
      <w:r w:rsidRPr="00F4539F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4370CCDC" w14:textId="77777777" w:rsidR="00F4539F" w:rsidRDefault="00F4539F" w:rsidP="00F4539F">
      <w:pPr>
        <w:spacing w:line="320" w:lineRule="auto"/>
        <w:jc w:val="left"/>
        <w:rPr>
          <w:rFonts w:cs="Miriam"/>
          <w:szCs w:val="22"/>
          <w:rtl/>
        </w:rPr>
      </w:pPr>
      <w:r w:rsidRPr="00F4539F">
        <w:rPr>
          <w:rFonts w:cs="Miriam"/>
          <w:szCs w:val="22"/>
          <w:rtl/>
        </w:rPr>
        <w:t>בתי משפט וסדרי דין</w:t>
      </w:r>
      <w:r w:rsidRPr="00F4539F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596FE19F" w14:textId="77777777" w:rsidR="00F4539F" w:rsidRPr="00F4539F" w:rsidRDefault="00F4539F" w:rsidP="00F4539F">
      <w:pPr>
        <w:spacing w:line="320" w:lineRule="auto"/>
        <w:jc w:val="left"/>
        <w:rPr>
          <w:rFonts w:cs="Miriam" w:hint="cs"/>
          <w:szCs w:val="22"/>
          <w:rtl/>
        </w:rPr>
      </w:pPr>
      <w:r w:rsidRPr="00F4539F">
        <w:rPr>
          <w:rFonts w:cs="Miriam"/>
          <w:szCs w:val="22"/>
          <w:rtl/>
        </w:rPr>
        <w:t>רשויות ומשפט מנהלי</w:t>
      </w:r>
      <w:r w:rsidRPr="00F4539F">
        <w:rPr>
          <w:rFonts w:cs="FrankRuehl"/>
          <w:szCs w:val="26"/>
          <w:rtl/>
        </w:rPr>
        <w:t xml:space="preserve"> – עבירות מינהליות – קנס מינהלי</w:t>
      </w:r>
    </w:p>
    <w:p w14:paraId="342F7877" w14:textId="77777777" w:rsidR="00846296" w:rsidRDefault="0084629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46296" w14:paraId="601D174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2D2FB2" w14:textId="77777777" w:rsidR="00846296" w:rsidRDefault="008462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70E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8B7790" w14:textId="77777777" w:rsidR="00846296" w:rsidRDefault="00846296">
            <w:pPr>
              <w:spacing w:line="240" w:lineRule="auto"/>
              <w:rPr>
                <w:sz w:val="24"/>
              </w:rPr>
            </w:pPr>
            <w:hyperlink w:anchor="Seif0" w:tooltip="עבירה מינה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76961E" w14:textId="77777777" w:rsidR="00846296" w:rsidRDefault="008462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עבירה מינהלית</w:t>
            </w:r>
          </w:p>
        </w:tc>
        <w:tc>
          <w:tcPr>
            <w:tcW w:w="1247" w:type="dxa"/>
          </w:tcPr>
          <w:p w14:paraId="2969EFB1" w14:textId="77777777" w:rsidR="00846296" w:rsidRDefault="008462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46296" w14:paraId="7BD1842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7126DDC" w14:textId="77777777" w:rsidR="00846296" w:rsidRDefault="008462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70E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0D68CF" w14:textId="77777777" w:rsidR="00846296" w:rsidRDefault="00846296">
            <w:pPr>
              <w:spacing w:line="240" w:lineRule="auto"/>
              <w:rPr>
                <w:sz w:val="24"/>
              </w:rPr>
            </w:pPr>
            <w:hyperlink w:anchor="Seif1" w:tooltip="קנס מינהלי קצ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7ACFE1" w14:textId="77777777" w:rsidR="00846296" w:rsidRDefault="008462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קנס מינהלי קצוב</w:t>
            </w:r>
          </w:p>
        </w:tc>
        <w:tc>
          <w:tcPr>
            <w:tcW w:w="1247" w:type="dxa"/>
          </w:tcPr>
          <w:p w14:paraId="0C8595D3" w14:textId="77777777" w:rsidR="00846296" w:rsidRDefault="008462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46296" w14:paraId="2637818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C70D4E" w14:textId="77777777" w:rsidR="00846296" w:rsidRDefault="008462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70E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56340B" w14:textId="77777777" w:rsidR="00846296" w:rsidRDefault="00846296">
            <w:pPr>
              <w:spacing w:line="240" w:lineRule="auto"/>
              <w:rPr>
                <w:sz w:val="24"/>
              </w:rPr>
            </w:pPr>
            <w:hyperlink w:anchor="Seif2" w:tooltip="עבירה מינהלית חוז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174125" w14:textId="77777777" w:rsidR="00846296" w:rsidRDefault="008462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עבירה מינהלית חוזרת</w:t>
            </w:r>
          </w:p>
        </w:tc>
        <w:tc>
          <w:tcPr>
            <w:tcW w:w="1247" w:type="dxa"/>
          </w:tcPr>
          <w:p w14:paraId="572AF64B" w14:textId="77777777" w:rsidR="00846296" w:rsidRDefault="008462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46296" w14:paraId="15F2E4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70C932" w14:textId="77777777" w:rsidR="00846296" w:rsidRDefault="008462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70E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E36300" w14:textId="77777777" w:rsidR="00846296" w:rsidRDefault="00846296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59B6B1" w14:textId="77777777" w:rsidR="00846296" w:rsidRDefault="008462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DC266EA" w14:textId="77777777" w:rsidR="00846296" w:rsidRDefault="008462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46296" w14:paraId="57E1E9E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41F109" w14:textId="77777777" w:rsidR="00846296" w:rsidRDefault="008462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70E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C8B372" w14:textId="77777777" w:rsidR="00846296" w:rsidRDefault="0084629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98F9B3" w14:textId="77777777" w:rsidR="00846296" w:rsidRDefault="008462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43B02756" w14:textId="77777777" w:rsidR="00846296" w:rsidRDefault="00846296">
            <w:pPr>
              <w:spacing w:line="240" w:lineRule="auto"/>
              <w:rPr>
                <w:sz w:val="24"/>
              </w:rPr>
            </w:pPr>
          </w:p>
        </w:tc>
      </w:tr>
    </w:tbl>
    <w:p w14:paraId="10D63C33" w14:textId="77777777" w:rsidR="00846296" w:rsidRDefault="00846296">
      <w:pPr>
        <w:pStyle w:val="big-header"/>
        <w:ind w:left="0" w:right="1134"/>
        <w:rPr>
          <w:rtl/>
        </w:rPr>
      </w:pPr>
    </w:p>
    <w:p w14:paraId="05D033BE" w14:textId="77777777" w:rsidR="00846296" w:rsidRDefault="00846296" w:rsidP="004B70E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העבירות המינהליות (קנס מינהלי </w:t>
      </w:r>
      <w:r w:rsidR="004B70E8">
        <w:rPr>
          <w:rtl/>
        </w:rPr>
        <w:t>–</w:t>
      </w:r>
      <w:r>
        <w:rPr>
          <w:rFonts w:hint="cs"/>
          <w:rtl/>
        </w:rPr>
        <w:t xml:space="preserve"> בטיחות בעבודה), תשנ"ו</w:t>
      </w:r>
      <w:r w:rsidR="004B70E8">
        <w:rPr>
          <w:rFonts w:hint="cs"/>
          <w:rtl/>
        </w:rPr>
        <w:t>-</w:t>
      </w:r>
      <w:r>
        <w:rPr>
          <w:rFonts w:hint="cs"/>
          <w:rtl/>
        </w:rPr>
        <w:t>1995</w:t>
      </w:r>
      <w:r w:rsidR="004B70E8">
        <w:rPr>
          <w:rStyle w:val="a6"/>
          <w:rtl/>
        </w:rPr>
        <w:footnoteReference w:customMarkFollows="1" w:id="1"/>
        <w:t>*</w:t>
      </w:r>
    </w:p>
    <w:p w14:paraId="1F5DB0E1" w14:textId="77777777" w:rsidR="00846296" w:rsidRDefault="00846296" w:rsidP="004B70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 ו-2 לחוק העבירות המינהליות,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תשמ"ו</w:t>
      </w:r>
      <w:r w:rsidR="004B70E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1985 (להלן </w:t>
      </w:r>
      <w:r w:rsidR="004B70E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בהסכמת שר העבודה והרווחה ובאישור ועדת החוקה, חוק ומשפט של הכנסת, אני מתקין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אלה:</w:t>
      </w:r>
    </w:p>
    <w:p w14:paraId="68576BB2" w14:textId="77777777" w:rsidR="00846296" w:rsidRDefault="00846296" w:rsidP="004B70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1AEE3D3">
          <v:rect id="_x0000_s1026" style="position:absolute;left:0;text-align:left;margin-left:464.5pt;margin-top:8.05pt;width:75.05pt;height:12.05pt;z-index:251656192" o:allowincell="f" filled="f" stroked="f" strokecolor="lime" strokeweight=".25pt">
            <v:textbox inset="0,0,0,0">
              <w:txbxContent>
                <w:p w14:paraId="3FB0DDF8" w14:textId="77777777" w:rsidR="00846296" w:rsidRDefault="0084629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סעיף מן המפורטים בטור ב' בתוספת, שבחיקוק מן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המפורטים בטור א' לצדו, היא עבירה מינהלית.</w:t>
      </w:r>
    </w:p>
    <w:p w14:paraId="7CCB8232" w14:textId="77777777" w:rsidR="00846296" w:rsidRDefault="008462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D66DCFC">
          <v:rect id="_x0000_s1027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605B83ED" w14:textId="77777777" w:rsidR="00846296" w:rsidRDefault="00846296" w:rsidP="004B70E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נס מינהלי</w:t>
                  </w:r>
                  <w:r w:rsidR="004B70E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עבירה מינהלית כאמור בתקנה 1 יהיה קנס מינהלי קצוב כקבוע לצדה בטור ג' בתוספת.</w:t>
      </w:r>
    </w:p>
    <w:p w14:paraId="264EC601" w14:textId="77777777" w:rsidR="00846296" w:rsidRDefault="00846296" w:rsidP="004B70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E388663">
          <v:rect id="_x0000_s1028" style="position:absolute;left:0;text-align:left;margin-left:464.5pt;margin-top:8.05pt;width:75.05pt;height:20.8pt;z-index:251658240" o:allowincell="f" filled="f" stroked="f" strokecolor="lime" strokeweight=".25pt">
            <v:textbox inset="0,0,0,0">
              <w:txbxContent>
                <w:p w14:paraId="21014BC1" w14:textId="77777777" w:rsidR="00846296" w:rsidRDefault="0084629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בירה מינה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ית חוזרת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קנס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הקבוע לעבירה מינהלית חוזרת יהיה כפל הקנס המינהלי הקבוע לעבירה המינהלית; לעניין זה, "עבירה מינהלית חוזרת" </w:t>
      </w:r>
      <w:r w:rsidR="004B70E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כאמור בתקנה 1(א)(2) לתקנות העבירות המינהליות, תשמ"ו</w:t>
      </w:r>
      <w:r w:rsidR="004B70E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1986.</w:t>
      </w:r>
    </w:p>
    <w:p w14:paraId="370EE85C" w14:textId="77777777" w:rsidR="00846296" w:rsidRDefault="008462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598871CF">
          <v:rect id="_x0000_s1029" style="position:absolute;left:0;text-align:left;margin-left:464.5pt;margin-top:8.05pt;width:75.05pt;height:12.15pt;z-index:251659264" o:allowincell="f" filled="f" stroked="f" strokecolor="lime" strokeweight=".25pt">
            <v:textbox inset="0,0,0,0">
              <w:txbxContent>
                <w:p w14:paraId="7D0DB831" w14:textId="77777777" w:rsidR="00846296" w:rsidRDefault="0084629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אלה, לרבות לעניין סעיף 32 לחוק, שלושים ימים מיום פרסומן.</w:t>
      </w:r>
    </w:p>
    <w:p w14:paraId="51F4DCA6" w14:textId="77777777" w:rsidR="004B70E8" w:rsidRDefault="004B70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C1B43B" w14:textId="77777777" w:rsidR="00846296" w:rsidRPr="004B70E8" w:rsidRDefault="0084629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4" w:name="med0"/>
      <w:bookmarkEnd w:id="4"/>
      <w:r w:rsidRPr="004B70E8">
        <w:rPr>
          <w:noProof/>
          <w:sz w:val="26"/>
          <w:szCs w:val="26"/>
          <w:rtl/>
        </w:rPr>
        <w:t>ת</w:t>
      </w:r>
      <w:r w:rsidRPr="004B70E8">
        <w:rPr>
          <w:rFonts w:hint="cs"/>
          <w:noProof/>
          <w:sz w:val="26"/>
          <w:szCs w:val="26"/>
          <w:rtl/>
        </w:rPr>
        <w:t>וספת</w:t>
      </w:r>
    </w:p>
    <w:p w14:paraId="572C12CD" w14:textId="77777777" w:rsidR="00846296" w:rsidRPr="004B70E8" w:rsidRDefault="0084629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4B70E8">
        <w:rPr>
          <w:sz w:val="24"/>
          <w:szCs w:val="24"/>
          <w:rtl/>
        </w:rPr>
        <w:t>(</w:t>
      </w:r>
      <w:r w:rsidRPr="004B70E8">
        <w:rPr>
          <w:rFonts w:hint="cs"/>
          <w:sz w:val="24"/>
          <w:szCs w:val="24"/>
          <w:rtl/>
        </w:rPr>
        <w:t>תקנות 1 ו-2)</w:t>
      </w:r>
    </w:p>
    <w:p w14:paraId="50DA145E" w14:textId="77777777" w:rsidR="00846296" w:rsidRPr="00725637" w:rsidRDefault="00846296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1304"/>
          <w:tab w:val="center" w:pos="4139"/>
          <w:tab w:val="center" w:pos="6917"/>
        </w:tabs>
        <w:ind w:left="0" w:right="1134"/>
        <w:jc w:val="both"/>
        <w:rPr>
          <w:rStyle w:val="default"/>
          <w:rFonts w:cs="FrankRuehl"/>
          <w:sz w:val="22"/>
          <w:szCs w:val="22"/>
          <w:rtl/>
        </w:rPr>
      </w:pPr>
      <w:r w:rsidRPr="00725637">
        <w:rPr>
          <w:rStyle w:val="default"/>
          <w:rFonts w:cs="FrankRuehl"/>
          <w:sz w:val="22"/>
          <w:szCs w:val="22"/>
          <w:rtl/>
        </w:rPr>
        <w:tab/>
      </w:r>
      <w:r w:rsidRPr="00725637">
        <w:rPr>
          <w:rStyle w:val="default"/>
          <w:rFonts w:cs="FrankRuehl"/>
          <w:sz w:val="22"/>
          <w:szCs w:val="22"/>
          <w:rtl/>
        </w:rPr>
        <w:tab/>
      </w:r>
      <w:r w:rsidRPr="00725637">
        <w:rPr>
          <w:rStyle w:val="default"/>
          <w:rFonts w:cs="FrankRuehl"/>
          <w:sz w:val="22"/>
          <w:szCs w:val="22"/>
          <w:rtl/>
        </w:rPr>
        <w:tab/>
      </w:r>
      <w:r w:rsidRPr="00725637">
        <w:rPr>
          <w:rStyle w:val="default"/>
          <w:rFonts w:cs="FrankRuehl" w:hint="cs"/>
          <w:sz w:val="22"/>
          <w:szCs w:val="22"/>
          <w:rtl/>
        </w:rPr>
        <w:t xml:space="preserve">טור ג' </w:t>
      </w:r>
    </w:p>
    <w:p w14:paraId="594C4871" w14:textId="77777777" w:rsidR="00846296" w:rsidRPr="004B70E8" w:rsidRDefault="00725637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1304"/>
          <w:tab w:val="center" w:pos="4139"/>
          <w:tab w:val="center" w:pos="6917"/>
        </w:tabs>
        <w:spacing w:before="0"/>
        <w:ind w:left="0" w:right="1134"/>
        <w:jc w:val="both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846296" w:rsidRPr="004B70E8">
        <w:rPr>
          <w:rStyle w:val="default"/>
          <w:rFonts w:cs="FrankRuehl"/>
          <w:sz w:val="22"/>
          <w:szCs w:val="22"/>
          <w:rtl/>
        </w:rPr>
        <w:t>ט</w:t>
      </w:r>
      <w:r w:rsidR="00846296" w:rsidRPr="004B70E8">
        <w:rPr>
          <w:rStyle w:val="default"/>
          <w:rFonts w:cs="FrankRuehl" w:hint="cs"/>
          <w:sz w:val="22"/>
          <w:szCs w:val="22"/>
          <w:rtl/>
        </w:rPr>
        <w:t>ור א'</w:t>
      </w:r>
      <w:r w:rsidR="00846296" w:rsidRPr="004B70E8">
        <w:rPr>
          <w:rStyle w:val="default"/>
          <w:rFonts w:cs="FrankRuehl"/>
          <w:sz w:val="22"/>
          <w:szCs w:val="22"/>
          <w:rtl/>
        </w:rPr>
        <w:tab/>
      </w:r>
      <w:r w:rsidR="00846296" w:rsidRPr="004B70E8">
        <w:rPr>
          <w:rStyle w:val="default"/>
          <w:rFonts w:cs="FrankRuehl" w:hint="cs"/>
          <w:sz w:val="22"/>
          <w:szCs w:val="22"/>
          <w:rtl/>
        </w:rPr>
        <w:t xml:space="preserve">טור ב' </w:t>
      </w:r>
      <w:r w:rsidR="00846296" w:rsidRPr="004B70E8">
        <w:rPr>
          <w:rStyle w:val="default"/>
          <w:rFonts w:cs="FrankRuehl"/>
          <w:sz w:val="22"/>
          <w:szCs w:val="22"/>
          <w:rtl/>
        </w:rPr>
        <w:tab/>
      </w:r>
      <w:r w:rsidR="00846296" w:rsidRPr="004B70E8">
        <w:rPr>
          <w:rStyle w:val="default"/>
          <w:rFonts w:cs="FrankRuehl" w:hint="cs"/>
          <w:sz w:val="22"/>
          <w:szCs w:val="22"/>
          <w:rtl/>
        </w:rPr>
        <w:t>קנס מינהלי קצוב</w:t>
      </w:r>
    </w:p>
    <w:p w14:paraId="5E83FF46" w14:textId="77777777" w:rsidR="00846296" w:rsidRPr="004B70E8" w:rsidRDefault="00725637" w:rsidP="00725637">
      <w:pPr>
        <w:pStyle w:val="medium-header"/>
        <w:keepNext w:val="0"/>
        <w:keepLines w:val="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1304"/>
          <w:tab w:val="center" w:pos="4139"/>
          <w:tab w:val="center" w:pos="6917"/>
        </w:tabs>
        <w:spacing w:before="0"/>
        <w:ind w:left="0" w:right="1134"/>
        <w:jc w:val="both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846296" w:rsidRPr="004B70E8">
        <w:rPr>
          <w:rStyle w:val="default"/>
          <w:rFonts w:cs="FrankRuehl"/>
          <w:sz w:val="22"/>
          <w:szCs w:val="22"/>
          <w:rtl/>
        </w:rPr>
        <w:t>ה</w:t>
      </w:r>
      <w:r w:rsidR="00846296" w:rsidRPr="004B70E8">
        <w:rPr>
          <w:rStyle w:val="default"/>
          <w:rFonts w:cs="FrankRuehl" w:hint="cs"/>
          <w:sz w:val="22"/>
          <w:szCs w:val="22"/>
          <w:rtl/>
        </w:rPr>
        <w:t>חיקוק</w:t>
      </w:r>
      <w:r w:rsidR="00846296" w:rsidRPr="004B70E8">
        <w:rPr>
          <w:rStyle w:val="default"/>
          <w:rFonts w:cs="FrankRuehl"/>
          <w:sz w:val="22"/>
          <w:szCs w:val="22"/>
          <w:rtl/>
        </w:rPr>
        <w:tab/>
      </w:r>
      <w:r w:rsidR="00846296" w:rsidRPr="004B70E8">
        <w:rPr>
          <w:rStyle w:val="default"/>
          <w:rFonts w:cs="FrankRuehl" w:hint="cs"/>
          <w:sz w:val="22"/>
          <w:szCs w:val="22"/>
          <w:rtl/>
        </w:rPr>
        <w:t>הסעיף/התקנה</w:t>
      </w:r>
      <w:r w:rsidR="00846296" w:rsidRPr="004B70E8">
        <w:rPr>
          <w:rStyle w:val="default"/>
          <w:rFonts w:cs="FrankRuehl"/>
          <w:sz w:val="22"/>
          <w:szCs w:val="22"/>
          <w:rtl/>
        </w:rPr>
        <w:tab/>
      </w:r>
      <w:r w:rsidR="00846296" w:rsidRPr="004B70E8">
        <w:rPr>
          <w:rStyle w:val="default"/>
          <w:rFonts w:cs="FrankRuehl" w:hint="cs"/>
          <w:sz w:val="22"/>
          <w:szCs w:val="22"/>
          <w:rtl/>
        </w:rPr>
        <w:t>בשקלים חדשים</w:t>
      </w:r>
    </w:p>
    <w:p w14:paraId="08E513AC" w14:textId="77777777" w:rsidR="004B70E8" w:rsidRDefault="00846296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2552"/>
          <w:tab w:val="left" w:pos="6237"/>
        </w:tabs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 w:rsidR="004B70E8">
        <w:rPr>
          <w:rFonts w:hint="cs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וק ארגון הפיקוח על </w:t>
      </w:r>
      <w:r w:rsidR="004B70E8">
        <w:rPr>
          <w:rStyle w:val="default"/>
          <w:rFonts w:cs="FrankRuehl" w:hint="cs"/>
          <w:rtl/>
        </w:rPr>
        <w:tab/>
      </w:r>
      <w:r w:rsidR="004B70E8">
        <w:rPr>
          <w:rStyle w:val="default"/>
          <w:rFonts w:cs="FrankRuehl"/>
          <w:rtl/>
        </w:rPr>
        <w:t>8</w:t>
      </w:r>
      <w:r w:rsidR="004B70E8">
        <w:rPr>
          <w:rStyle w:val="default"/>
          <w:rFonts w:cs="FrankRuehl" w:hint="cs"/>
          <w:rtl/>
        </w:rPr>
        <w:t>ג, 8ד(ד) עד (ו), 14,</w:t>
      </w:r>
      <w:r w:rsidR="004B70E8" w:rsidRPr="004B70E8">
        <w:rPr>
          <w:rStyle w:val="default"/>
          <w:rFonts w:cs="FrankRuehl"/>
          <w:rtl/>
        </w:rPr>
        <w:t xml:space="preserve"> </w:t>
      </w:r>
      <w:r w:rsidR="004B70E8">
        <w:rPr>
          <w:rStyle w:val="default"/>
          <w:rFonts w:cs="FrankRuehl"/>
          <w:rtl/>
        </w:rPr>
        <w:t>36(</w:t>
      </w:r>
      <w:r w:rsidR="004B70E8">
        <w:rPr>
          <w:rStyle w:val="default"/>
          <w:rFonts w:cs="FrankRuehl" w:hint="cs"/>
          <w:rtl/>
        </w:rPr>
        <w:t>א)(3)</w:t>
      </w:r>
      <w:r w:rsidR="00725637" w:rsidRPr="00725637">
        <w:rPr>
          <w:rStyle w:val="default"/>
          <w:rFonts w:cs="FrankRuehl" w:hint="cs"/>
          <w:rtl/>
        </w:rPr>
        <w:t xml:space="preserve"> </w:t>
      </w:r>
      <w:r w:rsidR="00725637">
        <w:rPr>
          <w:rStyle w:val="default"/>
          <w:rFonts w:cs="FrankRuehl" w:hint="cs"/>
          <w:rtl/>
        </w:rPr>
        <w:t>לענין סעיף</w:t>
      </w:r>
      <w:r w:rsidR="004B70E8">
        <w:rPr>
          <w:rStyle w:val="default"/>
          <w:rFonts w:cs="FrankRuehl" w:hint="cs"/>
          <w:rtl/>
        </w:rPr>
        <w:tab/>
      </w:r>
      <w:r w:rsidR="004B70E8">
        <w:rPr>
          <w:rStyle w:val="default"/>
          <w:rFonts w:cs="FrankRuehl"/>
          <w:rtl/>
        </w:rPr>
        <w:t>3000</w:t>
      </w:r>
    </w:p>
    <w:p w14:paraId="57306EE5" w14:textId="77777777" w:rsidR="00846296" w:rsidRDefault="00725637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2552"/>
          <w:tab w:val="left" w:pos="6237"/>
        </w:tabs>
        <w:spacing w:before="0"/>
        <w:ind w:left="0" w:right="1134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846296">
        <w:rPr>
          <w:rStyle w:val="default"/>
          <w:rFonts w:cs="FrankRuehl"/>
          <w:rtl/>
        </w:rPr>
        <w:t>ה</w:t>
      </w:r>
      <w:r w:rsidR="00846296">
        <w:rPr>
          <w:rStyle w:val="default"/>
          <w:rFonts w:cs="FrankRuehl" w:hint="cs"/>
          <w:rtl/>
        </w:rPr>
        <w:t>עבודה, תשי"ד</w:t>
      </w:r>
      <w:r w:rsidR="004B70E8">
        <w:rPr>
          <w:rStyle w:val="default"/>
          <w:rFonts w:cs="FrankRuehl" w:hint="cs"/>
          <w:rtl/>
        </w:rPr>
        <w:t>-</w:t>
      </w:r>
      <w:r w:rsidR="00846296">
        <w:rPr>
          <w:rStyle w:val="default"/>
          <w:rFonts w:cs="FrankRuehl" w:hint="cs"/>
          <w:rtl/>
        </w:rPr>
        <w:t>1954</w:t>
      </w:r>
      <w:r w:rsidR="004B70E8">
        <w:rPr>
          <w:rStyle w:val="default"/>
          <w:rFonts w:cs="FrankRuehl" w:hint="cs"/>
          <w:rtl/>
        </w:rPr>
        <w:tab/>
      </w:r>
      <w:r w:rsidR="00846296">
        <w:rPr>
          <w:rStyle w:val="default"/>
          <w:rFonts w:cs="FrankRuehl"/>
          <w:rtl/>
        </w:rPr>
        <w:t>35; 36(</w:t>
      </w:r>
      <w:r w:rsidR="00846296">
        <w:rPr>
          <w:rStyle w:val="default"/>
          <w:rFonts w:cs="FrankRuehl" w:hint="cs"/>
          <w:rtl/>
        </w:rPr>
        <w:t xml:space="preserve">ב) לעניין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עיפים 16(ב),</w:t>
      </w:r>
      <w:r w:rsidRPr="0072563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23(2)</w:t>
      </w:r>
    </w:p>
    <w:p w14:paraId="781B36FB" w14:textId="77777777" w:rsidR="004B70E8" w:rsidRDefault="004B70E8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2552"/>
          <w:tab w:val="left" w:pos="6237"/>
        </w:tabs>
        <w:spacing w:before="0"/>
        <w:ind w:left="0" w:right="1134"/>
        <w:jc w:val="both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846296">
        <w:rPr>
          <w:rStyle w:val="default"/>
          <w:rFonts w:cs="FrankRuehl" w:hint="cs"/>
          <w:rtl/>
        </w:rPr>
        <w:t xml:space="preserve">ו-25(א); 36(ג); </w:t>
      </w:r>
      <w:r w:rsidR="00846296">
        <w:rPr>
          <w:rStyle w:val="default"/>
          <w:rFonts w:cs="FrankRuehl"/>
          <w:rtl/>
        </w:rPr>
        <w:t>36(</w:t>
      </w:r>
      <w:r w:rsidR="00846296">
        <w:rPr>
          <w:rStyle w:val="default"/>
          <w:rFonts w:cs="FrankRuehl" w:hint="cs"/>
          <w:rtl/>
        </w:rPr>
        <w:t>ד) לעני</w:t>
      </w:r>
      <w:r w:rsidR="00846296">
        <w:rPr>
          <w:rStyle w:val="default"/>
          <w:rFonts w:cs="FrankRuehl"/>
          <w:rtl/>
        </w:rPr>
        <w:t>ן</w:t>
      </w:r>
      <w:r w:rsidR="00846296">
        <w:rPr>
          <w:rStyle w:val="default"/>
          <w:rFonts w:cs="FrankRuehl" w:hint="cs"/>
          <w:rtl/>
        </w:rPr>
        <w:t xml:space="preserve"> סעיפים</w:t>
      </w:r>
      <w:r>
        <w:rPr>
          <w:rStyle w:val="default"/>
          <w:rFonts w:cs="FrankRuehl" w:hint="cs"/>
          <w:rtl/>
        </w:rPr>
        <w:t xml:space="preserve"> </w:t>
      </w:r>
      <w:r w:rsidR="00725637">
        <w:rPr>
          <w:rStyle w:val="default"/>
          <w:rFonts w:cs="FrankRuehl"/>
          <w:rtl/>
        </w:rPr>
        <w:t>3(7)</w:t>
      </w:r>
    </w:p>
    <w:p w14:paraId="47193BAF" w14:textId="77777777" w:rsidR="00846296" w:rsidRDefault="004B70E8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2552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846296">
        <w:rPr>
          <w:rStyle w:val="default"/>
          <w:rFonts w:cs="FrankRuehl" w:hint="cs"/>
          <w:rtl/>
        </w:rPr>
        <w:t>ו-8ד(א)</w:t>
      </w:r>
    </w:p>
    <w:p w14:paraId="2E139632" w14:textId="77777777" w:rsidR="004B70E8" w:rsidRDefault="00846296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2552"/>
          <w:tab w:val="left" w:pos="6237"/>
        </w:tabs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 w:rsidR="00725637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ארגון הפיקוח על </w:t>
      </w:r>
      <w:r w:rsidR="004B70E8">
        <w:rPr>
          <w:rStyle w:val="default"/>
          <w:rFonts w:cs="FrankRuehl" w:hint="cs"/>
          <w:rtl/>
        </w:rPr>
        <w:tab/>
      </w:r>
      <w:r w:rsidR="004B70E8">
        <w:rPr>
          <w:rStyle w:val="default"/>
          <w:rFonts w:cs="FrankRuehl"/>
          <w:rtl/>
        </w:rPr>
        <w:t xml:space="preserve">14 </w:t>
      </w:r>
      <w:r w:rsidR="004B70E8">
        <w:rPr>
          <w:rStyle w:val="default"/>
          <w:rFonts w:cs="FrankRuehl" w:hint="cs"/>
          <w:rtl/>
        </w:rPr>
        <w:t xml:space="preserve">לענין תקנות 1 עד </w:t>
      </w:r>
      <w:r w:rsidR="004B70E8">
        <w:rPr>
          <w:rStyle w:val="default"/>
          <w:rFonts w:cs="FrankRuehl"/>
          <w:rtl/>
        </w:rPr>
        <w:t>13</w:t>
      </w:r>
      <w:r w:rsidR="004B70E8">
        <w:rPr>
          <w:rStyle w:val="default"/>
          <w:rFonts w:cs="FrankRuehl" w:hint="cs"/>
          <w:rtl/>
        </w:rPr>
        <w:tab/>
      </w:r>
      <w:r w:rsidR="004B70E8">
        <w:rPr>
          <w:rStyle w:val="default"/>
          <w:rFonts w:cs="FrankRuehl"/>
          <w:rtl/>
        </w:rPr>
        <w:t xml:space="preserve">1400 </w:t>
      </w:r>
      <w:r w:rsidR="004B70E8">
        <w:rPr>
          <w:rStyle w:val="default"/>
          <w:rFonts w:cs="FrankRuehl" w:hint="cs"/>
          <w:rtl/>
        </w:rPr>
        <w:t>לכל</w:t>
      </w:r>
      <w:r w:rsidR="004B70E8" w:rsidRPr="004B70E8">
        <w:rPr>
          <w:rStyle w:val="default"/>
          <w:rFonts w:cs="FrankRuehl"/>
          <w:rtl/>
        </w:rPr>
        <w:t xml:space="preserve"> </w:t>
      </w:r>
      <w:r w:rsidR="004B70E8">
        <w:rPr>
          <w:rStyle w:val="default"/>
          <w:rFonts w:cs="FrankRuehl"/>
          <w:rtl/>
        </w:rPr>
        <w:t>ע</w:t>
      </w:r>
      <w:r w:rsidR="004B70E8">
        <w:rPr>
          <w:rStyle w:val="default"/>
          <w:rFonts w:cs="FrankRuehl" w:hint="cs"/>
          <w:rtl/>
        </w:rPr>
        <w:t xml:space="preserve">ובד </w:t>
      </w:r>
    </w:p>
    <w:p w14:paraId="4075CC0A" w14:textId="77777777" w:rsidR="00391CDE" w:rsidRDefault="00725637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2552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846296">
        <w:rPr>
          <w:rStyle w:val="default"/>
          <w:rFonts w:cs="FrankRuehl"/>
          <w:rtl/>
        </w:rPr>
        <w:t>ה</w:t>
      </w:r>
      <w:r w:rsidR="00846296">
        <w:rPr>
          <w:rStyle w:val="default"/>
          <w:rFonts w:cs="FrankRuehl" w:hint="cs"/>
          <w:rtl/>
        </w:rPr>
        <w:t xml:space="preserve">עבודה </w:t>
      </w:r>
      <w:r w:rsidR="00846296">
        <w:rPr>
          <w:rStyle w:val="default"/>
          <w:rFonts w:cs="FrankRuehl"/>
          <w:rtl/>
        </w:rPr>
        <w:t>(</w:t>
      </w:r>
      <w:r w:rsidR="00846296">
        <w:rPr>
          <w:rStyle w:val="default"/>
          <w:rFonts w:cs="FrankRuehl" w:hint="cs"/>
          <w:rtl/>
        </w:rPr>
        <w:t>מסירת מידע</w:t>
      </w:r>
      <w:r w:rsidR="00391CDE">
        <w:rPr>
          <w:rStyle w:val="default"/>
          <w:rFonts w:cs="FrankRuehl" w:hint="cs"/>
          <w:rtl/>
        </w:rPr>
        <w:tab/>
      </w:r>
      <w:r w:rsidR="00391CD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שלגביו </w:t>
      </w:r>
      <w:r w:rsidR="00391CDE">
        <w:rPr>
          <w:rStyle w:val="default"/>
          <w:rFonts w:cs="FrankRuehl"/>
          <w:rtl/>
        </w:rPr>
        <w:t>נ</w:t>
      </w:r>
      <w:r w:rsidR="00391CDE">
        <w:rPr>
          <w:rStyle w:val="default"/>
          <w:rFonts w:cs="FrankRuehl" w:hint="cs"/>
          <w:rtl/>
        </w:rPr>
        <w:t xml:space="preserve">עברה </w:t>
      </w:r>
    </w:p>
    <w:p w14:paraId="0221673D" w14:textId="77777777" w:rsidR="00725637" w:rsidRDefault="00725637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2552"/>
          <w:tab w:val="left" w:pos="6237"/>
        </w:tabs>
        <w:spacing w:before="0"/>
        <w:ind w:left="0" w:right="1134"/>
        <w:jc w:val="both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הדרכת </w:t>
      </w:r>
      <w:r w:rsidR="00846296">
        <w:rPr>
          <w:rStyle w:val="default"/>
          <w:rFonts w:cs="FrankRuehl" w:hint="cs"/>
          <w:rtl/>
        </w:rPr>
        <w:t xml:space="preserve">עובדים), 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העבירה</w:t>
      </w:r>
    </w:p>
    <w:p w14:paraId="56824D33" w14:textId="77777777" w:rsidR="00846296" w:rsidRDefault="00725637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2552"/>
          <w:tab w:val="left" w:pos="6237"/>
        </w:tabs>
        <w:spacing w:before="0"/>
        <w:ind w:left="0" w:right="1134"/>
        <w:jc w:val="both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846296">
        <w:rPr>
          <w:rStyle w:val="default"/>
          <w:rFonts w:cs="FrankRuehl"/>
          <w:rtl/>
        </w:rPr>
        <w:t>ת</w:t>
      </w:r>
      <w:r w:rsidR="00846296">
        <w:rPr>
          <w:rStyle w:val="default"/>
          <w:rFonts w:cs="FrankRuehl" w:hint="cs"/>
          <w:rtl/>
        </w:rPr>
        <w:t>שמ"ד</w:t>
      </w:r>
      <w:r w:rsidR="004B70E8">
        <w:rPr>
          <w:rStyle w:val="default"/>
          <w:rFonts w:cs="FrankRuehl" w:hint="cs"/>
          <w:rtl/>
        </w:rPr>
        <w:t>-</w:t>
      </w:r>
      <w:r w:rsidR="00846296">
        <w:rPr>
          <w:rStyle w:val="default"/>
          <w:rFonts w:cs="FrankRuehl" w:hint="cs"/>
          <w:rtl/>
        </w:rPr>
        <w:t>1984</w:t>
      </w:r>
    </w:p>
    <w:p w14:paraId="5FD886A7" w14:textId="77777777" w:rsidR="00391CDE" w:rsidRDefault="00846296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2552"/>
          <w:tab w:val="left" w:pos="6237"/>
        </w:tabs>
        <w:ind w:left="0" w:right="1134"/>
        <w:jc w:val="both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3.</w:t>
      </w:r>
      <w:r w:rsidR="00725637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קודת הבטיחות בעבודה</w:t>
      </w:r>
      <w:r w:rsidR="00391CDE">
        <w:rPr>
          <w:rStyle w:val="default"/>
          <w:rFonts w:cs="FrankRuehl" w:hint="cs"/>
          <w:rtl/>
        </w:rPr>
        <w:tab/>
      </w:r>
      <w:r w:rsidR="00391CDE">
        <w:rPr>
          <w:rStyle w:val="default"/>
          <w:rFonts w:cs="FrankRuehl"/>
          <w:rtl/>
        </w:rPr>
        <w:t>ס</w:t>
      </w:r>
      <w:r w:rsidR="00391CDE">
        <w:rPr>
          <w:rStyle w:val="default"/>
          <w:rFonts w:cs="FrankRuehl" w:hint="cs"/>
          <w:rtl/>
        </w:rPr>
        <w:t xml:space="preserve">עיף 225 בצירוף סימן </w:t>
      </w:r>
      <w:r w:rsidR="00391CDE">
        <w:rPr>
          <w:rStyle w:val="default"/>
          <w:rFonts w:cs="FrankRuehl"/>
          <w:rtl/>
        </w:rPr>
        <w:t>א</w:t>
      </w:r>
      <w:r w:rsidR="00391CDE">
        <w:rPr>
          <w:rStyle w:val="default"/>
          <w:rFonts w:cs="FrankRuehl" w:hint="cs"/>
          <w:rtl/>
        </w:rPr>
        <w:t xml:space="preserve">' לפרק </w:t>
      </w:r>
      <w:r w:rsidR="00725637">
        <w:rPr>
          <w:rStyle w:val="default"/>
          <w:rFonts w:cs="FrankRuehl" w:hint="cs"/>
          <w:rtl/>
        </w:rPr>
        <w:t>ט', לענין</w:t>
      </w:r>
      <w:r w:rsidR="00391CDE">
        <w:rPr>
          <w:rStyle w:val="default"/>
          <w:rFonts w:cs="FrankRuehl" w:hint="cs"/>
          <w:rtl/>
        </w:rPr>
        <w:tab/>
        <w:t>3000</w:t>
      </w:r>
    </w:p>
    <w:p w14:paraId="10B29F72" w14:textId="77777777" w:rsidR="00846296" w:rsidRDefault="00725637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2552"/>
          <w:tab w:val="left" w:pos="6237"/>
        </w:tabs>
        <w:spacing w:before="0"/>
        <w:ind w:left="2552" w:right="3119" w:hanging="2552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846296">
        <w:rPr>
          <w:rStyle w:val="default"/>
          <w:rFonts w:cs="FrankRuehl"/>
          <w:rtl/>
        </w:rPr>
        <w:t>[</w:t>
      </w:r>
      <w:r w:rsidR="00846296">
        <w:rPr>
          <w:rStyle w:val="default"/>
          <w:rFonts w:cs="FrankRuehl" w:hint="cs"/>
          <w:rtl/>
        </w:rPr>
        <w:t>נוסח חדש], תש"ל</w:t>
      </w:r>
      <w:r w:rsidR="00391CDE">
        <w:rPr>
          <w:rStyle w:val="default"/>
          <w:rFonts w:cs="FrankRuehl" w:hint="cs"/>
          <w:rtl/>
        </w:rPr>
        <w:t>-</w:t>
      </w:r>
      <w:r w:rsidR="00846296">
        <w:rPr>
          <w:rStyle w:val="default"/>
          <w:rFonts w:cs="FrankRuehl" w:hint="cs"/>
          <w:rtl/>
        </w:rPr>
        <w:t>1970</w:t>
      </w:r>
      <w:r>
        <w:rPr>
          <w:rStyle w:val="default"/>
          <w:rFonts w:cs="FrankRuehl" w:hint="cs"/>
          <w:rtl/>
        </w:rPr>
        <w:tab/>
      </w:r>
      <w:r w:rsidR="00846296">
        <w:rPr>
          <w:rStyle w:val="default"/>
          <w:rFonts w:cs="FrankRuehl"/>
          <w:rtl/>
        </w:rPr>
        <w:t>ס</w:t>
      </w:r>
      <w:r w:rsidR="00846296">
        <w:rPr>
          <w:rStyle w:val="default"/>
          <w:rFonts w:cs="FrankRuehl" w:hint="cs"/>
          <w:rtl/>
        </w:rPr>
        <w:t>עיפים 16 עד 18, 21,</w:t>
      </w:r>
      <w:r w:rsidRPr="00725637"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/>
          <w:rtl/>
        </w:rPr>
        <w:t xml:space="preserve">26 </w:t>
      </w:r>
      <w:r>
        <w:rPr>
          <w:rStyle w:val="default"/>
          <w:rFonts w:cs="FrankRuehl" w:hint="cs"/>
          <w:rtl/>
        </w:rPr>
        <w:t xml:space="preserve">עד 30, 33, </w:t>
      </w:r>
      <w:r w:rsidR="00846296">
        <w:rPr>
          <w:rStyle w:val="default"/>
          <w:rFonts w:cs="FrankRuehl" w:hint="cs"/>
          <w:rtl/>
        </w:rPr>
        <w:t>34, 37,</w:t>
      </w:r>
      <w:r w:rsidR="00391CDE">
        <w:rPr>
          <w:rStyle w:val="default"/>
          <w:rFonts w:cs="FrankRuehl" w:hint="cs"/>
          <w:rtl/>
        </w:rPr>
        <w:t xml:space="preserve"> </w:t>
      </w:r>
      <w:r w:rsidR="00846296">
        <w:rPr>
          <w:rStyle w:val="default"/>
          <w:rFonts w:cs="FrankRuehl"/>
          <w:rtl/>
        </w:rPr>
        <w:t xml:space="preserve">41, 44, 45, 49 </w:t>
      </w:r>
      <w:r w:rsidR="00846296">
        <w:rPr>
          <w:rStyle w:val="default"/>
          <w:rFonts w:cs="FrankRuehl" w:hint="cs"/>
          <w:rtl/>
        </w:rPr>
        <w:t xml:space="preserve">עד 57, </w:t>
      </w:r>
      <w:r w:rsidR="00846296">
        <w:rPr>
          <w:rStyle w:val="default"/>
          <w:rFonts w:cs="FrankRuehl"/>
          <w:rtl/>
        </w:rPr>
        <w:t xml:space="preserve">59 </w:t>
      </w:r>
      <w:r w:rsidR="00846296">
        <w:rPr>
          <w:rStyle w:val="default"/>
          <w:rFonts w:cs="FrankRuehl" w:hint="cs"/>
          <w:rtl/>
        </w:rPr>
        <w:t>עד 65, 69, 72 עד</w:t>
      </w:r>
      <w:r>
        <w:rPr>
          <w:rStyle w:val="default"/>
          <w:rFonts w:cs="FrankRuehl" w:hint="cs"/>
          <w:rtl/>
        </w:rPr>
        <w:t xml:space="preserve"> </w:t>
      </w:r>
      <w:r w:rsidR="00846296">
        <w:rPr>
          <w:rStyle w:val="default"/>
          <w:rFonts w:cs="FrankRuehl"/>
          <w:rtl/>
        </w:rPr>
        <w:t xml:space="preserve">77, 80 </w:t>
      </w:r>
      <w:r w:rsidR="00846296">
        <w:rPr>
          <w:rStyle w:val="default"/>
          <w:rFonts w:cs="FrankRuehl" w:hint="cs"/>
          <w:rtl/>
        </w:rPr>
        <w:t>עד 87, 90 עד</w:t>
      </w:r>
      <w:r w:rsidR="00391CDE">
        <w:rPr>
          <w:rStyle w:val="default"/>
          <w:rFonts w:cs="FrankRuehl" w:hint="cs"/>
          <w:rtl/>
        </w:rPr>
        <w:t xml:space="preserve"> </w:t>
      </w:r>
      <w:r w:rsidR="00846296">
        <w:rPr>
          <w:rStyle w:val="default"/>
          <w:rFonts w:cs="FrankRuehl"/>
          <w:rtl/>
        </w:rPr>
        <w:t xml:space="preserve">92, 94, 96 </w:t>
      </w:r>
      <w:r w:rsidR="00846296">
        <w:rPr>
          <w:rStyle w:val="default"/>
          <w:rFonts w:cs="FrankRuehl" w:hint="cs"/>
          <w:rtl/>
        </w:rPr>
        <w:t>עד 99,</w:t>
      </w:r>
      <w:r w:rsidR="00391CDE">
        <w:rPr>
          <w:rStyle w:val="default"/>
          <w:rFonts w:cs="FrankRuehl" w:hint="cs"/>
          <w:rtl/>
        </w:rPr>
        <w:t xml:space="preserve"> </w:t>
      </w:r>
      <w:r w:rsidR="00846296">
        <w:rPr>
          <w:rStyle w:val="default"/>
          <w:rFonts w:cs="FrankRuehl"/>
          <w:rtl/>
        </w:rPr>
        <w:t>100</w:t>
      </w:r>
      <w:r w:rsidR="00846296">
        <w:rPr>
          <w:rStyle w:val="default"/>
          <w:rFonts w:cs="FrankRuehl" w:hint="cs"/>
          <w:rtl/>
        </w:rPr>
        <w:t xml:space="preserve">א עד 106, 108 עד </w:t>
      </w:r>
      <w:r w:rsidR="00846296">
        <w:rPr>
          <w:rStyle w:val="default"/>
          <w:rFonts w:cs="FrankRuehl"/>
          <w:rtl/>
        </w:rPr>
        <w:t xml:space="preserve">116, 120 </w:t>
      </w:r>
      <w:r w:rsidR="00846296">
        <w:rPr>
          <w:rStyle w:val="default"/>
          <w:rFonts w:cs="FrankRuehl" w:hint="cs"/>
          <w:rtl/>
        </w:rPr>
        <w:t xml:space="preserve">עד 126, 128, </w:t>
      </w:r>
      <w:r w:rsidR="00846296">
        <w:rPr>
          <w:rStyle w:val="default"/>
          <w:rFonts w:cs="FrankRuehl"/>
          <w:rtl/>
        </w:rPr>
        <w:t>140, 142, 144, 145,</w:t>
      </w:r>
      <w:r w:rsidR="00391CDE">
        <w:rPr>
          <w:rStyle w:val="default"/>
          <w:rFonts w:cs="FrankRuehl" w:hint="cs"/>
          <w:rtl/>
        </w:rPr>
        <w:t xml:space="preserve"> </w:t>
      </w:r>
      <w:r w:rsidR="00846296">
        <w:rPr>
          <w:rStyle w:val="default"/>
          <w:rFonts w:cs="FrankRuehl"/>
          <w:rtl/>
        </w:rPr>
        <w:t xml:space="preserve">147, 148, 154, 155, 157, 158, 166, 170, 192, 196 </w:t>
      </w:r>
      <w:r w:rsidR="00846296">
        <w:rPr>
          <w:rStyle w:val="default"/>
          <w:rFonts w:cs="FrankRuehl" w:hint="cs"/>
          <w:rtl/>
        </w:rPr>
        <w:t>עד 200, 204,</w:t>
      </w:r>
      <w:r w:rsidR="00391CDE">
        <w:rPr>
          <w:rStyle w:val="default"/>
          <w:rFonts w:cs="FrankRuehl" w:hint="cs"/>
          <w:rtl/>
        </w:rPr>
        <w:t xml:space="preserve"> </w:t>
      </w:r>
      <w:r w:rsidR="00846296">
        <w:rPr>
          <w:rStyle w:val="default"/>
          <w:rFonts w:cs="FrankRuehl"/>
          <w:rtl/>
        </w:rPr>
        <w:t xml:space="preserve">205, 208, 212 </w:t>
      </w:r>
      <w:r w:rsidR="00846296">
        <w:rPr>
          <w:rStyle w:val="default"/>
          <w:rFonts w:cs="FrankRuehl" w:hint="cs"/>
          <w:rtl/>
        </w:rPr>
        <w:t>ו-213</w:t>
      </w:r>
    </w:p>
    <w:p w14:paraId="2F9B85AC" w14:textId="77777777" w:rsidR="00725637" w:rsidRDefault="00725637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2552"/>
          <w:tab w:val="left" w:pos="6237"/>
        </w:tabs>
        <w:ind w:left="0" w:right="1134"/>
        <w:jc w:val="both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846296">
        <w:rPr>
          <w:rStyle w:val="default"/>
          <w:rFonts w:cs="FrankRuehl"/>
          <w:rtl/>
        </w:rPr>
        <w:t xml:space="preserve">227 </w:t>
      </w:r>
      <w:r w:rsidR="00846296">
        <w:rPr>
          <w:rStyle w:val="default"/>
          <w:rFonts w:cs="FrankRuehl" w:hint="cs"/>
          <w:rtl/>
        </w:rPr>
        <w:t xml:space="preserve">לענין סעיף 46, </w:t>
      </w:r>
      <w:r w:rsidR="00846296">
        <w:rPr>
          <w:rStyle w:val="default"/>
          <w:rFonts w:cs="FrankRuehl"/>
          <w:rtl/>
        </w:rPr>
        <w:t xml:space="preserve">228 </w:t>
      </w:r>
      <w:r w:rsidR="00846296">
        <w:rPr>
          <w:rStyle w:val="default"/>
          <w:rFonts w:cs="FrankRuehl" w:hint="cs"/>
          <w:rtl/>
        </w:rPr>
        <w:t xml:space="preserve">לענין </w:t>
      </w:r>
      <w:r>
        <w:rPr>
          <w:rStyle w:val="default"/>
          <w:rFonts w:cs="FrankRuehl" w:hint="cs"/>
          <w:rtl/>
        </w:rPr>
        <w:t>סעיף 1</w:t>
      </w:r>
      <w:r>
        <w:rPr>
          <w:rStyle w:val="default"/>
          <w:rFonts w:cs="FrankRuehl"/>
          <w:rtl/>
        </w:rPr>
        <w:t>19</w:t>
      </w:r>
      <w:r>
        <w:rPr>
          <w:rStyle w:val="default"/>
          <w:rFonts w:cs="FrankRuehl" w:hint="cs"/>
          <w:rtl/>
        </w:rPr>
        <w:t>א,</w:t>
      </w:r>
      <w:r>
        <w:rPr>
          <w:rStyle w:val="default"/>
          <w:rFonts w:cs="FrankRuehl" w:hint="cs"/>
          <w:rtl/>
        </w:rPr>
        <w:tab/>
        <w:t>3000</w:t>
      </w:r>
    </w:p>
    <w:p w14:paraId="7C63E63B" w14:textId="77777777" w:rsidR="00846296" w:rsidRDefault="00725637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2552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846296">
        <w:rPr>
          <w:rStyle w:val="default"/>
          <w:rFonts w:cs="FrankRuehl"/>
          <w:rtl/>
        </w:rPr>
        <w:t xml:space="preserve">229 </w:t>
      </w:r>
      <w:r w:rsidR="00846296">
        <w:rPr>
          <w:rStyle w:val="default"/>
          <w:rFonts w:cs="FrankRuehl" w:hint="cs"/>
          <w:rtl/>
        </w:rPr>
        <w:t xml:space="preserve">רישה, 230 עד </w:t>
      </w:r>
      <w:r w:rsidR="00846296">
        <w:rPr>
          <w:rStyle w:val="default"/>
          <w:rFonts w:cs="FrankRuehl"/>
          <w:rtl/>
        </w:rPr>
        <w:t>232, 234</w:t>
      </w:r>
    </w:p>
    <w:p w14:paraId="1F8461F7" w14:textId="77777777" w:rsidR="00846296" w:rsidRDefault="00846296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2552"/>
          <w:tab w:val="left" w:pos="6237"/>
        </w:tabs>
        <w:ind w:left="0" w:right="1134"/>
        <w:jc w:val="both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4.</w:t>
      </w:r>
      <w:r w:rsidR="00725637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קודת תאונות ומחלות </w:t>
      </w:r>
      <w:r w:rsidR="00725637">
        <w:rPr>
          <w:rStyle w:val="default"/>
          <w:rFonts w:cs="FrankRuehl" w:hint="cs"/>
          <w:rtl/>
        </w:rPr>
        <w:tab/>
      </w:r>
      <w:r w:rsidR="00725637">
        <w:rPr>
          <w:rStyle w:val="default"/>
          <w:rFonts w:cs="FrankRuehl"/>
          <w:rtl/>
        </w:rPr>
        <w:t xml:space="preserve">8 </w:t>
      </w:r>
      <w:r w:rsidR="00725637">
        <w:rPr>
          <w:rStyle w:val="default"/>
          <w:rFonts w:cs="FrankRuehl" w:hint="cs"/>
          <w:rtl/>
        </w:rPr>
        <w:t>לענין סעיפים 3 ו-5</w:t>
      </w:r>
      <w:r w:rsidR="00725637">
        <w:rPr>
          <w:rStyle w:val="default"/>
          <w:rFonts w:cs="FrankRuehl" w:hint="cs"/>
          <w:rtl/>
        </w:rPr>
        <w:tab/>
        <w:t>3000</w:t>
      </w:r>
    </w:p>
    <w:p w14:paraId="34AF1660" w14:textId="77777777" w:rsidR="00846296" w:rsidRDefault="00725637" w:rsidP="00725637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2552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846296">
        <w:rPr>
          <w:rStyle w:val="default"/>
          <w:rFonts w:cs="FrankRuehl"/>
          <w:rtl/>
        </w:rPr>
        <w:t>מ</w:t>
      </w:r>
      <w:r w:rsidR="00846296">
        <w:rPr>
          <w:rStyle w:val="default"/>
          <w:rFonts w:cs="FrankRuehl" w:hint="cs"/>
          <w:rtl/>
        </w:rPr>
        <w:t>שלח-יד (הודעה), 1945</w:t>
      </w:r>
    </w:p>
    <w:p w14:paraId="3BFA2BF4" w14:textId="77777777" w:rsidR="00846296" w:rsidRDefault="00846296" w:rsidP="004B70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7509A2" w14:textId="77777777" w:rsidR="00846296" w:rsidRDefault="00846296" w:rsidP="004B70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FF4519" w14:textId="77777777" w:rsidR="00846296" w:rsidRDefault="00846296">
      <w:pPr>
        <w:pStyle w:val="sig-0"/>
        <w:ind w:left="0" w:right="1134"/>
        <w:rPr>
          <w:rtl/>
        </w:rPr>
      </w:pPr>
      <w:r>
        <w:rPr>
          <w:rtl/>
        </w:rPr>
        <w:t>ל</w:t>
      </w:r>
      <w:r>
        <w:rPr>
          <w:rFonts w:hint="cs"/>
          <w:rtl/>
        </w:rPr>
        <w:t>' בתשרי תשנ"ו (24 באוקטובר 1995)</w:t>
      </w:r>
      <w:r>
        <w:rPr>
          <w:rtl/>
        </w:rPr>
        <w:tab/>
      </w:r>
      <w:r>
        <w:rPr>
          <w:rFonts w:hint="cs"/>
          <w:rtl/>
        </w:rPr>
        <w:t>דוד ליבאי</w:t>
      </w:r>
    </w:p>
    <w:p w14:paraId="6F0AA13A" w14:textId="77777777" w:rsidR="00846296" w:rsidRDefault="00846296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05D82369" w14:textId="77777777" w:rsidR="00846296" w:rsidRDefault="00846296" w:rsidP="004B70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D33801" w14:textId="77777777" w:rsidR="004B70E8" w:rsidRPr="004B70E8" w:rsidRDefault="004B70E8" w:rsidP="004B70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18556D" w14:textId="77777777" w:rsidR="00846296" w:rsidRPr="004B70E8" w:rsidRDefault="00846296" w:rsidP="004B70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41923959" w14:textId="77777777" w:rsidR="00846296" w:rsidRPr="004B70E8" w:rsidRDefault="00846296" w:rsidP="004B70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46296" w:rsidRPr="004B70E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B8B7A" w14:textId="77777777" w:rsidR="008352C3" w:rsidRDefault="008352C3">
      <w:r>
        <w:separator/>
      </w:r>
    </w:p>
  </w:endnote>
  <w:endnote w:type="continuationSeparator" w:id="0">
    <w:p w14:paraId="6B982BF3" w14:textId="77777777" w:rsidR="008352C3" w:rsidRDefault="00835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00BF" w14:textId="77777777" w:rsidR="00846296" w:rsidRDefault="008462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507136" w14:textId="77777777" w:rsidR="00846296" w:rsidRDefault="008462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13E595" w14:textId="77777777" w:rsidR="00846296" w:rsidRDefault="008462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70E8">
      <w:rPr>
        <w:rFonts w:cs="TopType Jerushalmi"/>
        <w:noProof/>
        <w:color w:val="000000"/>
        <w:sz w:val="14"/>
        <w:szCs w:val="14"/>
      </w:rPr>
      <w:t>D:\Yael\hakika\Revadim</w:t>
    </w:r>
    <w:r w:rsidR="004B70E8" w:rsidRPr="004B70E8">
      <w:rPr>
        <w:rFonts w:cs="TopType Jerushalmi"/>
        <w:noProof/>
        <w:color w:val="000000"/>
        <w:sz w:val="14"/>
        <w:szCs w:val="14"/>
        <w:rtl/>
      </w:rPr>
      <w:t>\קישורים\</w:t>
    </w:r>
    <w:r w:rsidR="004B70E8">
      <w:rPr>
        <w:rFonts w:cs="TopType Jerushalmi"/>
        <w:noProof/>
        <w:color w:val="000000"/>
        <w:sz w:val="14"/>
        <w:szCs w:val="14"/>
      </w:rPr>
      <w:t>P176K1_018.doc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D6409" w14:textId="77777777" w:rsidR="00846296" w:rsidRDefault="008462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2563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AD39892" w14:textId="77777777" w:rsidR="00846296" w:rsidRDefault="008462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90D0B7" w14:textId="77777777" w:rsidR="00846296" w:rsidRDefault="008462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70E8">
      <w:rPr>
        <w:rFonts w:cs="TopType Jerushalmi"/>
        <w:noProof/>
        <w:color w:val="000000"/>
        <w:sz w:val="14"/>
        <w:szCs w:val="14"/>
      </w:rPr>
      <w:t>D:\Yael\hakika\Revadim</w:t>
    </w:r>
    <w:r w:rsidR="004B70E8" w:rsidRPr="004B70E8">
      <w:rPr>
        <w:rFonts w:cs="TopType Jerushalmi"/>
        <w:noProof/>
        <w:color w:val="000000"/>
        <w:sz w:val="14"/>
        <w:szCs w:val="14"/>
        <w:rtl/>
      </w:rPr>
      <w:t>\קישורים\</w:t>
    </w:r>
    <w:r w:rsidR="004B70E8">
      <w:rPr>
        <w:rFonts w:cs="TopType Jerushalmi"/>
        <w:noProof/>
        <w:color w:val="000000"/>
        <w:sz w:val="14"/>
        <w:szCs w:val="14"/>
      </w:rPr>
      <w:t>P176K1_018.doc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2F720" w14:textId="77777777" w:rsidR="008352C3" w:rsidRDefault="008352C3" w:rsidP="004B70E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50E7A8B" w14:textId="77777777" w:rsidR="008352C3" w:rsidRDefault="008352C3">
      <w:r>
        <w:continuationSeparator/>
      </w:r>
    </w:p>
  </w:footnote>
  <w:footnote w:id="1">
    <w:p w14:paraId="4C45E588" w14:textId="77777777" w:rsidR="004B70E8" w:rsidRPr="004B70E8" w:rsidRDefault="004B70E8" w:rsidP="004B70E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4B70E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4F4617">
          <w:rPr>
            <w:rStyle w:val="Hyperlink"/>
            <w:rFonts w:hint="cs"/>
            <w:sz w:val="20"/>
            <w:rtl/>
          </w:rPr>
          <w:t>ק"ת תשנ"ו מס' 5711</w:t>
        </w:r>
      </w:hyperlink>
      <w:r>
        <w:rPr>
          <w:rFonts w:hint="cs"/>
          <w:sz w:val="20"/>
          <w:rtl/>
        </w:rPr>
        <w:t xml:space="preserve"> מיום 9.11.1995 עמ' 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4D112" w14:textId="77777777" w:rsidR="00846296" w:rsidRDefault="008462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 — בטיחות בעבודה), תשנ"ו–1995</w:t>
    </w:r>
  </w:p>
  <w:p w14:paraId="2BD57329" w14:textId="77777777" w:rsidR="00846296" w:rsidRDefault="008462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AFBAA5" w14:textId="77777777" w:rsidR="00846296" w:rsidRDefault="008462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61A9" w14:textId="77777777" w:rsidR="00846296" w:rsidRDefault="00846296" w:rsidP="004B70E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העבירות המינהליות (קנס מינהלי </w:t>
    </w:r>
    <w:r w:rsidR="004B70E8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בטיחות בעבודה), תשנ"ו</w:t>
    </w:r>
    <w:r w:rsidR="004B70E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14:paraId="1BEC9A44" w14:textId="77777777" w:rsidR="00846296" w:rsidRDefault="008462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E6DE92" w14:textId="77777777" w:rsidR="00846296" w:rsidRDefault="008462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539F"/>
    <w:rsid w:val="00391CDE"/>
    <w:rsid w:val="003E10F2"/>
    <w:rsid w:val="004B70E8"/>
    <w:rsid w:val="004F4617"/>
    <w:rsid w:val="005805AC"/>
    <w:rsid w:val="006919E9"/>
    <w:rsid w:val="00725637"/>
    <w:rsid w:val="008352C3"/>
    <w:rsid w:val="00846296"/>
    <w:rsid w:val="00866B06"/>
    <w:rsid w:val="00921F37"/>
    <w:rsid w:val="00B13228"/>
    <w:rsid w:val="00F0068B"/>
    <w:rsid w:val="00F4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EDAB4C"/>
  <w15:chartTrackingRefBased/>
  <w15:docId w15:val="{9608E9AC-7064-4249-A23B-132E2AEB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B70E8"/>
    <w:rPr>
      <w:sz w:val="20"/>
      <w:szCs w:val="20"/>
    </w:rPr>
  </w:style>
  <w:style w:type="character" w:styleId="a6">
    <w:name w:val="footnote reference"/>
    <w:basedOn w:val="a0"/>
    <w:semiHidden/>
    <w:rsid w:val="004B70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176א</vt:lpstr>
    </vt:vector>
  </TitlesOfParts>
  <Company/>
  <LinksUpToDate>false</LinksUpToDate>
  <CharactersWithSpaces>2356</CharactersWithSpaces>
  <SharedDoc>false</SharedDoc>
  <HLinks>
    <vt:vector size="36" baseType="variant">
      <vt:variant>
        <vt:i4>5570569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176א</dc:title>
  <dc:subject/>
  <dc:creator>eli</dc:creator>
  <cp:keywords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P176K1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בטיחות בעבודה), תשנ"ו-1995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בטיחות בעבודה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עבירות מינהליות</vt:lpwstr>
  </property>
  <property fmtid="{D5CDD505-2E9C-101B-9397-08002B2CF9AE}" pid="18" name="NOSE43">
    <vt:lpwstr>קנס מינהלי</vt:lpwstr>
  </property>
  <property fmtid="{D5CDD505-2E9C-101B-9397-08002B2CF9AE}" pid="19" name="NOSE14">
    <vt:lpwstr>רשויות ומשפט מנהלי</vt:lpwstr>
  </property>
  <property fmtid="{D5CDD505-2E9C-101B-9397-08002B2CF9AE}" pid="20" name="NOSE24">
    <vt:lpwstr>עבירות מינהליות</vt:lpwstr>
  </property>
  <property fmtid="{D5CDD505-2E9C-101B-9397-08002B2CF9AE}" pid="21" name="NOSE34">
    <vt:lpwstr>קנס מינהלי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המינהליות</vt:lpwstr>
  </property>
  <property fmtid="{D5CDD505-2E9C-101B-9397-08002B2CF9AE}" pid="48" name="MEKOR_SAIF1">
    <vt:lpwstr>1X;2X</vt:lpwstr>
  </property>
</Properties>
</file>