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49D" w:rsidRDefault="006264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הגנת הפרטיות), תשס"ד-2004</w:t>
      </w:r>
    </w:p>
    <w:p w:rsidR="00265586" w:rsidRDefault="00265586" w:rsidP="00265586">
      <w:pPr>
        <w:spacing w:line="320" w:lineRule="auto"/>
        <w:rPr>
          <w:rFonts w:cs="FrankRuehl" w:hint="cs"/>
          <w:szCs w:val="26"/>
          <w:rtl/>
        </w:rPr>
      </w:pPr>
    </w:p>
    <w:p w:rsidR="003C1B4B" w:rsidRPr="00265586" w:rsidRDefault="003C1B4B" w:rsidP="00265586">
      <w:pPr>
        <w:spacing w:line="320" w:lineRule="auto"/>
        <w:rPr>
          <w:rFonts w:cs="FrankRuehl" w:hint="cs"/>
          <w:szCs w:val="26"/>
          <w:rtl/>
        </w:rPr>
      </w:pPr>
    </w:p>
    <w:p w:rsidR="00265586" w:rsidRDefault="00265586" w:rsidP="00265586">
      <w:pPr>
        <w:spacing w:line="320" w:lineRule="auto"/>
        <w:rPr>
          <w:rFonts w:cs="Miriam"/>
          <w:szCs w:val="22"/>
          <w:rtl/>
        </w:rPr>
      </w:pPr>
      <w:r w:rsidRPr="00265586">
        <w:rPr>
          <w:rFonts w:cs="Miriam"/>
          <w:szCs w:val="22"/>
          <w:rtl/>
        </w:rPr>
        <w:t xml:space="preserve">דיני חוקה </w:t>
      </w:r>
      <w:r w:rsidRPr="00265586">
        <w:rPr>
          <w:rFonts w:cs="FrankRuehl"/>
          <w:szCs w:val="26"/>
          <w:rtl/>
        </w:rPr>
        <w:t xml:space="preserve"> – הגנת הפרטיות</w:t>
      </w:r>
    </w:p>
    <w:p w:rsidR="00265586" w:rsidRDefault="00265586" w:rsidP="00265586">
      <w:pPr>
        <w:spacing w:line="320" w:lineRule="auto"/>
        <w:rPr>
          <w:rFonts w:cs="Miriam"/>
          <w:szCs w:val="22"/>
          <w:rtl/>
        </w:rPr>
      </w:pPr>
      <w:r w:rsidRPr="00265586">
        <w:rPr>
          <w:rFonts w:cs="Miriam"/>
          <w:szCs w:val="22"/>
          <w:rtl/>
        </w:rPr>
        <w:t>עונשין ומשפט פלילי</w:t>
      </w:r>
      <w:r w:rsidRPr="00265586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265586" w:rsidRDefault="00265586" w:rsidP="00265586">
      <w:pPr>
        <w:spacing w:line="320" w:lineRule="auto"/>
        <w:rPr>
          <w:rFonts w:cs="Miriam"/>
          <w:szCs w:val="22"/>
          <w:rtl/>
        </w:rPr>
      </w:pPr>
      <w:r w:rsidRPr="00265586">
        <w:rPr>
          <w:rFonts w:cs="Miriam"/>
          <w:szCs w:val="22"/>
          <w:rtl/>
        </w:rPr>
        <w:t>בתי משפט וסדרי דין</w:t>
      </w:r>
      <w:r w:rsidRPr="00265586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:rsidR="00997272" w:rsidRPr="00265586" w:rsidRDefault="00265586" w:rsidP="00265586">
      <w:pPr>
        <w:spacing w:line="320" w:lineRule="auto"/>
        <w:rPr>
          <w:rFonts w:cs="Miriam" w:hint="cs"/>
          <w:szCs w:val="22"/>
          <w:rtl/>
        </w:rPr>
      </w:pPr>
      <w:r w:rsidRPr="00265586">
        <w:rPr>
          <w:rFonts w:cs="Miriam"/>
          <w:szCs w:val="22"/>
          <w:rtl/>
        </w:rPr>
        <w:t>רשויות ומשפט מנהלי</w:t>
      </w:r>
      <w:r w:rsidRPr="00265586">
        <w:rPr>
          <w:rFonts w:cs="FrankRuehl"/>
          <w:szCs w:val="26"/>
          <w:rtl/>
        </w:rPr>
        <w:t xml:space="preserve"> – עבירות מינהליות – קנס מינהלי</w:t>
      </w:r>
    </w:p>
    <w:p w:rsidR="0062649D" w:rsidRDefault="006264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7557" w:rsidRPr="00D97557" w:rsidTr="00D975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567" w:type="dxa"/>
          </w:tcPr>
          <w:p w:rsidR="00D97557" w:rsidRPr="00D97557" w:rsidRDefault="00D97557" w:rsidP="00D97557">
            <w:pPr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D975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7557" w:rsidRPr="00D97557" w:rsidTr="00D975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:rsidR="00D97557" w:rsidRPr="00D97557" w:rsidRDefault="00D97557" w:rsidP="00D97557">
            <w:pPr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D975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7557" w:rsidRPr="00D97557" w:rsidTr="00D975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567" w:type="dxa"/>
          </w:tcPr>
          <w:p w:rsidR="00D97557" w:rsidRPr="00D97557" w:rsidRDefault="00D97557" w:rsidP="00D97557">
            <w:pPr>
              <w:rPr>
                <w:rStyle w:val="Hyperlink"/>
                <w:rFonts w:hint="cs"/>
                <w:rtl/>
              </w:rPr>
            </w:pPr>
            <w:hyperlink w:anchor="Seif3" w:tooltip="עבירה מינהלית נמשכת" w:history="1">
              <w:r w:rsidRPr="00D975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7557" w:rsidRPr="00D97557" w:rsidTr="00D975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D97557" w:rsidRPr="00D97557" w:rsidRDefault="00D97557" w:rsidP="00D97557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D975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7557" w:rsidRPr="00D97557" w:rsidTr="00D975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:rsidR="00D97557" w:rsidRPr="00D97557" w:rsidRDefault="00D97557" w:rsidP="00D97557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D975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7557" w:rsidRPr="00D97557" w:rsidRDefault="00D97557" w:rsidP="00D975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2649D" w:rsidRDefault="0062649D">
      <w:pPr>
        <w:pStyle w:val="big-header"/>
        <w:ind w:left="0" w:right="1134"/>
        <w:rPr>
          <w:rFonts w:cs="FrankRuehl" w:hint="cs"/>
          <w:sz w:val="32"/>
          <w:rtl/>
        </w:rPr>
      </w:pPr>
    </w:p>
    <w:p w:rsidR="00387263" w:rsidRDefault="0062649D" w:rsidP="0026558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387263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387263">
        <w:rPr>
          <w:rFonts w:cs="FrankRuehl"/>
          <w:sz w:val="32"/>
          <w:rtl/>
        </w:rPr>
        <w:t>–</w:t>
      </w:r>
      <w:r w:rsidR="00387263">
        <w:rPr>
          <w:rFonts w:cs="FrankRuehl" w:hint="cs"/>
          <w:sz w:val="32"/>
          <w:rtl/>
        </w:rPr>
        <w:t xml:space="preserve"> הגנת הפרטיות), תשס"ד-2004</w:t>
      </w:r>
      <w:r w:rsidR="00387263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387263" w:rsidRDefault="00387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החוקה חוק ומשפט של הכנסת, אני מתקין תקנות אלה:</w:t>
      </w:r>
    </w:p>
    <w:p w:rsidR="00387263" w:rsidRDefault="00387263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10pt;z-index:251655168" filled="f" stroked="f" strokecolor="lime" strokeweight=".25pt">
            <v:textbox style="mso-next-textbox:#_x0000_s1026" inset="1mm,0,1mm,0">
              <w:txbxContent>
                <w:p w:rsidR="00387263" w:rsidRDefault="003872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עבירה על סעיפים בחוק הגנת הפרטיות, התשמ"א-1981, כמפורט בטור א' שבתוספת, היא עבירה מינהלית.</w:t>
      </w:r>
    </w:p>
    <w:p w:rsidR="00387263" w:rsidRDefault="00387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52" style="position:absolute;left:0;text-align:left;margin-left:468pt;margin-top:8.05pt;width:70.55pt;height:8.95pt;z-index:251656192" filled="f" stroked="f" strokecolor="lime" strokeweight=".25pt">
            <v:textbox style="mso-next-textbox:#_x0000_s1152" inset="1mm,0,1mm,0">
              <w:txbxContent>
                <w:p w:rsidR="00387263" w:rsidRDefault="003872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</w:t>
      </w:r>
      <w:r>
        <w:rPr>
          <w:rStyle w:val="default"/>
          <w:rFonts w:cs="FrankRuehl"/>
          <w:rtl/>
        </w:rPr>
        <w:t>–</w:t>
      </w:r>
    </w:p>
    <w:p w:rsidR="00387263" w:rsidRDefault="0038726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לצדה בטור ב' בתוספת;</w:t>
      </w:r>
    </w:p>
    <w:p w:rsidR="00387263" w:rsidRDefault="0038726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 חמישה מהאמור בפסקה (1).</w:t>
      </w:r>
    </w:p>
    <w:p w:rsidR="00387263" w:rsidRDefault="00387263" w:rsidP="00A46EA1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166" style="position:absolute;left:0;text-align:left;margin-left:468pt;margin-top:8.05pt;width:70.55pt;height:30.95pt;z-index:251657216" filled="f" stroked="f" strokecolor="lime" strokeweight=".25pt">
            <v:textbox style="mso-next-textbox:#_x0000_s1166" inset="1mm,0,1mm,0">
              <w:txbxContent>
                <w:p w:rsidR="00387263" w:rsidRDefault="003872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נמשכת</w:t>
                  </w:r>
                </w:p>
                <w:p w:rsidR="00A46EA1" w:rsidRDefault="00A46EA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הקנס המינהלי הקצוב לעבירה מינהלית נמשכת יהיה </w:t>
      </w:r>
      <w:r w:rsidR="00A46EA1" w:rsidRPr="00A46EA1">
        <w:rPr>
          <w:rStyle w:val="big-number"/>
          <w:rFonts w:cs="FrankRuehl" w:hint="cs"/>
          <w:sz w:val="26"/>
          <w:szCs w:val="26"/>
          <w:rtl/>
        </w:rPr>
        <w:t>קנס בשיעור החלק העשירי של הקנס הקבוע בתקנה 2, לפי העניין</w:t>
      </w:r>
      <w:r>
        <w:rPr>
          <w:rStyle w:val="big-number"/>
          <w:rFonts w:cs="FrankRuehl" w:hint="cs"/>
          <w:sz w:val="26"/>
          <w:szCs w:val="26"/>
          <w:rtl/>
        </w:rPr>
        <w:t xml:space="preserve"> לכל יום שבו נמשכת העבירה לאחר המועד שנקבע בהתראה כאמור בסעיף 2(ג2) לחוק.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6"/>
      <w:r w:rsidRPr="0025182D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518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6913</w:t>
        </w:r>
      </w:hyperlink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28.7.2010 עמ' 1430</w:t>
      </w:r>
    </w:p>
    <w:p w:rsidR="00A46EA1" w:rsidRPr="00A46EA1" w:rsidRDefault="00A46EA1" w:rsidP="00A46EA1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25182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5182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הקנס המינהלי הקצוב לעבירה מינהלית נמשכת יהיה 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כאמור בטור ג' בתוספת</w:t>
      </w: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5182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קנס בשיעור החלק העשירי של הקנס הקבוע בתקנה 2, לפי העניין</w:t>
      </w: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יום שבו נמשכת העבירה לאחר המועד שנקבע בהתראה כאמור בסעיף 2(ג2) לחוק.</w:t>
      </w:r>
      <w:bookmarkEnd w:id="3"/>
    </w:p>
    <w:p w:rsidR="00387263" w:rsidRDefault="00387263" w:rsidP="00A46EA1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Miriam"/>
          <w:lang w:val="he-IL"/>
        </w:rPr>
        <w:pict>
          <v:rect id="_x0000_s1169" style="position:absolute;left:0;text-align:left;margin-left:468pt;margin-top:8.05pt;width:70.55pt;height:8.95pt;z-index:251658240" filled="f" stroked="f" strokecolor="lime" strokeweight=".25pt">
            <v:textbox style="mso-next-textbox:#_x0000_s1169" inset="1mm,0,1mm,0">
              <w:txbxContent>
                <w:p w:rsidR="00387263" w:rsidRDefault="00A46EA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46EA1">
        <w:rPr>
          <w:rStyle w:val="big-number"/>
          <w:rFonts w:cs="FrankRuehl" w:hint="cs"/>
          <w:sz w:val="26"/>
          <w:szCs w:val="26"/>
          <w:rtl/>
        </w:rPr>
        <w:t>(בוטלה)</w:t>
      </w:r>
      <w:r>
        <w:rPr>
          <w:rStyle w:val="big-number"/>
          <w:rFonts w:cs="FrankRuehl" w:hint="cs"/>
          <w:sz w:val="26"/>
          <w:szCs w:val="26"/>
          <w:rtl/>
        </w:rPr>
        <w:t>.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7"/>
      <w:r w:rsidRPr="0025182D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2518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6913</w:t>
        </w:r>
      </w:hyperlink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28.7.2010 עמ' 1430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:rsidR="00A46EA1" w:rsidRPr="0025182D" w:rsidRDefault="00A46EA1" w:rsidP="00A46EA1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46EA1" w:rsidRPr="0025182D" w:rsidRDefault="00A46EA1" w:rsidP="00A46EA1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5182D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עבירה מינהלית חוזרת</w:t>
      </w:r>
    </w:p>
    <w:p w:rsidR="00A46EA1" w:rsidRPr="00A46EA1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strike/>
          <w:sz w:val="2"/>
          <w:szCs w:val="2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5182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25182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הקנס המינהלי הקצוב לעבירה מינהלית חוזרת יהיה כפל הקנס המינהלי הקבוע לעבירה המינהלית.</w:t>
      </w:r>
      <w:bookmarkEnd w:id="4"/>
    </w:p>
    <w:p w:rsidR="00387263" w:rsidRDefault="00387263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4"/>
      <w:bookmarkEnd w:id="5"/>
      <w:r>
        <w:rPr>
          <w:rFonts w:cs="Miriam"/>
          <w:lang w:val="he-IL"/>
        </w:rPr>
        <w:pict>
          <v:rect id="_x0000_s1170" style="position:absolute;left:0;text-align:left;margin-left:468pt;margin-top:8.05pt;width:70.55pt;height:11.1pt;z-index:251659264" filled="f" stroked="f" strokecolor="lime" strokeweight=".25pt">
            <v:textbox style="mso-next-textbox:#_x0000_s1170" inset="1mm,0,1mm,0">
              <w:txbxContent>
                <w:p w:rsidR="00387263" w:rsidRDefault="003872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30 ימים מיום פרסומן.</w:t>
      </w:r>
    </w:p>
    <w:p w:rsidR="00387263" w:rsidRDefault="00387263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387263" w:rsidRPr="003C1B4B" w:rsidRDefault="0025182D" w:rsidP="003C1B4B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0"/>
      <w:bookmarkEnd w:id="6"/>
      <w:r w:rsidRPr="003C1B4B">
        <w:rPr>
          <w:rFonts w:cs="FrankRuehl" w:hint="cs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position:absolute;left:0;text-align:left;margin-left:470.35pt;margin-top:7.1pt;width:1in;height:11pt;z-index:251660288" filled="f" stroked="f">
            <v:textbox inset="1mm,0,1mm,0">
              <w:txbxContent>
                <w:p w:rsidR="0025182D" w:rsidRDefault="0025182D" w:rsidP="002518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shape>
        </w:pict>
      </w:r>
      <w:r w:rsidR="00387263" w:rsidRPr="003C1B4B">
        <w:rPr>
          <w:rFonts w:cs="FrankRuehl" w:hint="cs"/>
          <w:noProof/>
          <w:rtl/>
        </w:rPr>
        <w:t>תוספת</w:t>
      </w:r>
    </w:p>
    <w:p w:rsidR="00387263" w:rsidRDefault="00A46EA1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4"/>
          <w:szCs w:val="24"/>
          <w:rtl/>
        </w:rPr>
      </w:pPr>
      <w:r>
        <w:rPr>
          <w:rStyle w:val="big-number"/>
          <w:rFonts w:cs="FrankRuehl" w:hint="cs"/>
          <w:sz w:val="24"/>
          <w:szCs w:val="24"/>
          <w:rtl/>
        </w:rPr>
        <w:t>(תקנה</w:t>
      </w:r>
      <w:r w:rsidR="00387263">
        <w:rPr>
          <w:rStyle w:val="big-number"/>
          <w:rFonts w:cs="FrankRuehl" w:hint="cs"/>
          <w:sz w:val="24"/>
          <w:szCs w:val="24"/>
          <w:rtl/>
        </w:rPr>
        <w:t xml:space="preserve"> 1 עד 3)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273"/>
        </w:tabs>
        <w:spacing w:before="0"/>
        <w:ind w:left="0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טור א'</w:t>
      </w:r>
      <w:r>
        <w:rPr>
          <w:rStyle w:val="big-number"/>
          <w:rFonts w:cs="FrankRuehl" w:hint="cs"/>
          <w:sz w:val="22"/>
          <w:szCs w:val="22"/>
          <w:rtl/>
        </w:rPr>
        <w:tab/>
      </w:r>
      <w:r w:rsidR="00A46EA1">
        <w:rPr>
          <w:rStyle w:val="big-number"/>
          <w:rFonts w:cs="FrankRuehl" w:hint="cs"/>
          <w:sz w:val="22"/>
          <w:szCs w:val="22"/>
          <w:rtl/>
        </w:rPr>
        <w:t>טור ב'</w:t>
      </w:r>
    </w:p>
    <w:p w:rsidR="00387263" w:rsidRDefault="00387263" w:rsidP="00A46E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273"/>
        </w:tabs>
        <w:spacing w:before="0"/>
        <w:ind w:left="0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סעיפים בחוק הגנת הפרטיות, התשמ"א-1981</w:t>
      </w:r>
      <w:r>
        <w:rPr>
          <w:rStyle w:val="big-number"/>
          <w:rFonts w:cs="FrankRuehl" w:hint="cs"/>
          <w:sz w:val="22"/>
          <w:szCs w:val="22"/>
          <w:rtl/>
        </w:rPr>
        <w:tab/>
      </w:r>
      <w:r w:rsidR="00A46EA1">
        <w:rPr>
          <w:rStyle w:val="big-number"/>
          <w:rFonts w:cs="FrankRuehl" w:hint="cs"/>
          <w:sz w:val="22"/>
          <w:szCs w:val="22"/>
          <w:rtl/>
        </w:rPr>
        <w:t xml:space="preserve">קנס מינהלי קצוב </w:t>
      </w:r>
      <w:r>
        <w:rPr>
          <w:rStyle w:val="big-number"/>
          <w:rFonts w:cs="FrankRuehl" w:hint="cs"/>
          <w:sz w:val="22"/>
          <w:szCs w:val="22"/>
          <w:rtl/>
        </w:rPr>
        <w:t>בשקלים חדשים</w:t>
      </w:r>
    </w:p>
    <w:p w:rsidR="00A46EA1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סעיף 31א(א)(1), לעניין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387263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סעיף 8(א)</w:t>
      </w:r>
      <w:r>
        <w:rPr>
          <w:rStyle w:val="big-number"/>
          <w:rFonts w:cs="FrankRuehl" w:hint="cs"/>
          <w:sz w:val="26"/>
          <w:szCs w:val="26"/>
          <w:rtl/>
        </w:rPr>
        <w:tab/>
        <w:t>2,000</w:t>
      </w:r>
    </w:p>
    <w:p w:rsidR="00A46EA1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סעיף 8(ב)</w:t>
      </w:r>
      <w:r>
        <w:rPr>
          <w:rStyle w:val="big-number"/>
          <w:rFonts w:cs="FrankRuehl" w:hint="cs"/>
          <w:sz w:val="26"/>
          <w:szCs w:val="26"/>
          <w:rtl/>
        </w:rPr>
        <w:tab/>
        <w:t>5,000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31א(א)(2)</w:t>
      </w:r>
      <w:r>
        <w:rPr>
          <w:rStyle w:val="big-number"/>
          <w:rFonts w:cs="FrankRuehl" w:hint="cs"/>
          <w:sz w:val="26"/>
          <w:szCs w:val="26"/>
          <w:rtl/>
        </w:rPr>
        <w:tab/>
        <w:t>2</w:t>
      </w:r>
      <w:r w:rsidR="00A46EA1">
        <w:rPr>
          <w:rStyle w:val="big-number"/>
          <w:rFonts w:cs="FrankRuehl" w:hint="cs"/>
          <w:sz w:val="26"/>
          <w:szCs w:val="26"/>
          <w:rtl/>
        </w:rPr>
        <w:t>,0</w:t>
      </w:r>
      <w:r>
        <w:rPr>
          <w:rStyle w:val="big-number"/>
          <w:rFonts w:cs="FrankRuehl" w:hint="cs"/>
          <w:sz w:val="26"/>
          <w:szCs w:val="26"/>
          <w:rtl/>
        </w:rPr>
        <w:t>00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A46EA1">
        <w:rPr>
          <w:rStyle w:val="big-number"/>
          <w:rFonts w:cs="FrankRuehl" w:hint="cs"/>
          <w:sz w:val="26"/>
          <w:szCs w:val="26"/>
          <w:rtl/>
        </w:rPr>
        <w:t>3,000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31א(א)(4), לעני</w:t>
      </w:r>
      <w:r w:rsidR="0025182D">
        <w:rPr>
          <w:rStyle w:val="big-number"/>
          <w:rFonts w:cs="FrankRuehl" w:hint="cs"/>
          <w:sz w:val="26"/>
          <w:szCs w:val="26"/>
          <w:rtl/>
        </w:rPr>
        <w:t>י</w:t>
      </w:r>
      <w:r>
        <w:rPr>
          <w:rStyle w:val="big-number"/>
          <w:rFonts w:cs="FrankRuehl" w:hint="cs"/>
          <w:sz w:val="26"/>
          <w:szCs w:val="26"/>
          <w:rtl/>
        </w:rPr>
        <w:t xml:space="preserve">ן </w:t>
      </w:r>
      <w:r w:rsidR="0025182D">
        <w:rPr>
          <w:rStyle w:val="big-number"/>
          <w:rFonts w:cs="FrankRuehl" w:hint="cs"/>
          <w:sz w:val="26"/>
          <w:szCs w:val="26"/>
          <w:rtl/>
        </w:rPr>
        <w:t>סעיף 13</w:t>
      </w:r>
      <w:r w:rsidR="0025182D">
        <w:rPr>
          <w:rStyle w:val="big-number"/>
          <w:rFonts w:cs="FrankRuehl" w:hint="cs"/>
          <w:sz w:val="26"/>
          <w:szCs w:val="26"/>
          <w:rtl/>
        </w:rPr>
        <w:tab/>
        <w:t>3,000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31א(א)(5)</w:t>
      </w:r>
      <w:r w:rsidR="0025182D">
        <w:rPr>
          <w:rStyle w:val="big-number"/>
          <w:rFonts w:cs="FrankRuehl" w:hint="cs"/>
          <w:sz w:val="26"/>
          <w:szCs w:val="26"/>
          <w:rtl/>
        </w:rPr>
        <w:t>,</w:t>
      </w:r>
      <w:r>
        <w:rPr>
          <w:rStyle w:val="big-number"/>
          <w:rFonts w:cs="FrankRuehl" w:hint="cs"/>
          <w:sz w:val="26"/>
          <w:szCs w:val="26"/>
          <w:rtl/>
        </w:rPr>
        <w:t xml:space="preserve"> לענ</w:t>
      </w:r>
      <w:r w:rsidR="0025182D">
        <w:rPr>
          <w:rStyle w:val="big-number"/>
          <w:rFonts w:cs="FrankRuehl" w:hint="cs"/>
          <w:sz w:val="26"/>
          <w:szCs w:val="26"/>
          <w:rtl/>
        </w:rPr>
        <w:t>י</w:t>
      </w:r>
      <w:r>
        <w:rPr>
          <w:rStyle w:val="big-number"/>
          <w:rFonts w:cs="FrankRuehl" w:hint="cs"/>
          <w:sz w:val="26"/>
          <w:szCs w:val="26"/>
          <w:rtl/>
        </w:rPr>
        <w:t xml:space="preserve">ין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387263" w:rsidRDefault="00387263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סעיף 17א(א)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25182D">
        <w:rPr>
          <w:rStyle w:val="big-number"/>
          <w:rFonts w:cs="FrankRuehl" w:hint="cs"/>
          <w:sz w:val="26"/>
          <w:szCs w:val="26"/>
          <w:rtl/>
        </w:rPr>
        <w:t>3,000</w:t>
      </w:r>
    </w:p>
    <w:p w:rsidR="00387263" w:rsidRDefault="00387263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סעיף 17א(ב)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25182D">
        <w:rPr>
          <w:rStyle w:val="big-number"/>
          <w:rFonts w:cs="FrankRuehl" w:hint="cs"/>
          <w:sz w:val="26"/>
          <w:szCs w:val="26"/>
          <w:rtl/>
        </w:rPr>
        <w:t>2,000</w:t>
      </w:r>
    </w:p>
    <w:p w:rsidR="00387263" w:rsidRDefault="00387263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25182D">
        <w:rPr>
          <w:rStyle w:val="big-number"/>
          <w:rFonts w:cs="FrankRuehl" w:hint="cs"/>
          <w:sz w:val="26"/>
          <w:szCs w:val="26"/>
          <w:rtl/>
        </w:rPr>
        <w:t>3,000</w:t>
      </w:r>
    </w:p>
    <w:p w:rsidR="00387263" w:rsidRDefault="00387263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  <w:t>סעיף 31א(א)(7)</w:t>
      </w:r>
      <w:r w:rsidR="0025182D">
        <w:rPr>
          <w:rStyle w:val="big-number"/>
          <w:rFonts w:cs="FrankRuehl" w:hint="cs"/>
          <w:sz w:val="26"/>
          <w:szCs w:val="26"/>
          <w:rtl/>
        </w:rPr>
        <w:t>,</w:t>
      </w:r>
      <w:r>
        <w:rPr>
          <w:rStyle w:val="big-number"/>
          <w:rFonts w:cs="FrankRuehl" w:hint="cs"/>
          <w:sz w:val="26"/>
          <w:szCs w:val="26"/>
          <w:rtl/>
        </w:rPr>
        <w:t xml:space="preserve"> לענ</w:t>
      </w:r>
      <w:r w:rsidR="0025182D">
        <w:rPr>
          <w:rStyle w:val="big-number"/>
          <w:rFonts w:cs="FrankRuehl" w:hint="cs"/>
          <w:sz w:val="26"/>
          <w:szCs w:val="26"/>
          <w:rtl/>
        </w:rPr>
        <w:t>י</w:t>
      </w:r>
      <w:r>
        <w:rPr>
          <w:rStyle w:val="big-number"/>
          <w:rFonts w:cs="FrankRuehl" w:hint="cs"/>
          <w:sz w:val="26"/>
          <w:szCs w:val="26"/>
          <w:rtl/>
        </w:rPr>
        <w:t xml:space="preserve">ין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387263" w:rsidRDefault="0025182D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סעיף 17ד</w:t>
      </w:r>
      <w:r w:rsidR="00387263"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3,000</w:t>
      </w:r>
    </w:p>
    <w:p w:rsidR="0025182D" w:rsidRDefault="0025182D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סעיף 17ה</w:t>
      </w:r>
      <w:r>
        <w:rPr>
          <w:rStyle w:val="big-number"/>
          <w:rFonts w:cs="FrankRuehl" w:hint="cs"/>
          <w:sz w:val="26"/>
          <w:szCs w:val="26"/>
          <w:rtl/>
        </w:rPr>
        <w:tab/>
        <w:t>2,000</w:t>
      </w:r>
    </w:p>
    <w:p w:rsidR="00387263" w:rsidRDefault="00387263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5103"/>
        </w:tabs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</w:t>
      </w:r>
      <w:r w:rsidR="0025182D">
        <w:rPr>
          <w:rStyle w:val="big-number"/>
          <w:rFonts w:cs="FrankRuehl" w:hint="cs"/>
          <w:sz w:val="26"/>
          <w:szCs w:val="26"/>
          <w:rtl/>
        </w:rPr>
        <w:t>3</w:t>
      </w:r>
      <w:r>
        <w:rPr>
          <w:rStyle w:val="big-number"/>
          <w:rFonts w:cs="FrankRuehl" w:hint="cs"/>
          <w:sz w:val="26"/>
          <w:szCs w:val="26"/>
          <w:rtl/>
        </w:rPr>
        <w:t>)</w:t>
      </w:r>
      <w:r>
        <w:rPr>
          <w:rStyle w:val="big-number"/>
          <w:rFonts w:cs="FrankRuehl" w:hint="cs"/>
          <w:sz w:val="26"/>
          <w:szCs w:val="26"/>
          <w:rtl/>
        </w:rPr>
        <w:tab/>
        <w:t>סעיף 17ו</w:t>
      </w:r>
      <w:r w:rsidR="0025182D">
        <w:rPr>
          <w:rStyle w:val="big-number"/>
          <w:rFonts w:cs="FrankRuehl" w:hint="cs"/>
          <w:sz w:val="26"/>
          <w:szCs w:val="26"/>
          <w:rtl/>
        </w:rPr>
        <w:t>(א) ו-(ד)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25182D">
        <w:rPr>
          <w:rStyle w:val="big-number"/>
          <w:rFonts w:cs="FrankRuehl" w:hint="cs"/>
          <w:sz w:val="26"/>
          <w:szCs w:val="26"/>
          <w:rtl/>
        </w:rPr>
        <w:t>3,000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25182D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2518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6913</w:t>
        </w:r>
      </w:hyperlink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28.7.2010 עמ' 1430</w:t>
      </w:r>
    </w:p>
    <w:p w:rsidR="00A46EA1" w:rsidRPr="0025182D" w:rsidRDefault="00A46EA1" w:rsidP="00A46EA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:rsidR="00A46EA1" w:rsidRPr="0025182D" w:rsidRDefault="00A46EA1" w:rsidP="00A46EA1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46EA1" w:rsidRPr="0025182D" w:rsidRDefault="00A46EA1" w:rsidP="00A46EA1">
      <w:pPr>
        <w:pStyle w:val="P00"/>
        <w:spacing w:before="0"/>
        <w:ind w:left="0" w:right="1134"/>
        <w:jc w:val="center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</w:p>
    <w:p w:rsidR="00A46EA1" w:rsidRPr="0025182D" w:rsidRDefault="00A46EA1" w:rsidP="00A46EA1">
      <w:pPr>
        <w:pStyle w:val="P00"/>
        <w:spacing w:before="0"/>
        <w:ind w:left="0" w:right="1134"/>
        <w:jc w:val="center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(תקנות 1 עד 3)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  <w:tab w:val="center" w:pos="6237"/>
        </w:tabs>
        <w:spacing w:before="0"/>
        <w:ind w:left="0" w:right="1134"/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>טור ג'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  <w:tab w:val="center" w:pos="6237"/>
        </w:tabs>
        <w:spacing w:before="0"/>
        <w:ind w:left="0" w:right="1134"/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>טור ב'</w:t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קנס מינהלי קצוב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  <w:tab w:val="center" w:pos="6237"/>
        </w:tabs>
        <w:spacing w:before="0"/>
        <w:ind w:left="0" w:right="1134"/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>טור א'</w:t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קנס מינהלי קצוב</w:t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על עבירה נמשכת,</w:t>
      </w:r>
    </w:p>
    <w:p w:rsidR="00A46EA1" w:rsidRPr="0025182D" w:rsidRDefault="00A46EA1" w:rsidP="00A46E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253"/>
          <w:tab w:val="center" w:pos="6237"/>
        </w:tabs>
        <w:spacing w:before="0"/>
        <w:ind w:left="0" w:right="1134"/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>סעיפים בחוק הגנת הפרטיות, התשמ"א-1981</w:t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בשקלים חדשים</w:t>
      </w:r>
      <w:r w:rsidRPr="0025182D"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בשקלים חדשים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31א(א)(1)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31א(א)(2)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31א(א)(3)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סעיף 31א(א)(4), לענין </w:t>
      </w:r>
      <w:r w:rsidRPr="0025182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13א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סעיף 31א(א)(5) לענין </w:t>
      </w:r>
      <w:r w:rsidRPr="0025182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17א(א)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17א(ב)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31א(א)(6)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סעיף 31א(א)(7) לענין </w:t>
      </w:r>
      <w:r w:rsidRPr="0025182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A46EA1" w:rsidRPr="0025182D" w:rsidRDefault="00A46EA1" w:rsidP="00A46E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17ד ו-17ה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</w:t>
      </w:r>
    </w:p>
    <w:p w:rsidR="00A46EA1" w:rsidRPr="0025182D" w:rsidRDefault="00A46EA1" w:rsidP="002518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  <w:tab w:val="left" w:pos="5954"/>
        </w:tabs>
        <w:spacing w:before="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25182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17ו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200</w:t>
      </w:r>
      <w:r w:rsidRPr="0025182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</w:t>
      </w:r>
      <w:bookmarkEnd w:id="7"/>
    </w:p>
    <w:p w:rsidR="00387263" w:rsidRPr="003C1B4B" w:rsidRDefault="00387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87263" w:rsidRDefault="003872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87263" w:rsidRDefault="00387263" w:rsidP="003C1B4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י"א באדר התשס"ד (4 במרס 2004)</w:t>
      </w:r>
      <w:r>
        <w:rPr>
          <w:rFonts w:cs="FrankRuehl" w:hint="cs"/>
          <w:sz w:val="26"/>
          <w:szCs w:val="26"/>
          <w:rtl/>
        </w:rPr>
        <w:tab/>
        <w:t>יוסף (טומי) לפיד</w:t>
      </w:r>
    </w:p>
    <w:p w:rsidR="00332540" w:rsidRDefault="00387263" w:rsidP="003C1B4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p w:rsidR="00332540" w:rsidRDefault="00332540" w:rsidP="003C1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C1B4B" w:rsidRPr="003C1B4B" w:rsidRDefault="003C1B4B" w:rsidP="003C1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2540" w:rsidRDefault="00332540" w:rsidP="0033254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10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97557" w:rsidRDefault="00D97557" w:rsidP="003C1B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7557" w:rsidRDefault="00D97557" w:rsidP="003C1B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7557" w:rsidRDefault="00D97557" w:rsidP="00D975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87263" w:rsidRPr="00D97557" w:rsidRDefault="00387263" w:rsidP="00D9755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87263" w:rsidRPr="00D97557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24C" w:rsidRDefault="00AB024C">
      <w:r>
        <w:separator/>
      </w:r>
    </w:p>
  </w:endnote>
  <w:endnote w:type="continuationSeparator" w:id="0">
    <w:p w:rsidR="00AB024C" w:rsidRDefault="00AB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263" w:rsidRDefault="0038726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87263" w:rsidRDefault="0038726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87263" w:rsidRDefault="0038726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2540">
      <w:rPr>
        <w:rFonts w:cs="TopType Jerushalmi"/>
        <w:noProof/>
        <w:color w:val="000000"/>
        <w:sz w:val="14"/>
        <w:szCs w:val="14"/>
      </w:rPr>
      <w:t>V:\000-law\yael\10-07-28\tav\999_273.doc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263" w:rsidRDefault="0038726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755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87263" w:rsidRDefault="0038726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87263" w:rsidRDefault="0038726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2540">
      <w:rPr>
        <w:rFonts w:cs="TopType Jerushalmi"/>
        <w:noProof/>
        <w:color w:val="000000"/>
        <w:sz w:val="14"/>
        <w:szCs w:val="14"/>
      </w:rPr>
      <w:t>V:\000-law\yael\10-07-28\tav\999_273.doc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24C" w:rsidRDefault="00AB024C" w:rsidP="0062649D">
      <w:pPr>
        <w:spacing w:before="60"/>
        <w:ind w:right="1134"/>
      </w:pPr>
      <w:r>
        <w:separator/>
      </w:r>
    </w:p>
  </w:footnote>
  <w:footnote w:type="continuationSeparator" w:id="0">
    <w:p w:rsidR="00AB024C" w:rsidRDefault="00AB024C">
      <w:r>
        <w:continuationSeparator/>
      </w:r>
    </w:p>
  </w:footnote>
  <w:footnote w:id="1">
    <w:p w:rsidR="00387263" w:rsidRDefault="003872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200E62">
          <w:rPr>
            <w:rStyle w:val="Hyperlink"/>
            <w:rFonts w:cs="FrankRuehl" w:hint="cs"/>
            <w:rtl/>
          </w:rPr>
          <w:t>ק"ת תשס"ד מס' 6299</w:t>
        </w:r>
      </w:hyperlink>
      <w:r>
        <w:rPr>
          <w:rFonts w:cs="FrankRuehl" w:hint="cs"/>
          <w:rtl/>
        </w:rPr>
        <w:t xml:space="preserve"> מיום 24.3.2004 עמ' 323.</w:t>
      </w:r>
    </w:p>
    <w:p w:rsidR="00113B80" w:rsidRDefault="00D067F7" w:rsidP="00113B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113B80">
          <w:rPr>
            <w:rStyle w:val="Hyperlink"/>
            <w:rFonts w:cs="FrankRuehl" w:hint="cs"/>
            <w:rtl/>
          </w:rPr>
          <w:t>ק"ת תש"ע מס' 6913</w:t>
        </w:r>
      </w:hyperlink>
      <w:r>
        <w:rPr>
          <w:rFonts w:cs="FrankRuehl" w:hint="cs"/>
          <w:rtl/>
        </w:rPr>
        <w:t xml:space="preserve"> מיום 28.7.2010 עמ' 1430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תש"ע-2010.</w:t>
      </w:r>
      <w:r w:rsidR="00113B80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263" w:rsidRDefault="0038726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387263" w:rsidRDefault="003872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87263" w:rsidRDefault="003872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263" w:rsidRDefault="0038726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הגנת הפרטיות), תשס"ד-2004</w:t>
    </w:r>
  </w:p>
  <w:p w:rsidR="00387263" w:rsidRDefault="003872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87263" w:rsidRDefault="0038726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8176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E62"/>
    <w:rsid w:val="00113B80"/>
    <w:rsid w:val="00200E62"/>
    <w:rsid w:val="00202795"/>
    <w:rsid w:val="0025182D"/>
    <w:rsid w:val="00265586"/>
    <w:rsid w:val="00330111"/>
    <w:rsid w:val="00332540"/>
    <w:rsid w:val="00387263"/>
    <w:rsid w:val="003A477F"/>
    <w:rsid w:val="003C1B4B"/>
    <w:rsid w:val="00523E04"/>
    <w:rsid w:val="00551A47"/>
    <w:rsid w:val="0062649D"/>
    <w:rsid w:val="009264AD"/>
    <w:rsid w:val="00997272"/>
    <w:rsid w:val="00A46EA1"/>
    <w:rsid w:val="00AB024C"/>
    <w:rsid w:val="00B15A23"/>
    <w:rsid w:val="00C057F9"/>
    <w:rsid w:val="00D067F7"/>
    <w:rsid w:val="00D97557"/>
    <w:rsid w:val="00E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BD3F4DD-E5FE-4041-824A-17F95FF0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basedOn w:val="a0"/>
    <w:rsid w:val="00113B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13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91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913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913.pdf" TargetMode="External"/><Relationship Id="rId1" Type="http://schemas.openxmlformats.org/officeDocument/2006/relationships/hyperlink" Target="http://www.nevo.co.il/Law_word/law06/TAK-62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3455</CharactersWithSpaces>
  <SharedDoc>false</SharedDoc>
  <HLinks>
    <vt:vector size="72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  <vt:variant>
        <vt:i4>8257538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  <vt:variant>
        <vt:i4>8257538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הגנת הפרטיות), תשס"ד-2004</vt:lpwstr>
  </property>
  <property fmtid="{D5CDD505-2E9C-101B-9397-08002B2CF9AE}" pid="4" name="LAWNUMBER">
    <vt:lpwstr>0273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NOSE11">
    <vt:lpwstr>דיני חוקה </vt:lpwstr>
  </property>
  <property fmtid="{D5CDD505-2E9C-101B-9397-08002B2CF9AE}" pid="8" name="NOSE21">
    <vt:lpwstr>הגנת הפרטיות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http://www.nevo.co.il/Law_word/law06/tak-6913.pdf;‎רשומות – תקנות כלליות#תוקנו ק"ת תש"ע ‏מס' 6913#מיום 28.7.2010#עמ' 1430#תק' תש"ע-2010‏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