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16CB" w14:textId="77777777" w:rsidR="005E276D" w:rsidRDefault="005E276D">
      <w:pPr>
        <w:pStyle w:val="big-header"/>
        <w:ind w:left="0" w:right="1134"/>
        <w:rPr>
          <w:rFonts w:cs="FrankRuehl" w:hint="cs"/>
          <w:sz w:val="32"/>
          <w:rtl/>
        </w:rPr>
      </w:pPr>
      <w:r>
        <w:rPr>
          <w:rFonts w:cs="FrankRuehl" w:hint="cs"/>
          <w:sz w:val="32"/>
          <w:rtl/>
        </w:rPr>
        <w:t xml:space="preserve">תקנות העבירות המינהליות (קנס מינהלי </w:t>
      </w:r>
      <w:r>
        <w:rPr>
          <w:rFonts w:cs="FrankRuehl"/>
          <w:sz w:val="32"/>
          <w:rtl/>
        </w:rPr>
        <w:t>–</w:t>
      </w:r>
      <w:r>
        <w:rPr>
          <w:rFonts w:cs="FrankRuehl" w:hint="cs"/>
          <w:sz w:val="32"/>
          <w:rtl/>
        </w:rPr>
        <w:t xml:space="preserve"> מסירת הודעה אודות תנאי עבודה), תשס"ב-2002</w:t>
      </w:r>
    </w:p>
    <w:p w14:paraId="34234B87" w14:textId="77777777" w:rsidR="003B0744" w:rsidRPr="003B0744" w:rsidRDefault="003B0744" w:rsidP="003B0744">
      <w:pPr>
        <w:spacing w:line="320" w:lineRule="auto"/>
        <w:rPr>
          <w:rFonts w:cs="FrankRuehl"/>
          <w:szCs w:val="26"/>
          <w:rtl/>
        </w:rPr>
      </w:pPr>
    </w:p>
    <w:p w14:paraId="49155575" w14:textId="77777777" w:rsidR="003B0744" w:rsidRDefault="003B0744" w:rsidP="003B0744">
      <w:pPr>
        <w:spacing w:line="320" w:lineRule="auto"/>
        <w:rPr>
          <w:rtl/>
        </w:rPr>
      </w:pPr>
    </w:p>
    <w:p w14:paraId="527C340F" w14:textId="77777777" w:rsidR="003B0744" w:rsidRDefault="003B0744" w:rsidP="003B0744">
      <w:pPr>
        <w:spacing w:line="320" w:lineRule="auto"/>
        <w:rPr>
          <w:rFonts w:cs="FrankRuehl"/>
          <w:szCs w:val="26"/>
          <w:rtl/>
        </w:rPr>
      </w:pPr>
      <w:r w:rsidRPr="003B0744">
        <w:rPr>
          <w:rFonts w:cs="Miriam"/>
          <w:szCs w:val="22"/>
          <w:rtl/>
        </w:rPr>
        <w:t>עבודה</w:t>
      </w:r>
      <w:r w:rsidRPr="003B0744">
        <w:rPr>
          <w:rFonts w:cs="FrankRuehl"/>
          <w:szCs w:val="26"/>
          <w:rtl/>
        </w:rPr>
        <w:t xml:space="preserve"> – הודעה לעובד</w:t>
      </w:r>
    </w:p>
    <w:p w14:paraId="01E5F307" w14:textId="77777777" w:rsidR="003B0744" w:rsidRDefault="003B0744" w:rsidP="003B0744">
      <w:pPr>
        <w:spacing w:line="320" w:lineRule="auto"/>
        <w:rPr>
          <w:rFonts w:cs="FrankRuehl"/>
          <w:szCs w:val="26"/>
          <w:rtl/>
        </w:rPr>
      </w:pPr>
      <w:r w:rsidRPr="003B0744">
        <w:rPr>
          <w:rFonts w:cs="Miriam"/>
          <w:szCs w:val="22"/>
          <w:rtl/>
        </w:rPr>
        <w:t>עונשין ומשפט פלילי</w:t>
      </w:r>
      <w:r w:rsidRPr="003B0744">
        <w:rPr>
          <w:rFonts w:cs="FrankRuehl"/>
          <w:szCs w:val="26"/>
          <w:rtl/>
        </w:rPr>
        <w:t xml:space="preserve"> – עבירות – עבירות מינהליות – קנס מינהלי</w:t>
      </w:r>
    </w:p>
    <w:p w14:paraId="6DA90345" w14:textId="77777777" w:rsidR="003B0744" w:rsidRDefault="003B0744" w:rsidP="003B0744">
      <w:pPr>
        <w:spacing w:line="320" w:lineRule="auto"/>
        <w:rPr>
          <w:rFonts w:cs="FrankRuehl"/>
          <w:szCs w:val="26"/>
          <w:rtl/>
        </w:rPr>
      </w:pPr>
      <w:r w:rsidRPr="003B0744">
        <w:rPr>
          <w:rFonts w:cs="Miriam"/>
          <w:szCs w:val="22"/>
          <w:rtl/>
        </w:rPr>
        <w:t>בתי משפט וסדרי דין</w:t>
      </w:r>
      <w:r w:rsidRPr="003B0744">
        <w:rPr>
          <w:rFonts w:cs="FrankRuehl"/>
          <w:szCs w:val="26"/>
          <w:rtl/>
        </w:rPr>
        <w:t xml:space="preserve"> – סדר דין פלילי – עבירות מינהליות – קנס מינהלי</w:t>
      </w:r>
    </w:p>
    <w:p w14:paraId="07EF62F6" w14:textId="77777777" w:rsidR="003B0744" w:rsidRDefault="003B0744" w:rsidP="003B0744">
      <w:pPr>
        <w:spacing w:line="320" w:lineRule="auto"/>
        <w:rPr>
          <w:rFonts w:cs="FrankRuehl"/>
          <w:szCs w:val="26"/>
          <w:rtl/>
        </w:rPr>
      </w:pPr>
      <w:r w:rsidRPr="003B0744">
        <w:rPr>
          <w:rFonts w:cs="Miriam"/>
          <w:szCs w:val="22"/>
          <w:rtl/>
        </w:rPr>
        <w:t>רשויות ומשפט מנהלי</w:t>
      </w:r>
      <w:r w:rsidRPr="003B0744">
        <w:rPr>
          <w:rFonts w:cs="FrankRuehl"/>
          <w:szCs w:val="26"/>
          <w:rtl/>
        </w:rPr>
        <w:t xml:space="preserve"> – עבירות מינהליות – קנס מינהלי</w:t>
      </w:r>
    </w:p>
    <w:p w14:paraId="05B42959" w14:textId="77777777" w:rsidR="004A62EA" w:rsidRPr="003B0744" w:rsidRDefault="003B0744" w:rsidP="003B0744">
      <w:pPr>
        <w:spacing w:line="320" w:lineRule="auto"/>
        <w:rPr>
          <w:rFonts w:cs="Miriam"/>
          <w:szCs w:val="22"/>
          <w:rtl/>
        </w:rPr>
      </w:pPr>
      <w:r w:rsidRPr="003B0744">
        <w:rPr>
          <w:rFonts w:cs="Miriam"/>
          <w:szCs w:val="22"/>
          <w:rtl/>
        </w:rPr>
        <w:t>עבודה</w:t>
      </w:r>
      <w:r w:rsidRPr="003B0744">
        <w:rPr>
          <w:rFonts w:cs="FrankRuehl"/>
          <w:szCs w:val="26"/>
          <w:rtl/>
        </w:rPr>
        <w:t xml:space="preserve"> – עובדים – תנאי עבודה</w:t>
      </w:r>
    </w:p>
    <w:p w14:paraId="6BA2F4BA" w14:textId="77777777" w:rsidR="005E276D" w:rsidRDefault="005E276D">
      <w:pPr>
        <w:pStyle w:val="big-header"/>
        <w:ind w:left="0" w:right="1134"/>
        <w:rPr>
          <w:rFonts w:cs="FrankRuehl" w:hint="cs"/>
          <w:sz w:val="32"/>
          <w:rtl/>
        </w:rPr>
      </w:pPr>
      <w:r>
        <w:rPr>
          <w:rFonts w:cs="FrankRuehl" w:hint="cs"/>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34CED" w14:paraId="65200473" w14:textId="77777777">
        <w:tblPrEx>
          <w:tblCellMar>
            <w:top w:w="0" w:type="dxa"/>
            <w:bottom w:w="0" w:type="dxa"/>
          </w:tblCellMar>
        </w:tblPrEx>
        <w:tc>
          <w:tcPr>
            <w:tcW w:w="850" w:type="dxa"/>
          </w:tcPr>
          <w:p w14:paraId="659362A7" w14:textId="77777777" w:rsidR="00B34CED" w:rsidRDefault="005E276D">
            <w:pPr>
              <w:rPr>
                <w:rFonts w:hint="cs"/>
              </w:rPr>
            </w:pPr>
            <w:r>
              <w:rPr>
                <w:rFonts w:hint="cs"/>
                <w:rtl/>
              </w:rPr>
              <w:t>2</w:t>
            </w:r>
          </w:p>
        </w:tc>
        <w:tc>
          <w:tcPr>
            <w:tcW w:w="567" w:type="dxa"/>
          </w:tcPr>
          <w:p w14:paraId="623C8DD6" w14:textId="77777777" w:rsidR="00B34CED" w:rsidRDefault="00B34CED">
            <w:hyperlink w:anchor="Seif0" w:tooltip="עבירות מינהליות" w:history="1">
              <w:r>
                <w:rPr>
                  <w:rStyle w:val="Hyperlink"/>
                </w:rPr>
                <w:t>Go</w:t>
              </w:r>
            </w:hyperlink>
          </w:p>
        </w:tc>
        <w:tc>
          <w:tcPr>
            <w:tcW w:w="5669" w:type="dxa"/>
          </w:tcPr>
          <w:p w14:paraId="481A3D88" w14:textId="77777777" w:rsidR="00B34CED" w:rsidRDefault="00B34CED">
            <w:pPr>
              <w:rPr>
                <w:rtl/>
              </w:rPr>
            </w:pPr>
            <w:r>
              <w:rPr>
                <w:rtl/>
              </w:rPr>
              <w:t>עבירות מינהליות</w:t>
            </w:r>
          </w:p>
        </w:tc>
        <w:tc>
          <w:tcPr>
            <w:tcW w:w="1247" w:type="dxa"/>
          </w:tcPr>
          <w:p w14:paraId="31B76EBD" w14:textId="77777777" w:rsidR="00B34CED" w:rsidRDefault="00B34CED">
            <w:r>
              <w:rPr>
                <w:rtl/>
              </w:rPr>
              <w:t xml:space="preserve">סעיף 1 </w:t>
            </w:r>
          </w:p>
        </w:tc>
      </w:tr>
      <w:tr w:rsidR="00B34CED" w14:paraId="2045F7E5" w14:textId="77777777">
        <w:tblPrEx>
          <w:tblCellMar>
            <w:top w:w="0" w:type="dxa"/>
            <w:bottom w:w="0" w:type="dxa"/>
          </w:tblCellMar>
        </w:tblPrEx>
        <w:tc>
          <w:tcPr>
            <w:tcW w:w="850" w:type="dxa"/>
          </w:tcPr>
          <w:p w14:paraId="1857AE09" w14:textId="77777777" w:rsidR="00B34CED" w:rsidRDefault="005E276D">
            <w:pPr>
              <w:rPr>
                <w:rFonts w:hint="cs"/>
              </w:rPr>
            </w:pPr>
            <w:r>
              <w:rPr>
                <w:rFonts w:hint="cs"/>
                <w:rtl/>
              </w:rPr>
              <w:t>2</w:t>
            </w:r>
          </w:p>
        </w:tc>
        <w:tc>
          <w:tcPr>
            <w:tcW w:w="567" w:type="dxa"/>
          </w:tcPr>
          <w:p w14:paraId="76BC4537" w14:textId="77777777" w:rsidR="00B34CED" w:rsidRDefault="00B34CED">
            <w:hyperlink w:anchor="Seif1" w:tooltip="קנס מינהלי קצוב" w:history="1">
              <w:r>
                <w:rPr>
                  <w:rStyle w:val="Hyperlink"/>
                </w:rPr>
                <w:t>Go</w:t>
              </w:r>
            </w:hyperlink>
          </w:p>
        </w:tc>
        <w:tc>
          <w:tcPr>
            <w:tcW w:w="5669" w:type="dxa"/>
          </w:tcPr>
          <w:p w14:paraId="2FB846CB" w14:textId="77777777" w:rsidR="00B34CED" w:rsidRDefault="00B34CED">
            <w:pPr>
              <w:rPr>
                <w:rtl/>
              </w:rPr>
            </w:pPr>
            <w:r>
              <w:rPr>
                <w:rtl/>
              </w:rPr>
              <w:t>קנס מינהלי קצוב</w:t>
            </w:r>
          </w:p>
        </w:tc>
        <w:tc>
          <w:tcPr>
            <w:tcW w:w="1247" w:type="dxa"/>
          </w:tcPr>
          <w:p w14:paraId="4B809E4E" w14:textId="77777777" w:rsidR="00B34CED" w:rsidRDefault="00B34CED">
            <w:r>
              <w:rPr>
                <w:rtl/>
              </w:rPr>
              <w:t xml:space="preserve">סעיף 2 </w:t>
            </w:r>
          </w:p>
        </w:tc>
      </w:tr>
      <w:tr w:rsidR="00B34CED" w14:paraId="6737462D" w14:textId="77777777">
        <w:tblPrEx>
          <w:tblCellMar>
            <w:top w:w="0" w:type="dxa"/>
            <w:bottom w:w="0" w:type="dxa"/>
          </w:tblCellMar>
        </w:tblPrEx>
        <w:tc>
          <w:tcPr>
            <w:tcW w:w="850" w:type="dxa"/>
          </w:tcPr>
          <w:p w14:paraId="3743D2B3" w14:textId="77777777" w:rsidR="00B34CED" w:rsidRDefault="005E276D">
            <w:pPr>
              <w:rPr>
                <w:rFonts w:hint="cs"/>
              </w:rPr>
            </w:pPr>
            <w:r>
              <w:rPr>
                <w:rFonts w:hint="cs"/>
                <w:rtl/>
              </w:rPr>
              <w:t>2</w:t>
            </w:r>
          </w:p>
        </w:tc>
        <w:tc>
          <w:tcPr>
            <w:tcW w:w="567" w:type="dxa"/>
          </w:tcPr>
          <w:p w14:paraId="3FF6F3F2" w14:textId="77777777" w:rsidR="00B34CED" w:rsidRDefault="00B34CED">
            <w:hyperlink w:anchor="Seif2" w:tooltip="תחילה" w:history="1">
              <w:r>
                <w:rPr>
                  <w:rStyle w:val="Hyperlink"/>
                </w:rPr>
                <w:t>Go</w:t>
              </w:r>
            </w:hyperlink>
          </w:p>
        </w:tc>
        <w:tc>
          <w:tcPr>
            <w:tcW w:w="5669" w:type="dxa"/>
          </w:tcPr>
          <w:p w14:paraId="7FF9595C" w14:textId="77777777" w:rsidR="00B34CED" w:rsidRDefault="00B34CED">
            <w:pPr>
              <w:rPr>
                <w:rtl/>
              </w:rPr>
            </w:pPr>
            <w:r>
              <w:rPr>
                <w:rtl/>
              </w:rPr>
              <w:t>תחילה</w:t>
            </w:r>
          </w:p>
        </w:tc>
        <w:tc>
          <w:tcPr>
            <w:tcW w:w="1247" w:type="dxa"/>
          </w:tcPr>
          <w:p w14:paraId="1BE62572" w14:textId="77777777" w:rsidR="00B34CED" w:rsidRDefault="00B34CED">
            <w:r>
              <w:rPr>
                <w:rtl/>
              </w:rPr>
              <w:t xml:space="preserve">סעיף 3 </w:t>
            </w:r>
          </w:p>
        </w:tc>
      </w:tr>
    </w:tbl>
    <w:p w14:paraId="4E8C1C4A" w14:textId="77777777" w:rsidR="005E276D" w:rsidRDefault="005E276D" w:rsidP="005E276D">
      <w:pPr>
        <w:pStyle w:val="big-header"/>
        <w:ind w:left="0" w:right="1134"/>
        <w:rPr>
          <w:rFonts w:cs="FrankRuehl"/>
          <w:sz w:val="32"/>
          <w:rtl/>
        </w:rPr>
      </w:pPr>
    </w:p>
    <w:p w14:paraId="70262AF5" w14:textId="77777777" w:rsidR="005E276D" w:rsidRDefault="005E276D" w:rsidP="005E276D">
      <w:pPr>
        <w:pStyle w:val="big-header"/>
        <w:ind w:left="0" w:right="1134"/>
        <w:rPr>
          <w:rFonts w:cs="FrankRuehl" w:hint="cs"/>
          <w:sz w:val="32"/>
          <w:rtl/>
        </w:rPr>
      </w:pPr>
      <w:r>
        <w:rPr>
          <w:rFonts w:cs="FrankRuehl"/>
          <w:sz w:val="32"/>
          <w:rtl/>
        </w:rPr>
        <w:br w:type="page"/>
      </w:r>
      <w:r>
        <w:rPr>
          <w:rFonts w:cs="FrankRuehl" w:hint="cs"/>
          <w:sz w:val="32"/>
          <w:rtl/>
        </w:rPr>
        <w:lastRenderedPageBreak/>
        <w:t xml:space="preserve">תקנות העבירות המינהליות (קנס מינהלי </w:t>
      </w:r>
      <w:r>
        <w:rPr>
          <w:rFonts w:cs="FrankRuehl"/>
          <w:sz w:val="32"/>
          <w:rtl/>
        </w:rPr>
        <w:t>–</w:t>
      </w:r>
      <w:r>
        <w:rPr>
          <w:rFonts w:cs="FrankRuehl" w:hint="cs"/>
          <w:sz w:val="32"/>
          <w:rtl/>
        </w:rPr>
        <w:t xml:space="preserve"> מסירת הודעה אודות תנאי עבודה), תשס"ב-2002</w:t>
      </w:r>
      <w:r>
        <w:rPr>
          <w:rStyle w:val="default"/>
          <w:sz w:val="22"/>
          <w:szCs w:val="22"/>
          <w:rtl/>
        </w:rPr>
        <w:footnoteReference w:customMarkFollows="1" w:id="1"/>
        <w:t>*</w:t>
      </w:r>
    </w:p>
    <w:p w14:paraId="034ADE50" w14:textId="77777777" w:rsidR="00B34CED" w:rsidRDefault="00B34CED">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w:t>
      </w:r>
      <w:r>
        <w:rPr>
          <w:rStyle w:val="default"/>
          <w:rFonts w:cs="FrankRuehl" w:hint="cs"/>
          <w:rtl/>
        </w:rPr>
        <w:t xml:space="preserve">סעיפים 1 ו-2 לחוק העבירות המינהליות, התשמ"ו-1986 (להלן </w:t>
      </w:r>
      <w:r>
        <w:rPr>
          <w:rStyle w:val="default"/>
          <w:rFonts w:cs="FrankRuehl"/>
          <w:rtl/>
        </w:rPr>
        <w:t>–</w:t>
      </w:r>
      <w:r>
        <w:rPr>
          <w:rStyle w:val="default"/>
          <w:rFonts w:cs="FrankRuehl" w:hint="cs"/>
          <w:rtl/>
        </w:rPr>
        <w:t xml:space="preserve"> החוק)</w:t>
      </w:r>
      <w:r>
        <w:rPr>
          <w:rStyle w:val="default"/>
          <w:rFonts w:cs="FrankRuehl"/>
          <w:rtl/>
        </w:rPr>
        <w:t>,</w:t>
      </w:r>
      <w:r>
        <w:rPr>
          <w:rStyle w:val="default"/>
          <w:rFonts w:cs="FrankRuehl" w:hint="cs"/>
          <w:rtl/>
        </w:rPr>
        <w:t xml:space="preserve"> בהסכמת שר העבודה והרווחה, </w:t>
      </w:r>
      <w:r>
        <w:rPr>
          <w:rStyle w:val="default"/>
          <w:rFonts w:cs="FrankRuehl"/>
          <w:rtl/>
        </w:rPr>
        <w:t xml:space="preserve">ובאישור ועדת </w:t>
      </w:r>
      <w:r>
        <w:rPr>
          <w:rStyle w:val="default"/>
          <w:rFonts w:cs="FrankRuehl" w:hint="cs"/>
          <w:rtl/>
        </w:rPr>
        <w:t>החוקה חוק ומשפט</w:t>
      </w:r>
      <w:r>
        <w:rPr>
          <w:rStyle w:val="default"/>
          <w:rFonts w:cs="FrankRuehl"/>
          <w:rtl/>
        </w:rPr>
        <w:t xml:space="preserve"> של הכנסת, אני </w:t>
      </w:r>
      <w:r>
        <w:rPr>
          <w:rStyle w:val="default"/>
          <w:rFonts w:cs="FrankRuehl" w:hint="cs"/>
          <w:rtl/>
        </w:rPr>
        <w:t>מתקין תקנות אלה</w:t>
      </w:r>
      <w:r>
        <w:rPr>
          <w:rStyle w:val="default"/>
          <w:rFonts w:cs="FrankRuehl"/>
          <w:rtl/>
        </w:rPr>
        <w:t>:</w:t>
      </w:r>
    </w:p>
    <w:p w14:paraId="6A3F465A" w14:textId="77777777" w:rsidR="00B34CED" w:rsidRDefault="00B34CED">
      <w:pPr>
        <w:pStyle w:val="P00"/>
        <w:spacing w:before="72"/>
        <w:ind w:left="0" w:right="1134"/>
        <w:rPr>
          <w:rStyle w:val="default"/>
          <w:rFonts w:cs="FrankRuehl" w:hint="cs"/>
          <w:rtl/>
        </w:rPr>
      </w:pPr>
      <w:bookmarkStart w:id="0" w:name="Seif0"/>
      <w:bookmarkEnd w:id="0"/>
      <w:r>
        <w:rPr>
          <w:rFonts w:cs="Miriam"/>
          <w:lang w:val="he-IL"/>
        </w:rPr>
        <w:pict w14:anchorId="0938177D">
          <v:rect id="_x0000_s1026" style="position:absolute;left:0;text-align:left;margin-left:464.5pt;margin-top:8.05pt;width:75.05pt;height:10pt;z-index:251656704" o:allowincell="f" filled="f" stroked="f" strokecolor="lime" strokeweight=".25pt">
            <v:textbox inset="0,0,0,0">
              <w:txbxContent>
                <w:p w14:paraId="5D5F5F79" w14:textId="77777777" w:rsidR="00B34CED" w:rsidRDefault="00B34CED">
                  <w:pPr>
                    <w:spacing w:line="160" w:lineRule="exact"/>
                    <w:rPr>
                      <w:rFonts w:cs="Miriam" w:hint="cs"/>
                      <w:noProof/>
                      <w:sz w:val="18"/>
                      <w:szCs w:val="18"/>
                      <w:rtl/>
                    </w:rPr>
                  </w:pPr>
                  <w:r>
                    <w:rPr>
                      <w:rFonts w:cs="Miriam" w:hint="cs"/>
                      <w:sz w:val="18"/>
                      <w:szCs w:val="18"/>
                      <w:rtl/>
                    </w:rPr>
                    <w:t>עבירות מינהליות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עבירה כאמור בסעיף 4 לחוק הודעה לעובד (תנאי עבודה), התשס"ב-2002 (להלן </w:t>
      </w:r>
      <w:r>
        <w:rPr>
          <w:rStyle w:val="default"/>
          <w:rFonts w:cs="FrankRuehl"/>
          <w:rtl/>
        </w:rPr>
        <w:t>–</w:t>
      </w:r>
      <w:r>
        <w:rPr>
          <w:rStyle w:val="default"/>
          <w:rFonts w:cs="FrankRuehl" w:hint="cs"/>
          <w:rtl/>
        </w:rPr>
        <w:t xml:space="preserve"> חוק ההודעה), היא עבירה מינהלית.</w:t>
      </w:r>
    </w:p>
    <w:p w14:paraId="187AD9BE" w14:textId="77777777" w:rsidR="00B34CED" w:rsidRDefault="00B34CED">
      <w:pPr>
        <w:pStyle w:val="P00"/>
        <w:spacing w:before="72"/>
        <w:ind w:left="0" w:right="1134"/>
        <w:rPr>
          <w:rStyle w:val="default"/>
          <w:rFonts w:cs="FrankRuehl" w:hint="cs"/>
          <w:rtl/>
        </w:rPr>
      </w:pPr>
      <w:bookmarkStart w:id="1" w:name="Seif1"/>
      <w:bookmarkEnd w:id="1"/>
      <w:r>
        <w:rPr>
          <w:rFonts w:cs="Miriam"/>
          <w:lang w:val="he-IL"/>
        </w:rPr>
        <w:pict w14:anchorId="47E9BC40">
          <v:rect id="_x0000_s1032" style="position:absolute;left:0;text-align:left;margin-left:464.5pt;margin-top:8.05pt;width:75.05pt;height:11.1pt;z-index:251657728" o:allowincell="f" filled="f" stroked="f" strokecolor="lime" strokeweight=".25pt">
            <v:textbox style="mso-next-textbox:#_x0000_s1032" inset="0,0,0,0">
              <w:txbxContent>
                <w:p w14:paraId="4379FD4C" w14:textId="77777777" w:rsidR="00B34CED" w:rsidRDefault="00B34CED">
                  <w:pPr>
                    <w:spacing w:line="160" w:lineRule="exact"/>
                    <w:rPr>
                      <w:rFonts w:cs="Miriam" w:hint="cs"/>
                      <w:noProof/>
                      <w:sz w:val="18"/>
                      <w:szCs w:val="18"/>
                      <w:rtl/>
                    </w:rPr>
                  </w:pPr>
                  <w:r>
                    <w:rPr>
                      <w:rFonts w:cs="Miriam" w:hint="cs"/>
                      <w:sz w:val="18"/>
                      <w:szCs w:val="18"/>
                      <w:rtl/>
                    </w:rPr>
                    <w:t>קנס מינהלי קצוב</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לעבירה מינהלית כאמור בתקנה 1 יהיה קנס מינהלי קצוב בשיעור של 1,000 שקלים חדשים; נעברה העבירה בידי תאגיד, יהיה הקנס המינהלי הקצוב 2,000 שקלים חדשים.</w:t>
      </w:r>
    </w:p>
    <w:p w14:paraId="3C001FD8" w14:textId="77777777" w:rsidR="00B34CED" w:rsidRDefault="00B34C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הקנס המינהלי הקצוב לעבירה מינהלית חוזרת יהיה כפל הקנס האמור בתקנת משנה (א); לענין זה, "עבירה מינהלית חוזרת" </w:t>
      </w:r>
      <w:r>
        <w:rPr>
          <w:rStyle w:val="default"/>
          <w:rFonts w:cs="FrankRuehl"/>
          <w:rtl/>
        </w:rPr>
        <w:t>–</w:t>
      </w:r>
      <w:r>
        <w:rPr>
          <w:rStyle w:val="default"/>
          <w:rFonts w:cs="FrankRuehl" w:hint="cs"/>
          <w:rtl/>
        </w:rPr>
        <w:t xml:space="preserve"> כקבוע בתקנה 1(א)(2) לתקנות העבירות המינהליות, התשמ"ו-1986.</w:t>
      </w:r>
    </w:p>
    <w:p w14:paraId="6BD288CB" w14:textId="77777777" w:rsidR="00B34CED" w:rsidRDefault="00B34CE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הקנס המינהלי הקצוב לעבירה מינהלית נמשכת יהיה בשיעור החלק החמישים של הקנס האמור בתקנת משנה (א) או (ב), לפי הענין, לכל יום שבו נמשכת העבירה לאחר שנמסרה הודעה על הטלת הקנס המינהלי.</w:t>
      </w:r>
    </w:p>
    <w:p w14:paraId="06D6C019" w14:textId="77777777" w:rsidR="00B34CED" w:rsidRDefault="00B34CED">
      <w:pPr>
        <w:pStyle w:val="P00"/>
        <w:spacing w:before="72"/>
        <w:ind w:left="0" w:right="1134"/>
        <w:rPr>
          <w:rStyle w:val="default"/>
          <w:rFonts w:cs="FrankRuehl" w:hint="cs"/>
          <w:rtl/>
        </w:rPr>
      </w:pPr>
      <w:bookmarkStart w:id="2" w:name="Seif2"/>
      <w:bookmarkEnd w:id="2"/>
      <w:r>
        <w:rPr>
          <w:rFonts w:cs="Miriam"/>
          <w:lang w:val="he-IL"/>
        </w:rPr>
        <w:pict w14:anchorId="6CE7B2AC">
          <v:rect id="_x0000_s1036" style="position:absolute;left:0;text-align:left;margin-left:464.5pt;margin-top:8.05pt;width:75.05pt;height:17.15pt;z-index:251658752" o:allowincell="f" filled="f" stroked="f" strokecolor="lime" strokeweight=".25pt">
            <v:textbox style="mso-next-textbox:#_x0000_s1036" inset="0,0,0,0">
              <w:txbxContent>
                <w:p w14:paraId="791DC777" w14:textId="77777777" w:rsidR="00B34CED" w:rsidRDefault="00B34CED">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ביום תחילתו של סעיף 4 לחוק ההודעה.</w:t>
      </w:r>
    </w:p>
    <w:p w14:paraId="7794255E" w14:textId="77777777" w:rsidR="00B34CED" w:rsidRDefault="00B34CED">
      <w:pPr>
        <w:pStyle w:val="page"/>
        <w:widowControl/>
        <w:tabs>
          <w:tab w:val="left" w:pos="4536"/>
        </w:tabs>
        <w:ind w:right="1134"/>
        <w:rPr>
          <w:rStyle w:val="default"/>
          <w:rFonts w:cs="FrankRuehl" w:hint="cs"/>
          <w:position w:val="0"/>
          <w:rtl/>
        </w:rPr>
      </w:pPr>
    </w:p>
    <w:p w14:paraId="096A8063" w14:textId="77777777" w:rsidR="00B34CED" w:rsidRDefault="00B34CED">
      <w:pPr>
        <w:pStyle w:val="page"/>
        <w:widowControl/>
        <w:ind w:right="1134"/>
        <w:rPr>
          <w:rStyle w:val="default"/>
          <w:rFonts w:cs="FrankRuehl"/>
          <w:position w:val="0"/>
          <w:rtl/>
        </w:rPr>
      </w:pPr>
    </w:p>
    <w:p w14:paraId="55CC058B" w14:textId="77777777" w:rsidR="00B34CED" w:rsidRDefault="00B34CED">
      <w:pPr>
        <w:pStyle w:val="page"/>
        <w:widowControl/>
        <w:ind w:right="1134"/>
        <w:rPr>
          <w:rStyle w:val="default"/>
          <w:rFonts w:cs="FrankRuehl"/>
          <w:position w:val="0"/>
          <w:rtl/>
        </w:rPr>
      </w:pPr>
    </w:p>
    <w:p w14:paraId="0EFD8C73" w14:textId="77777777" w:rsidR="00B34CED" w:rsidRDefault="00B34CED">
      <w:pPr>
        <w:pStyle w:val="sig-0"/>
        <w:ind w:left="0" w:right="1134"/>
        <w:rPr>
          <w:rFonts w:cs="FrankRuehl" w:hint="cs"/>
          <w:sz w:val="26"/>
          <w:rtl/>
        </w:rPr>
      </w:pPr>
      <w:r>
        <w:rPr>
          <w:rFonts w:cs="FrankRuehl" w:hint="cs"/>
          <w:sz w:val="26"/>
          <w:rtl/>
        </w:rPr>
        <w:t>כ' בתמוז התשס"ב (30 ביוני 2002)</w:t>
      </w:r>
      <w:r>
        <w:rPr>
          <w:rFonts w:cs="FrankRuehl"/>
          <w:sz w:val="26"/>
          <w:rtl/>
        </w:rPr>
        <w:tab/>
      </w:r>
      <w:r>
        <w:rPr>
          <w:rFonts w:cs="FrankRuehl" w:hint="cs"/>
          <w:sz w:val="26"/>
          <w:rtl/>
        </w:rPr>
        <w:t>מאיר שטרית</w:t>
      </w:r>
    </w:p>
    <w:p w14:paraId="3001E149" w14:textId="77777777" w:rsidR="00B34CED" w:rsidRDefault="00B34CE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532C6843" w14:textId="77777777" w:rsidR="00B34CED" w:rsidRDefault="00B34CED">
      <w:pPr>
        <w:pStyle w:val="sig-1"/>
        <w:widowControl/>
        <w:ind w:left="0" w:right="1134"/>
        <w:rPr>
          <w:rFonts w:cs="FrankRuehl"/>
          <w:sz w:val="22"/>
          <w:rtl/>
        </w:rPr>
      </w:pPr>
    </w:p>
    <w:p w14:paraId="69A8BBC3" w14:textId="77777777" w:rsidR="00B34CED" w:rsidRDefault="00B34CED">
      <w:pPr>
        <w:pStyle w:val="sig-1"/>
        <w:widowControl/>
        <w:ind w:left="0" w:right="1134"/>
        <w:rPr>
          <w:rFonts w:cs="FrankRuehl"/>
          <w:sz w:val="22"/>
          <w:rtl/>
        </w:rPr>
      </w:pPr>
    </w:p>
    <w:sectPr w:rsidR="00B34CE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AE381" w14:textId="77777777" w:rsidR="00F06FA9" w:rsidRDefault="00F06FA9">
      <w:r>
        <w:separator/>
      </w:r>
    </w:p>
  </w:endnote>
  <w:endnote w:type="continuationSeparator" w:id="0">
    <w:p w14:paraId="0DB027F7" w14:textId="77777777" w:rsidR="00F06FA9" w:rsidRDefault="00F06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1C8DF" w14:textId="77777777" w:rsidR="00B34CED" w:rsidRDefault="00B34CE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A3BDDF" w14:textId="77777777" w:rsidR="00B34CED" w:rsidRDefault="00B34CE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B7E9F4" w14:textId="77777777" w:rsidR="00B34CED" w:rsidRDefault="00B34CE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G:\Nevo\Laws\999_024.doc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0BCB8" w14:textId="77777777" w:rsidR="00B34CED" w:rsidRDefault="00B34CE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B0744">
      <w:rPr>
        <w:rFonts w:hAnsi="FrankRuehl" w:cs="FrankRuehl"/>
        <w:noProof/>
        <w:sz w:val="24"/>
        <w:szCs w:val="24"/>
        <w:rtl/>
      </w:rPr>
      <w:t>2</w:t>
    </w:r>
    <w:r>
      <w:rPr>
        <w:rFonts w:hAnsi="FrankRuehl" w:cs="FrankRuehl"/>
        <w:sz w:val="24"/>
        <w:szCs w:val="24"/>
        <w:rtl/>
      </w:rPr>
      <w:fldChar w:fldCharType="end"/>
    </w:r>
  </w:p>
  <w:p w14:paraId="5DC4E650" w14:textId="77777777" w:rsidR="00B34CED" w:rsidRDefault="00B34CE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C4747C" w14:textId="77777777" w:rsidR="00B34CED" w:rsidRDefault="00B34CE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G:\Nevo\Laws\999_024.doc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E5F02" w14:textId="77777777" w:rsidR="00F06FA9" w:rsidRDefault="00F06FA9">
      <w:r>
        <w:separator/>
      </w:r>
    </w:p>
  </w:footnote>
  <w:footnote w:type="continuationSeparator" w:id="0">
    <w:p w14:paraId="25F638BD" w14:textId="77777777" w:rsidR="00F06FA9" w:rsidRDefault="00F06FA9">
      <w:r>
        <w:continuationSeparator/>
      </w:r>
    </w:p>
  </w:footnote>
  <w:footnote w:id="1">
    <w:p w14:paraId="6E3DD649" w14:textId="77777777" w:rsidR="005E276D" w:rsidRDefault="005E276D" w:rsidP="005E27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CD4761">
          <w:rPr>
            <w:rStyle w:val="Hyperlink"/>
            <w:rFonts w:cs="FrankRuehl" w:hint="cs"/>
            <w:rtl/>
          </w:rPr>
          <w:t>ק"ת תשס"ב מס' 6180</w:t>
        </w:r>
      </w:hyperlink>
      <w:r>
        <w:rPr>
          <w:rFonts w:cs="FrankRuehl" w:hint="cs"/>
          <w:rtl/>
        </w:rPr>
        <w:t xml:space="preserve"> מיום 7.7.2002 עמ' 926.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61A3" w14:textId="77777777" w:rsidR="00B34CED" w:rsidRDefault="00B34CE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99C906C" w14:textId="77777777" w:rsidR="00B34CED" w:rsidRDefault="00B34CE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5D296B" w14:textId="77777777" w:rsidR="00B34CED" w:rsidRDefault="00B34CE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07154" w14:textId="77777777" w:rsidR="00B34CED" w:rsidRDefault="00B34CE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העבירות המינהליות (קנס מינהלי </w:t>
    </w:r>
    <w:r>
      <w:rPr>
        <w:rFonts w:hAnsi="FrankRuehl" w:cs="FrankRuehl"/>
        <w:color w:val="000000"/>
        <w:sz w:val="28"/>
        <w:szCs w:val="28"/>
        <w:rtl/>
      </w:rPr>
      <w:t>–</w:t>
    </w:r>
    <w:r>
      <w:rPr>
        <w:rFonts w:hAnsi="FrankRuehl" w:cs="FrankRuehl" w:hint="cs"/>
        <w:color w:val="000000"/>
        <w:sz w:val="28"/>
        <w:szCs w:val="28"/>
        <w:rtl/>
      </w:rPr>
      <w:t xml:space="preserve"> מסירת הודעה אודות תנאי עבודה), </w:t>
    </w:r>
    <w:r>
      <w:rPr>
        <w:rFonts w:hAnsi="FrankRuehl" w:cs="FrankRuehl"/>
        <w:color w:val="000000"/>
        <w:sz w:val="28"/>
        <w:szCs w:val="28"/>
        <w:rtl/>
      </w:rPr>
      <w:br/>
    </w:r>
    <w:r>
      <w:rPr>
        <w:rFonts w:hAnsi="FrankRuehl" w:cs="FrankRuehl" w:hint="cs"/>
        <w:color w:val="000000"/>
        <w:sz w:val="28"/>
        <w:szCs w:val="28"/>
        <w:rtl/>
      </w:rPr>
      <w:t>תשס"ב-2002</w:t>
    </w:r>
  </w:p>
  <w:p w14:paraId="10A89004" w14:textId="77777777" w:rsidR="00B34CED" w:rsidRDefault="00B34CE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A99D88" w14:textId="77777777" w:rsidR="00B34CED" w:rsidRDefault="00B34CE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2637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276D"/>
    <w:rsid w:val="00311EAC"/>
    <w:rsid w:val="00334FF5"/>
    <w:rsid w:val="003B0744"/>
    <w:rsid w:val="004A62EA"/>
    <w:rsid w:val="005E276D"/>
    <w:rsid w:val="006E7A36"/>
    <w:rsid w:val="00801778"/>
    <w:rsid w:val="008627BE"/>
    <w:rsid w:val="00B34CED"/>
    <w:rsid w:val="00CD4761"/>
    <w:rsid w:val="00DD21D3"/>
    <w:rsid w:val="00F06FA9"/>
    <w:rsid w:val="00F12DA2"/>
    <w:rsid w:val="00FF3E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1E536195"/>
  <w15:chartTrackingRefBased/>
  <w15:docId w15:val="{72F87C0E-C4A7-4ED4-936A-AC060271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1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1519</CharactersWithSpaces>
  <SharedDoc>false</SharedDoc>
  <HLinks>
    <vt:vector size="24" baseType="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7798793</vt:i4>
      </vt:variant>
      <vt:variant>
        <vt:i4>0</vt:i4>
      </vt:variant>
      <vt:variant>
        <vt:i4>0</vt:i4>
      </vt:variant>
      <vt:variant>
        <vt:i4>5</vt:i4>
      </vt:variant>
      <vt:variant>
        <vt:lpwstr>http://www.nevo.co.il/Law_word/law06/TAK-6180.pdf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העבירות המינהליות (קנס מינהלי - מסירת הודעה אודות תנאי עבודה), תשס"ב-2002</vt:lpwstr>
  </property>
  <property fmtid="{D5CDD505-2E9C-101B-9397-08002B2CF9AE}" pid="4" name="LAWNUMBER">
    <vt:lpwstr>0024</vt:lpwstr>
  </property>
  <property fmtid="{D5CDD505-2E9C-101B-9397-08002B2CF9AE}" pid="5" name="TYPE">
    <vt:lpwstr>01</vt:lpwstr>
  </property>
  <property fmtid="{D5CDD505-2E9C-101B-9397-08002B2CF9AE}" pid="6" name="NOSE11">
    <vt:lpwstr>עבודה</vt:lpwstr>
  </property>
  <property fmtid="{D5CDD505-2E9C-101B-9397-08002B2CF9AE}" pid="7" name="NOSE21">
    <vt:lpwstr>הודעה לעובד</vt:lpwstr>
  </property>
  <property fmtid="{D5CDD505-2E9C-101B-9397-08002B2CF9AE}" pid="8" name="NOSE31">
    <vt:lpwstr/>
  </property>
  <property fmtid="{D5CDD505-2E9C-101B-9397-08002B2CF9AE}" pid="9" name="NOSE41">
    <vt:lpwstr/>
  </property>
  <property fmtid="{D5CDD505-2E9C-101B-9397-08002B2CF9AE}" pid="10" name="NOSE12">
    <vt:lpwstr>עונשין ומשפט פלילי</vt:lpwstr>
  </property>
  <property fmtid="{D5CDD505-2E9C-101B-9397-08002B2CF9AE}" pid="11" name="NOSE22">
    <vt:lpwstr>עבירות</vt:lpwstr>
  </property>
  <property fmtid="{D5CDD505-2E9C-101B-9397-08002B2CF9AE}" pid="12" name="NOSE32">
    <vt:lpwstr>עבירות מינהליות</vt:lpwstr>
  </property>
  <property fmtid="{D5CDD505-2E9C-101B-9397-08002B2CF9AE}" pid="13" name="NOSE42">
    <vt:lpwstr>קנס מינהלי</vt:lpwstr>
  </property>
  <property fmtid="{D5CDD505-2E9C-101B-9397-08002B2CF9AE}" pid="14" name="NOSE13">
    <vt:lpwstr>בתי משפט וסדרי דין</vt:lpwstr>
  </property>
  <property fmtid="{D5CDD505-2E9C-101B-9397-08002B2CF9AE}" pid="15" name="NOSE23">
    <vt:lpwstr>סדר דין פלילי</vt:lpwstr>
  </property>
  <property fmtid="{D5CDD505-2E9C-101B-9397-08002B2CF9AE}" pid="16" name="NOSE33">
    <vt:lpwstr>עבירות מינהליות</vt:lpwstr>
  </property>
  <property fmtid="{D5CDD505-2E9C-101B-9397-08002B2CF9AE}" pid="17" name="NOSE43">
    <vt:lpwstr>קנס מינהלי</vt:lpwstr>
  </property>
  <property fmtid="{D5CDD505-2E9C-101B-9397-08002B2CF9AE}" pid="18" name="NOSE14">
    <vt:lpwstr>רשויות ומשפט מנהלי</vt:lpwstr>
  </property>
  <property fmtid="{D5CDD505-2E9C-101B-9397-08002B2CF9AE}" pid="19" name="NOSE24">
    <vt:lpwstr>עבירות מינהליות</vt:lpwstr>
  </property>
  <property fmtid="{D5CDD505-2E9C-101B-9397-08002B2CF9AE}" pid="20" name="NOSE34">
    <vt:lpwstr>קנס מינהלי</vt:lpwstr>
  </property>
  <property fmtid="{D5CDD505-2E9C-101B-9397-08002B2CF9AE}" pid="21" name="NOSE44">
    <vt:lpwstr/>
  </property>
  <property fmtid="{D5CDD505-2E9C-101B-9397-08002B2CF9AE}" pid="22" name="NOSE15">
    <vt:lpwstr>עבודה</vt:lpwstr>
  </property>
  <property fmtid="{D5CDD505-2E9C-101B-9397-08002B2CF9AE}" pid="23" name="NOSE25">
    <vt:lpwstr>עובדים</vt:lpwstr>
  </property>
  <property fmtid="{D5CDD505-2E9C-101B-9397-08002B2CF9AE}" pid="24" name="NOSE35">
    <vt:lpwstr>תנאי עבודה</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חוק העבירות המינהליות</vt:lpwstr>
  </property>
  <property fmtid="{D5CDD505-2E9C-101B-9397-08002B2CF9AE}" pid="47" name="MEKOR_SAIF1">
    <vt:lpwstr>1X;2X</vt:lpwstr>
  </property>
</Properties>
</file>