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981F" w14:textId="77777777" w:rsidR="000B3DF5" w:rsidRDefault="00B554F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מקורות אנרגיה), תשס"ה-2004</w:t>
      </w:r>
    </w:p>
    <w:p w14:paraId="7B05BB85" w14:textId="77777777" w:rsidR="00B554F0" w:rsidRPr="00B554F0" w:rsidRDefault="00B554F0" w:rsidP="00B554F0">
      <w:pPr>
        <w:spacing w:line="320" w:lineRule="auto"/>
        <w:rPr>
          <w:rFonts w:cs="FrankRuehl"/>
          <w:szCs w:val="26"/>
          <w:rtl/>
        </w:rPr>
      </w:pPr>
    </w:p>
    <w:p w14:paraId="25F7CA7D" w14:textId="77777777" w:rsidR="00B554F0" w:rsidRDefault="00B554F0" w:rsidP="00B554F0">
      <w:pPr>
        <w:spacing w:line="320" w:lineRule="auto"/>
        <w:rPr>
          <w:rFonts w:cs="Miriam"/>
          <w:szCs w:val="22"/>
          <w:rtl/>
        </w:rPr>
      </w:pPr>
      <w:r w:rsidRPr="00B554F0">
        <w:rPr>
          <w:rFonts w:cs="Miriam"/>
          <w:szCs w:val="22"/>
          <w:rtl/>
        </w:rPr>
        <w:t>רשויות ומשפט מנהלי</w:t>
      </w:r>
      <w:r w:rsidRPr="00B554F0">
        <w:rPr>
          <w:rFonts w:cs="FrankRuehl"/>
          <w:szCs w:val="26"/>
          <w:rtl/>
        </w:rPr>
        <w:t xml:space="preserve"> – תשתיות – אנרגיה – מקורות אנרגיה</w:t>
      </w:r>
    </w:p>
    <w:p w14:paraId="2E1FE9EA" w14:textId="77777777" w:rsidR="00B554F0" w:rsidRDefault="00B554F0" w:rsidP="00B554F0">
      <w:pPr>
        <w:spacing w:line="320" w:lineRule="auto"/>
        <w:rPr>
          <w:rFonts w:cs="Miriam"/>
          <w:szCs w:val="22"/>
          <w:rtl/>
        </w:rPr>
      </w:pPr>
      <w:r w:rsidRPr="00B554F0">
        <w:rPr>
          <w:rFonts w:cs="Miriam"/>
          <w:szCs w:val="22"/>
          <w:rtl/>
        </w:rPr>
        <w:t>עונשין ומשפט פלילי</w:t>
      </w:r>
      <w:r w:rsidRPr="00B554F0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195D7AF2" w14:textId="77777777" w:rsidR="00B554F0" w:rsidRDefault="00B554F0" w:rsidP="00B554F0">
      <w:pPr>
        <w:spacing w:line="320" w:lineRule="auto"/>
        <w:rPr>
          <w:rFonts w:cs="Miriam"/>
          <w:szCs w:val="22"/>
          <w:rtl/>
        </w:rPr>
      </w:pPr>
      <w:r w:rsidRPr="00B554F0">
        <w:rPr>
          <w:rFonts w:cs="Miriam"/>
          <w:szCs w:val="22"/>
          <w:rtl/>
        </w:rPr>
        <w:t>בתי משפט וסדרי דין</w:t>
      </w:r>
      <w:r w:rsidRPr="00B554F0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32424D96" w14:textId="77777777" w:rsidR="00B554F0" w:rsidRPr="00B554F0" w:rsidRDefault="00B554F0" w:rsidP="00B554F0">
      <w:pPr>
        <w:spacing w:line="320" w:lineRule="auto"/>
        <w:rPr>
          <w:rFonts w:cs="Miriam" w:hint="cs"/>
          <w:szCs w:val="22"/>
          <w:rtl/>
        </w:rPr>
      </w:pPr>
      <w:r w:rsidRPr="00B554F0">
        <w:rPr>
          <w:rFonts w:cs="Miriam"/>
          <w:szCs w:val="22"/>
          <w:rtl/>
        </w:rPr>
        <w:t>רשויות ומשפט מנהלי</w:t>
      </w:r>
      <w:r w:rsidRPr="00B554F0">
        <w:rPr>
          <w:rFonts w:cs="FrankRuehl"/>
          <w:szCs w:val="26"/>
          <w:rtl/>
        </w:rPr>
        <w:t xml:space="preserve"> – עבירות מינהליות – קנס מינהלי</w:t>
      </w:r>
    </w:p>
    <w:p w14:paraId="34A74BC2" w14:textId="77777777" w:rsidR="00B554F0" w:rsidRDefault="00B554F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B3DF5" w14:paraId="2D6B872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1122A45" w14:textId="77777777" w:rsidR="000B3DF5" w:rsidRDefault="00B554F0">
            <w:pPr>
              <w:rPr>
                <w:rFonts w:hint="cs"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67" w:type="dxa"/>
          </w:tcPr>
          <w:p w14:paraId="00EC55EA" w14:textId="77777777" w:rsidR="000B3DF5" w:rsidRDefault="000B3DF5">
            <w:pPr>
              <w:rPr>
                <w:rFonts w:hint="cs"/>
              </w:rPr>
            </w:pPr>
            <w:hyperlink w:anchor="Seif0" w:tooltip="עבירות מינהל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A89202" w14:textId="77777777" w:rsidR="000B3DF5" w:rsidRDefault="000B3DF5">
            <w:pPr>
              <w:rPr>
                <w:rtl/>
              </w:rPr>
            </w:pPr>
            <w:r>
              <w:rPr>
                <w:rtl/>
              </w:rPr>
              <w:t>עבירות מינהליות</w:t>
            </w:r>
          </w:p>
        </w:tc>
        <w:tc>
          <w:tcPr>
            <w:tcW w:w="1247" w:type="dxa"/>
          </w:tcPr>
          <w:p w14:paraId="2EF5F959" w14:textId="77777777" w:rsidR="000B3DF5" w:rsidRDefault="000B3DF5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0B3DF5" w14:paraId="3D77F62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12CF073" w14:textId="77777777" w:rsidR="000B3DF5" w:rsidRDefault="00B554F0">
            <w:pPr>
              <w:rPr>
                <w:rFonts w:hint="cs"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67" w:type="dxa"/>
          </w:tcPr>
          <w:p w14:paraId="04111E9F" w14:textId="77777777" w:rsidR="000B3DF5" w:rsidRDefault="000B3DF5">
            <w:pPr>
              <w:rPr>
                <w:rFonts w:hint="cs"/>
              </w:rPr>
            </w:pPr>
            <w:hyperlink w:anchor="Seif1" w:tooltip="קנס מינהלי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D06363" w14:textId="77777777" w:rsidR="000B3DF5" w:rsidRDefault="000B3DF5">
            <w:pPr>
              <w:rPr>
                <w:rtl/>
              </w:rPr>
            </w:pPr>
            <w:r>
              <w:rPr>
                <w:rtl/>
              </w:rPr>
              <w:t>קנס מינהלי קצוב</w:t>
            </w:r>
          </w:p>
        </w:tc>
        <w:tc>
          <w:tcPr>
            <w:tcW w:w="1247" w:type="dxa"/>
          </w:tcPr>
          <w:p w14:paraId="18818FD7" w14:textId="77777777" w:rsidR="000B3DF5" w:rsidRDefault="000B3DF5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  <w:tr w:rsidR="000B3DF5" w14:paraId="1E57CB4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E2AD321" w14:textId="77777777" w:rsidR="000B3DF5" w:rsidRDefault="00B554F0">
            <w:pPr>
              <w:rPr>
                <w:rFonts w:hint="cs"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67" w:type="dxa"/>
          </w:tcPr>
          <w:p w14:paraId="0BF26784" w14:textId="77777777" w:rsidR="000B3DF5" w:rsidRDefault="000B3DF5">
            <w:pPr>
              <w:rPr>
                <w:rFonts w:hint="cs"/>
              </w:rPr>
            </w:pPr>
            <w:hyperlink w:anchor="Seif2" w:tooltip="עבירה מינהלית נמשכ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79F437" w14:textId="77777777" w:rsidR="000B3DF5" w:rsidRDefault="000B3DF5">
            <w:pPr>
              <w:rPr>
                <w:rtl/>
              </w:rPr>
            </w:pPr>
            <w:r>
              <w:rPr>
                <w:rtl/>
              </w:rPr>
              <w:t>עבירה מינהלית נמשכת</w:t>
            </w:r>
          </w:p>
        </w:tc>
        <w:tc>
          <w:tcPr>
            <w:tcW w:w="1247" w:type="dxa"/>
          </w:tcPr>
          <w:p w14:paraId="7A9AC3D5" w14:textId="77777777" w:rsidR="000B3DF5" w:rsidRDefault="000B3DF5">
            <w:pPr>
              <w:rPr>
                <w:rFonts w:hint="cs"/>
              </w:rPr>
            </w:pPr>
            <w:r>
              <w:rPr>
                <w:rtl/>
              </w:rPr>
              <w:t xml:space="preserve">סעיף 3 </w:t>
            </w:r>
          </w:p>
        </w:tc>
      </w:tr>
      <w:tr w:rsidR="000B3DF5" w14:paraId="52BDB8E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91E10E0" w14:textId="77777777" w:rsidR="000B3DF5" w:rsidRDefault="00B554F0">
            <w:pPr>
              <w:rPr>
                <w:rFonts w:hint="cs"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67" w:type="dxa"/>
          </w:tcPr>
          <w:p w14:paraId="017A300E" w14:textId="77777777" w:rsidR="000B3DF5" w:rsidRDefault="000B3DF5">
            <w:pPr>
              <w:rPr>
                <w:rFonts w:hint="cs"/>
              </w:rPr>
            </w:pPr>
            <w:hyperlink w:anchor="Seif4" w:tooltip="עבירה מינהלית חוז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9231EC" w14:textId="77777777" w:rsidR="000B3DF5" w:rsidRDefault="000B3DF5">
            <w:pPr>
              <w:rPr>
                <w:rtl/>
              </w:rPr>
            </w:pPr>
            <w:r>
              <w:rPr>
                <w:rtl/>
              </w:rPr>
              <w:t>עבירה מינהלית חוזרת</w:t>
            </w:r>
          </w:p>
        </w:tc>
        <w:tc>
          <w:tcPr>
            <w:tcW w:w="1247" w:type="dxa"/>
          </w:tcPr>
          <w:p w14:paraId="4E920459" w14:textId="77777777" w:rsidR="000B3DF5" w:rsidRDefault="000B3DF5">
            <w:pPr>
              <w:rPr>
                <w:rFonts w:hint="cs"/>
              </w:rPr>
            </w:pPr>
            <w:r>
              <w:rPr>
                <w:rtl/>
              </w:rPr>
              <w:t xml:space="preserve">סעיף 4 </w:t>
            </w:r>
          </w:p>
        </w:tc>
      </w:tr>
      <w:tr w:rsidR="000B3DF5" w14:paraId="540E86B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36C39D5" w14:textId="77777777" w:rsidR="000B3DF5" w:rsidRDefault="00B554F0">
            <w:pPr>
              <w:rPr>
                <w:rFonts w:hint="cs"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67" w:type="dxa"/>
          </w:tcPr>
          <w:p w14:paraId="79F38322" w14:textId="77777777" w:rsidR="000B3DF5" w:rsidRDefault="000B3DF5">
            <w:pPr>
              <w:rPr>
                <w:rFonts w:hint="cs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FA98A1" w14:textId="77777777" w:rsidR="000B3DF5" w:rsidRDefault="000B3DF5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61BE13E8" w14:textId="77777777" w:rsidR="000B3DF5" w:rsidRDefault="000B3DF5">
            <w:pPr>
              <w:rPr>
                <w:rFonts w:hint="cs"/>
              </w:rPr>
            </w:pPr>
            <w:r>
              <w:rPr>
                <w:rtl/>
              </w:rPr>
              <w:t xml:space="preserve">סעיף 5 </w:t>
            </w:r>
          </w:p>
        </w:tc>
      </w:tr>
    </w:tbl>
    <w:p w14:paraId="4C522538" w14:textId="77777777" w:rsidR="00B554F0" w:rsidRDefault="00B554F0">
      <w:pPr>
        <w:pStyle w:val="big-header"/>
        <w:ind w:left="0" w:right="1134"/>
        <w:rPr>
          <w:rFonts w:cs="FrankRuehl"/>
          <w:sz w:val="32"/>
          <w:rtl/>
        </w:rPr>
      </w:pPr>
    </w:p>
    <w:p w14:paraId="066AA4EC" w14:textId="77777777" w:rsidR="000B3DF5" w:rsidRDefault="00B554F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0B3DF5"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 w:rsidR="000B3DF5">
        <w:rPr>
          <w:rFonts w:cs="FrankRuehl"/>
          <w:sz w:val="32"/>
          <w:rtl/>
        </w:rPr>
        <w:t>–</w:t>
      </w:r>
      <w:r w:rsidR="000B3DF5">
        <w:rPr>
          <w:rFonts w:cs="FrankRuehl" w:hint="cs"/>
          <w:sz w:val="32"/>
          <w:rtl/>
        </w:rPr>
        <w:t xml:space="preserve"> מקורות אנרגיה), תשס"ה-2004</w:t>
      </w:r>
      <w:r w:rsidR="000B3DF5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445A177" w14:textId="77777777" w:rsidR="000B3DF5" w:rsidRDefault="000B3D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התשתיות הלאומיות, ובאישור ועדת החוקה חוק ומשפט של הכנסת, אני מתקין תקנות אלה:</w:t>
      </w:r>
    </w:p>
    <w:p w14:paraId="3E5020C1" w14:textId="77777777" w:rsidR="000B3DF5" w:rsidRDefault="000B3D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3EBDD05D">
          <v:rect id="_x0000_s1026" style="position:absolute;left:0;text-align:left;margin-left:463.5pt;margin-top:8.05pt;width:75.05pt;height:8.95pt;z-index:251651072" filled="f" stroked="f" strokecolor="lime" strokeweight=".25pt">
            <v:textbox style="mso-next-textbox:#_x0000_s1026" inset="1mm,0,1mm,0">
              <w:txbxContent>
                <w:p w14:paraId="4387C3CB" w14:textId="77777777" w:rsidR="000B3DF5" w:rsidRDefault="000B3DF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עבירות מינהליות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עבירה על חיקוק מהחיקוקים המפורטים בטור א' שבתוספת, היא עבירה מינהלית.</w:t>
      </w:r>
    </w:p>
    <w:p w14:paraId="230573BE" w14:textId="77777777" w:rsidR="000B3DF5" w:rsidRDefault="000B3D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12EF471F">
          <v:rect id="_x0000_s1059" style="position:absolute;left:0;text-align:left;margin-left:464.35pt;margin-top:8.05pt;width:75.05pt;height:9.1pt;z-index:251652096" o:allowincell="f" filled="f" stroked="f" strokecolor="lime" strokeweight=".25pt">
            <v:textbox style="mso-next-textbox:#_x0000_s1059" inset="1mm,0,1mm,0">
              <w:txbxContent>
                <w:p w14:paraId="0FCBBCC4" w14:textId="77777777" w:rsidR="000B3DF5" w:rsidRDefault="000B3DF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לעבירה מינהלית כאמור בתקנה 1 יהיה קנס מינהלי קצוב כקבוע לצדה בטור ב' בתוספת.</w:t>
      </w:r>
    </w:p>
    <w:p w14:paraId="2335FB85" w14:textId="77777777" w:rsidR="000B3DF5" w:rsidRDefault="000B3D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008820BF">
          <v:rect id="_x0000_s1061" style="position:absolute;left:0;text-align:left;margin-left:463.5pt;margin-top:8.05pt;width:75.05pt;height:15.55pt;z-index:251653120" filled="f" stroked="f" strokecolor="lime" strokeweight=".25pt">
            <v:textbox style="mso-next-textbox:#_x0000_s1061" inset="1mm,0,1mm,0">
              <w:txbxContent>
                <w:p w14:paraId="158E8B26" w14:textId="77777777" w:rsidR="000B3DF5" w:rsidRDefault="000B3DF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 נמשכת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הקנס המינהלי הקצוב לעבירה מינהלית נמשכת יהיה בשיעור החלק החמישים של הקנס הקבוע בתקנה 2, לפי הענין, לכל יום שבו נמשכת העבירה לאחר המועד שנקבע בהתראה כאמור בסעיף 8(ב1) לחוק.</w:t>
      </w:r>
    </w:p>
    <w:p w14:paraId="68FED955" w14:textId="77777777" w:rsidR="000B3DF5" w:rsidRDefault="000B3D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015CE082">
          <v:rect id="_x0000_s1063" style="position:absolute;left:0;text-align:left;margin-left:463.5pt;margin-top:8.05pt;width:75.05pt;height:15.55pt;z-index:251655168" filled="f" stroked="f" strokecolor="lime" strokeweight=".25pt">
            <v:textbox style="mso-next-textbox:#_x0000_s1063" inset="1mm,0,1mm,0">
              <w:txbxContent>
                <w:p w14:paraId="11D139DD" w14:textId="77777777" w:rsidR="000B3DF5" w:rsidRDefault="000B3DF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הקנס המינהלי לעבירה מינהלית חוזרת כמשמעותה בסעיף 2(ג) לחוק יהיה כפל הקנס האמור בתקנה 2, לפי הענין.</w:t>
      </w:r>
    </w:p>
    <w:p w14:paraId="13E47EAE" w14:textId="77777777" w:rsidR="000B3DF5" w:rsidRDefault="000B3D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rFonts w:cs="Miriam"/>
          <w:lang w:val="he-IL"/>
        </w:rPr>
        <w:pict w14:anchorId="631D99A4">
          <v:rect id="_x0000_s1062" style="position:absolute;left:0;text-align:left;margin-left:463.5pt;margin-top:8.05pt;width:75.05pt;height:8.95pt;z-index:251654144" filled="f" stroked="f" strokecolor="lime" strokeweight=".25pt">
            <v:textbox style="mso-next-textbox:#_x0000_s1062" inset="1mm,0,1mm,0">
              <w:txbxContent>
                <w:p w14:paraId="46407535" w14:textId="77777777" w:rsidR="000B3DF5" w:rsidRDefault="000B3DF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תחילתן של תקנות אלה 30 ימים מיום פרסומן.</w:t>
      </w:r>
    </w:p>
    <w:p w14:paraId="3FDC82CC" w14:textId="77777777" w:rsidR="000B3DF5" w:rsidRDefault="000B3D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929EAF" w14:textId="77777777" w:rsidR="000B3DF5" w:rsidRPr="00D257ED" w:rsidRDefault="000B3DF5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D257ED">
        <w:rPr>
          <w:rStyle w:val="default"/>
          <w:rFonts w:cs="FrankRuehl" w:hint="cs"/>
          <w:b/>
          <w:bCs/>
          <w:rtl/>
        </w:rPr>
        <w:t>תוספת</w:t>
      </w:r>
    </w:p>
    <w:p w14:paraId="58DE597E" w14:textId="77777777" w:rsidR="000B3DF5" w:rsidRDefault="000B3DF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(תקנה 1)</w:t>
      </w:r>
    </w:p>
    <w:p w14:paraId="651C2045" w14:textId="77777777" w:rsidR="000B3DF5" w:rsidRDefault="000B3D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030EEDAF" w14:textId="77777777" w:rsidR="000B3DF5" w:rsidRDefault="000B3DF5" w:rsidP="00D257E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  <w:t>קנס מינהלי קצוב</w:t>
      </w:r>
    </w:p>
    <w:p w14:paraId="6EC0F44A" w14:textId="77777777" w:rsidR="000B3DF5" w:rsidRDefault="000B3DF5" w:rsidP="00D257E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החיקוק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7B68B10B" w14:textId="77777777" w:rsidR="000B3DF5" w:rsidRDefault="000B3D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0" w:right="1134"/>
        <w:rPr>
          <w:rStyle w:val="default"/>
          <w:rFonts w:cs="FrankRuehl" w:hint="cs"/>
          <w:sz w:val="22"/>
          <w:szCs w:val="22"/>
          <w:u w:val="single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sz w:val="22"/>
          <w:szCs w:val="22"/>
          <w:u w:val="single"/>
          <w:rtl/>
        </w:rPr>
        <w:t>ליחיד</w:t>
      </w:r>
      <w:r>
        <w:rPr>
          <w:rStyle w:val="default"/>
          <w:rFonts w:cs="FrankRuehl" w:hint="cs"/>
          <w:sz w:val="22"/>
          <w:szCs w:val="22"/>
          <w:u w:val="single"/>
          <w:rtl/>
        </w:rPr>
        <w:tab/>
        <w:t>לתאגיד</w:t>
      </w:r>
    </w:p>
    <w:p w14:paraId="7A5CF4FE" w14:textId="77777777" w:rsidR="000B3DF5" w:rsidRDefault="00040B4A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0" w:right="3686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019C19AF"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470.35pt;margin-top:7.1pt;width:1in;height:12.5pt;z-index:251656192" filled="f" stroked="f">
            <v:textbox inset="1mm,0,1mm,0">
              <w:txbxContent>
                <w:p w14:paraId="05EE94CA" w14:textId="77777777" w:rsidR="00040B4A" w:rsidRDefault="00040B4A" w:rsidP="00040B4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 w:rsidR="000B3DF5">
        <w:rPr>
          <w:rStyle w:val="default"/>
          <w:rFonts w:cs="FrankRuehl" w:hint="cs"/>
          <w:rtl/>
        </w:rPr>
        <w:t>(1)</w:t>
      </w:r>
      <w:r w:rsidR="000B3DF5">
        <w:rPr>
          <w:rStyle w:val="default"/>
          <w:rFonts w:cs="FrankRuehl" w:hint="cs"/>
          <w:rtl/>
        </w:rPr>
        <w:tab/>
        <w:t>תקנה 2 לתקנות מקורות אנרגיה (סימון אנרגטי בתנורי חימום חשמליים), התשנ"ג-1993</w:t>
      </w:r>
      <w:r w:rsidR="000B3DF5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500</w:t>
      </w:r>
      <w:r>
        <w:rPr>
          <w:rStyle w:val="default"/>
          <w:rFonts w:cs="FrankRuehl" w:hint="cs"/>
          <w:rtl/>
        </w:rPr>
        <w:tab/>
        <w:t>2</w:t>
      </w:r>
      <w:r w:rsidR="000B3DF5">
        <w:rPr>
          <w:rStyle w:val="default"/>
          <w:rFonts w:cs="FrankRuehl" w:hint="cs"/>
          <w:rtl/>
        </w:rPr>
        <w:t>,500</w:t>
      </w:r>
    </w:p>
    <w:p w14:paraId="5B2FBA2B" w14:textId="77777777" w:rsidR="000B3DF5" w:rsidRDefault="000B3DF5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תקנות מקורות אנרגיה (ביצוע סקר לאיתור פוטנציאל לשימור אנרגיה), התשנ"ג-1993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הסקרים):</w:t>
      </w:r>
    </w:p>
    <w:p w14:paraId="5105F43D" w14:textId="77777777" w:rsidR="000B3DF5" w:rsidRDefault="000B3DF5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1021" w:right="3686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תקנה 2</w:t>
      </w:r>
      <w:r>
        <w:rPr>
          <w:rStyle w:val="default"/>
          <w:rFonts w:cs="FrankRuehl" w:hint="cs"/>
          <w:rtl/>
        </w:rPr>
        <w:tab/>
        <w:t>25,000</w:t>
      </w:r>
    </w:p>
    <w:p w14:paraId="6C77A239" w14:textId="77777777" w:rsidR="000B3DF5" w:rsidRDefault="000B3DF5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1021" w:right="3686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תקנות 3 ו-4(ב)</w:t>
      </w:r>
      <w:r>
        <w:rPr>
          <w:rStyle w:val="default"/>
          <w:rFonts w:cs="FrankRuehl" w:hint="cs"/>
          <w:rtl/>
        </w:rPr>
        <w:tab/>
        <w:t>10,000</w:t>
      </w:r>
    </w:p>
    <w:p w14:paraId="44974B49" w14:textId="77777777" w:rsidR="000B3DF5" w:rsidRDefault="000B3DF5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0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תקנות 2 ו-4 לתקנות מקורות אנרגיה (שיפור נצילות הבעירה בדודי קיטור המוסקים בדלק), התשס"ד-2004</w:t>
      </w:r>
      <w:r>
        <w:rPr>
          <w:rStyle w:val="default"/>
          <w:rFonts w:cs="FrankRuehl" w:hint="cs"/>
          <w:rtl/>
        </w:rPr>
        <w:tab/>
        <w:t>3,000</w:t>
      </w:r>
      <w:r>
        <w:rPr>
          <w:rStyle w:val="default"/>
          <w:rFonts w:cs="FrankRuehl" w:hint="cs"/>
          <w:rtl/>
        </w:rPr>
        <w:tab/>
        <w:t>15,000</w:t>
      </w:r>
    </w:p>
    <w:p w14:paraId="7B2FFC9E" w14:textId="77777777" w:rsidR="000B3DF5" w:rsidRDefault="000B3DF5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תקנות מקורות אנרגיה (פיקוח על יעילות צריכה אנרגיה, התשנ"ד-1993:</w:t>
      </w:r>
    </w:p>
    <w:p w14:paraId="7AFB3613" w14:textId="77777777" w:rsidR="000B3DF5" w:rsidRDefault="000B3DF5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1021" w:right="3686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תקנה 2</w:t>
      </w:r>
      <w:r>
        <w:rPr>
          <w:rStyle w:val="default"/>
          <w:rFonts w:cs="FrankRuehl" w:hint="cs"/>
          <w:rtl/>
        </w:rPr>
        <w:tab/>
        <w:t>1,500</w:t>
      </w:r>
    </w:p>
    <w:p w14:paraId="125680B3" w14:textId="77777777" w:rsidR="000B3DF5" w:rsidRDefault="000B3DF5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1021" w:right="3686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תקנה 4(א)</w:t>
      </w:r>
      <w:r>
        <w:rPr>
          <w:rStyle w:val="default"/>
          <w:rFonts w:cs="FrankRuehl" w:hint="cs"/>
          <w:rtl/>
        </w:rPr>
        <w:tab/>
        <w:t>1,000</w:t>
      </w:r>
    </w:p>
    <w:p w14:paraId="1B940801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0" w:right="3686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5C92056C">
          <v:shape id="_x0000_s1071" type="#_x0000_t202" style="position:absolute;left:0;text-align:left;margin-left:470.35pt;margin-top:7.1pt;width:1in;height:13.05pt;z-index:251657216" filled="f" stroked="f">
            <v:textbox inset="1mm,0,1mm,0">
              <w:txbxContent>
                <w:p w14:paraId="47B3F37A" w14:textId="77777777" w:rsidR="0055609F" w:rsidRDefault="0055609F" w:rsidP="005560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 w:rsidR="000B3DF5">
        <w:rPr>
          <w:rStyle w:val="default"/>
          <w:rFonts w:cs="FrankRuehl" w:hint="cs"/>
          <w:rtl/>
        </w:rPr>
        <w:t>(5)</w:t>
      </w:r>
      <w:r w:rsidR="000B3DF5">
        <w:rPr>
          <w:rStyle w:val="default"/>
          <w:rFonts w:cs="FrankRuehl" w:hint="cs"/>
          <w:rtl/>
        </w:rPr>
        <w:tab/>
      </w:r>
      <w:r w:rsidRPr="0055609F">
        <w:rPr>
          <w:rStyle w:val="default"/>
          <w:rFonts w:cs="FrankRuehl" w:hint="cs"/>
          <w:rtl/>
        </w:rPr>
        <w:t>תקנות מקורות אנרגיה (יעילות אנרגטית, סימון אנרגטי ודירוג אנרגטי במזגנים), התשס"ה-2004:</w:t>
      </w:r>
    </w:p>
    <w:p w14:paraId="1903D1F4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1021" w:right="3686" w:hanging="397"/>
        <w:jc w:val="left"/>
        <w:rPr>
          <w:rStyle w:val="default"/>
          <w:rFonts w:cs="FrankRuehl" w:hint="cs"/>
          <w:rtl/>
        </w:rPr>
      </w:pPr>
      <w:r w:rsidRPr="0055609F">
        <w:rPr>
          <w:rStyle w:val="default"/>
          <w:rFonts w:cs="FrankRuehl" w:hint="cs"/>
          <w:rtl/>
        </w:rPr>
        <w:t>(1)</w:t>
      </w:r>
      <w:r w:rsidRPr="0055609F">
        <w:rPr>
          <w:rStyle w:val="default"/>
          <w:rFonts w:cs="FrankRuehl" w:hint="cs"/>
          <w:rtl/>
        </w:rPr>
        <w:tab/>
        <w:t>תקנה 2(א)</w:t>
      </w:r>
      <w:r w:rsidRPr="0055609F">
        <w:rPr>
          <w:rStyle w:val="default"/>
          <w:rFonts w:cs="FrankRuehl" w:hint="cs"/>
          <w:rtl/>
        </w:rPr>
        <w:tab/>
        <w:t>1,000</w:t>
      </w:r>
      <w:r w:rsidRPr="0055609F">
        <w:rPr>
          <w:rStyle w:val="default"/>
          <w:rFonts w:cs="FrankRuehl" w:hint="cs"/>
          <w:rtl/>
        </w:rPr>
        <w:tab/>
        <w:t>5,000</w:t>
      </w:r>
    </w:p>
    <w:p w14:paraId="429A2AF9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1021" w:right="3686" w:hanging="397"/>
        <w:jc w:val="left"/>
        <w:rPr>
          <w:rStyle w:val="default"/>
          <w:rFonts w:cs="FrankRuehl" w:hint="cs"/>
          <w:rtl/>
        </w:rPr>
      </w:pPr>
      <w:r w:rsidRPr="0055609F">
        <w:rPr>
          <w:rStyle w:val="default"/>
          <w:rFonts w:cs="FrankRuehl" w:hint="cs"/>
          <w:rtl/>
        </w:rPr>
        <w:t>(2)</w:t>
      </w:r>
      <w:r w:rsidRPr="0055609F">
        <w:rPr>
          <w:rStyle w:val="default"/>
          <w:rFonts w:cs="FrankRuehl" w:hint="cs"/>
          <w:rtl/>
        </w:rPr>
        <w:tab/>
        <w:t>תקנה 3</w:t>
      </w:r>
      <w:r w:rsidRPr="0055609F">
        <w:rPr>
          <w:rStyle w:val="default"/>
          <w:rFonts w:cs="FrankRuehl" w:hint="cs"/>
          <w:rtl/>
        </w:rPr>
        <w:tab/>
        <w:t>500</w:t>
      </w:r>
      <w:r w:rsidRPr="0055609F">
        <w:rPr>
          <w:rStyle w:val="default"/>
          <w:rFonts w:cs="FrankRuehl" w:hint="cs"/>
          <w:rtl/>
        </w:rPr>
        <w:tab/>
        <w:t>2,500</w:t>
      </w:r>
    </w:p>
    <w:p w14:paraId="2F6F682D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0" w:right="3686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68E6D893">
          <v:shape id="_x0000_s1072" type="#_x0000_t202" style="position:absolute;left:0;text-align:left;margin-left:470.35pt;margin-top:7.1pt;width:1in;height:13.05pt;z-index:251658240" filled="f" stroked="f">
            <v:textbox inset="1mm,0,1mm,0">
              <w:txbxContent>
                <w:p w14:paraId="17435C51" w14:textId="77777777" w:rsidR="0055609F" w:rsidRDefault="0055609F" w:rsidP="005560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</w:r>
      <w:r w:rsidRPr="0055609F">
        <w:rPr>
          <w:rStyle w:val="default"/>
          <w:rFonts w:cs="FrankRuehl" w:hint="cs"/>
          <w:rtl/>
        </w:rPr>
        <w:t>תקנות מקורות אנרגיה (התייעלות אנרגטית ומידע על צריכת אנרגיה של מכשירי קירור), התשס"ד-2004:</w:t>
      </w:r>
    </w:p>
    <w:p w14:paraId="5FFC5864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1021" w:right="3686" w:hanging="397"/>
        <w:jc w:val="left"/>
        <w:rPr>
          <w:rStyle w:val="default"/>
          <w:rFonts w:cs="FrankRuehl" w:hint="cs"/>
          <w:rtl/>
        </w:rPr>
      </w:pPr>
      <w:r w:rsidRPr="0055609F">
        <w:rPr>
          <w:rStyle w:val="default"/>
          <w:rFonts w:cs="FrankRuehl" w:hint="cs"/>
          <w:rtl/>
        </w:rPr>
        <w:t>(1)</w:t>
      </w:r>
      <w:r w:rsidRPr="0055609F">
        <w:rPr>
          <w:rStyle w:val="default"/>
          <w:rFonts w:cs="FrankRuehl" w:hint="cs"/>
          <w:rtl/>
        </w:rPr>
        <w:tab/>
        <w:t>תקנה 2</w:t>
      </w:r>
      <w:r w:rsidRPr="0055609F">
        <w:rPr>
          <w:rStyle w:val="default"/>
          <w:rFonts w:cs="FrankRuehl" w:hint="cs"/>
          <w:rtl/>
        </w:rPr>
        <w:tab/>
        <w:t>1,000</w:t>
      </w:r>
      <w:r w:rsidRPr="0055609F">
        <w:rPr>
          <w:rStyle w:val="default"/>
          <w:rFonts w:cs="FrankRuehl" w:hint="cs"/>
          <w:rtl/>
        </w:rPr>
        <w:tab/>
        <w:t>5,000</w:t>
      </w:r>
    </w:p>
    <w:p w14:paraId="6ED7F08F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1021" w:right="3686" w:hanging="397"/>
        <w:jc w:val="left"/>
        <w:rPr>
          <w:rStyle w:val="default"/>
          <w:rFonts w:cs="FrankRuehl" w:hint="cs"/>
          <w:rtl/>
        </w:rPr>
      </w:pPr>
      <w:r w:rsidRPr="0055609F">
        <w:rPr>
          <w:rStyle w:val="default"/>
          <w:rFonts w:cs="FrankRuehl" w:hint="cs"/>
          <w:rtl/>
        </w:rPr>
        <w:t>(2)</w:t>
      </w:r>
      <w:r w:rsidRPr="0055609F">
        <w:rPr>
          <w:rStyle w:val="default"/>
          <w:rFonts w:cs="FrankRuehl" w:hint="cs"/>
          <w:rtl/>
        </w:rPr>
        <w:tab/>
        <w:t>תקנה 5(א)</w:t>
      </w:r>
      <w:r w:rsidRPr="0055609F">
        <w:rPr>
          <w:rStyle w:val="default"/>
          <w:rFonts w:cs="FrankRuehl" w:hint="cs"/>
          <w:rtl/>
        </w:rPr>
        <w:tab/>
        <w:t>500</w:t>
      </w:r>
      <w:r w:rsidRPr="0055609F">
        <w:rPr>
          <w:rStyle w:val="default"/>
          <w:rFonts w:cs="FrankRuehl" w:hint="cs"/>
          <w:rtl/>
        </w:rPr>
        <w:tab/>
        <w:t>2,500</w:t>
      </w:r>
    </w:p>
    <w:p w14:paraId="6D347DEE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0" w:right="3686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lastRenderedPageBreak/>
        <w:pict w14:anchorId="7B0F6A9F">
          <v:shape id="_x0000_s1073" type="#_x0000_t202" style="position:absolute;left:0;text-align:left;margin-left:470.35pt;margin-top:7.1pt;width:1in;height:13.05pt;z-index:251659264" filled="f" stroked="f">
            <v:textbox inset="1mm,0,1mm,0">
              <w:txbxContent>
                <w:p w14:paraId="7E6D8EA2" w14:textId="77777777" w:rsidR="0055609F" w:rsidRDefault="0055609F" w:rsidP="005560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</w:r>
      <w:r w:rsidRPr="0055609F">
        <w:rPr>
          <w:rStyle w:val="default"/>
          <w:rFonts w:cs="FrankRuehl" w:hint="cs"/>
          <w:rtl/>
        </w:rPr>
        <w:t xml:space="preserve">תקנה 4 </w:t>
      </w:r>
      <w:r w:rsidRPr="0055609F">
        <w:rPr>
          <w:rStyle w:val="default"/>
          <w:rFonts w:cs="FrankRuehl"/>
          <w:rtl/>
        </w:rPr>
        <w:t>–</w:t>
      </w:r>
      <w:r w:rsidRPr="0055609F">
        <w:rPr>
          <w:rStyle w:val="default"/>
          <w:rFonts w:cs="FrankRuehl" w:hint="cs"/>
          <w:rtl/>
        </w:rPr>
        <w:t xml:space="preserve"> לעניין תקנה 2(א) ו-(ה) </w:t>
      </w:r>
      <w:r w:rsidRPr="0055609F">
        <w:rPr>
          <w:rStyle w:val="default"/>
          <w:rFonts w:cs="FrankRuehl"/>
          <w:rtl/>
        </w:rPr>
        <w:t>–</w:t>
      </w:r>
      <w:r w:rsidRPr="0055609F">
        <w:rPr>
          <w:rStyle w:val="default"/>
          <w:rFonts w:cs="FrankRuehl" w:hint="cs"/>
          <w:rtl/>
        </w:rPr>
        <w:t xml:space="preserve"> לתקנות מקורות אנרגיה (בדיקת נצילות הבעירה במחממים מוסקים בדלק נוזלי או בגז), התשס"ד-2004</w:t>
      </w:r>
      <w:r w:rsidRPr="0055609F">
        <w:rPr>
          <w:rStyle w:val="default"/>
          <w:rFonts w:cs="FrankRuehl" w:hint="cs"/>
          <w:rtl/>
        </w:rPr>
        <w:tab/>
        <w:t>3,000</w:t>
      </w:r>
      <w:r w:rsidRPr="0055609F">
        <w:rPr>
          <w:rStyle w:val="default"/>
          <w:rFonts w:cs="FrankRuehl" w:hint="cs"/>
          <w:rtl/>
        </w:rPr>
        <w:tab/>
        <w:t>15,000</w:t>
      </w:r>
    </w:p>
    <w:p w14:paraId="11D00787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0" w:right="3686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197A5332">
          <v:shape id="_x0000_s1074" type="#_x0000_t202" style="position:absolute;left:0;text-align:left;margin-left:470.35pt;margin-top:7.1pt;width:1in;height:13.05pt;z-index:251660288" filled="f" stroked="f">
            <v:textbox inset="1mm,0,1mm,0">
              <w:txbxContent>
                <w:p w14:paraId="709563CC" w14:textId="77777777" w:rsidR="0055609F" w:rsidRDefault="0055609F" w:rsidP="005560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</w:r>
      <w:r w:rsidRPr="0055609F">
        <w:rPr>
          <w:rStyle w:val="default"/>
          <w:rFonts w:cs="FrankRuehl" w:hint="cs"/>
          <w:rtl/>
        </w:rPr>
        <w:t>תקנות 3(א) ו-4(ב) לתקנות מקורות אנרגיה (בדיקת נצילות אנרגטית במיתקני שאיבה), התשס"ד-2004</w:t>
      </w:r>
      <w:r w:rsidRPr="0055609F">
        <w:rPr>
          <w:rStyle w:val="default"/>
          <w:rFonts w:cs="FrankRuehl" w:hint="cs"/>
          <w:rtl/>
        </w:rPr>
        <w:tab/>
        <w:t>3,000</w:t>
      </w:r>
      <w:r w:rsidRPr="0055609F">
        <w:rPr>
          <w:rStyle w:val="default"/>
          <w:rFonts w:cs="FrankRuehl" w:hint="cs"/>
          <w:rtl/>
        </w:rPr>
        <w:tab/>
        <w:t>15,000</w:t>
      </w:r>
    </w:p>
    <w:p w14:paraId="74BD8774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0" w:right="3686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04D65B57">
          <v:shape id="_x0000_s1075" type="#_x0000_t202" style="position:absolute;left:0;text-align:left;margin-left:470.35pt;margin-top:7.1pt;width:1in;height:13.05pt;z-index:251661312" filled="f" stroked="f">
            <v:textbox inset="1mm,0,1mm,0">
              <w:txbxContent>
                <w:p w14:paraId="0E2ED316" w14:textId="77777777" w:rsidR="0055609F" w:rsidRDefault="0055609F" w:rsidP="005560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</w:r>
      <w:r w:rsidRPr="0055609F">
        <w:rPr>
          <w:rStyle w:val="default"/>
          <w:rFonts w:cs="FrankRuehl" w:hint="cs"/>
          <w:rtl/>
        </w:rPr>
        <w:t>תקנות מקורות אנרגיה (צריכת אנרגיה מרבית למכשיר חשמל ביתי), התש"ע-2009:</w:t>
      </w:r>
    </w:p>
    <w:p w14:paraId="26025CEF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1021" w:right="3686" w:hanging="397"/>
        <w:jc w:val="left"/>
        <w:rPr>
          <w:rStyle w:val="default"/>
          <w:rFonts w:cs="FrankRuehl" w:hint="cs"/>
          <w:rtl/>
        </w:rPr>
      </w:pPr>
      <w:r w:rsidRPr="0055609F">
        <w:rPr>
          <w:rStyle w:val="default"/>
          <w:rFonts w:cs="FrankRuehl" w:hint="cs"/>
          <w:rtl/>
        </w:rPr>
        <w:t>(1)</w:t>
      </w:r>
      <w:r w:rsidRPr="0055609F">
        <w:rPr>
          <w:rStyle w:val="default"/>
          <w:rFonts w:cs="FrankRuehl" w:hint="cs"/>
          <w:rtl/>
        </w:rPr>
        <w:tab/>
        <w:t>תקנה 2(א)(1) ו-(2)</w:t>
      </w:r>
      <w:r w:rsidRPr="0055609F">
        <w:rPr>
          <w:rStyle w:val="default"/>
          <w:rFonts w:cs="FrankRuehl" w:hint="cs"/>
          <w:rtl/>
        </w:rPr>
        <w:tab/>
        <w:t>1,000</w:t>
      </w:r>
      <w:r w:rsidRPr="0055609F">
        <w:rPr>
          <w:rStyle w:val="default"/>
          <w:rFonts w:cs="FrankRuehl" w:hint="cs"/>
          <w:rtl/>
        </w:rPr>
        <w:tab/>
        <w:t>5,000</w:t>
      </w:r>
    </w:p>
    <w:p w14:paraId="43B416F7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1021" w:right="3686" w:hanging="397"/>
        <w:jc w:val="left"/>
        <w:rPr>
          <w:rStyle w:val="default"/>
          <w:rFonts w:cs="FrankRuehl" w:hint="cs"/>
          <w:rtl/>
        </w:rPr>
      </w:pPr>
      <w:r w:rsidRPr="0055609F">
        <w:rPr>
          <w:rStyle w:val="default"/>
          <w:rFonts w:cs="FrankRuehl" w:hint="cs"/>
          <w:rtl/>
        </w:rPr>
        <w:t>(2)</w:t>
      </w:r>
      <w:r w:rsidRPr="0055609F">
        <w:rPr>
          <w:rStyle w:val="default"/>
          <w:rFonts w:cs="FrankRuehl" w:hint="cs"/>
          <w:rtl/>
        </w:rPr>
        <w:tab/>
        <w:t>תקנה 2(א)(3), (ב) ו-(ג)</w:t>
      </w:r>
      <w:r w:rsidRPr="0055609F">
        <w:rPr>
          <w:rStyle w:val="default"/>
          <w:rFonts w:cs="FrankRuehl" w:hint="cs"/>
          <w:rtl/>
        </w:rPr>
        <w:tab/>
        <w:t>500</w:t>
      </w:r>
      <w:r w:rsidRPr="0055609F">
        <w:rPr>
          <w:rStyle w:val="default"/>
          <w:rFonts w:cs="FrankRuehl" w:hint="cs"/>
          <w:rtl/>
        </w:rPr>
        <w:tab/>
        <w:t>2,500</w:t>
      </w:r>
    </w:p>
    <w:p w14:paraId="6EE1C8E9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0" w:right="3686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2E7AD898">
          <v:shape id="_x0000_s1076" type="#_x0000_t202" style="position:absolute;left:0;text-align:left;margin-left:470.35pt;margin-top:7.1pt;width:1in;height:13.05pt;z-index:251662336" filled="f" stroked="f">
            <v:textbox inset="1mm,0,1mm,0">
              <w:txbxContent>
                <w:p w14:paraId="2A623928" w14:textId="77777777" w:rsidR="0055609F" w:rsidRDefault="0055609F" w:rsidP="005560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</w:r>
      <w:r w:rsidRPr="0055609F">
        <w:rPr>
          <w:rStyle w:val="default"/>
          <w:rFonts w:cs="FrankRuehl" w:hint="cs"/>
          <w:rtl/>
        </w:rPr>
        <w:t xml:space="preserve">תקנה 2 לתקנות מקורות אנרגיה (הספק חשמלי מרבי במצב המתנה למכשירים חשמליים ביתיים ומשרדיים), </w:t>
      </w:r>
      <w:r>
        <w:rPr>
          <w:rStyle w:val="default"/>
          <w:rFonts w:cs="FrankRuehl"/>
          <w:rtl/>
        </w:rPr>
        <w:br/>
      </w:r>
      <w:r w:rsidRPr="0055609F">
        <w:rPr>
          <w:rStyle w:val="default"/>
          <w:rFonts w:cs="FrankRuehl" w:hint="cs"/>
          <w:rtl/>
        </w:rPr>
        <w:t>התשע"א-2011</w:t>
      </w:r>
      <w:r w:rsidRPr="0055609F">
        <w:rPr>
          <w:rStyle w:val="default"/>
          <w:rFonts w:cs="FrankRuehl" w:hint="cs"/>
          <w:rtl/>
        </w:rPr>
        <w:tab/>
        <w:t>1,000</w:t>
      </w:r>
      <w:r w:rsidRPr="0055609F">
        <w:rPr>
          <w:rStyle w:val="default"/>
          <w:rFonts w:cs="FrankRuehl" w:hint="cs"/>
          <w:rtl/>
        </w:rPr>
        <w:tab/>
        <w:t>5,000</w:t>
      </w:r>
    </w:p>
    <w:p w14:paraId="66E581E9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0" w:right="3686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39D41DB4">
          <v:shape id="_x0000_s1077" type="#_x0000_t202" style="position:absolute;left:0;text-align:left;margin-left:470.35pt;margin-top:7.1pt;width:1in;height:13.05pt;z-index:251663360" filled="f" stroked="f">
            <v:textbox inset="1mm,0,1mm,0">
              <w:txbxContent>
                <w:p w14:paraId="58D18334" w14:textId="77777777" w:rsidR="0055609F" w:rsidRDefault="0055609F" w:rsidP="005560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 w:hint="cs"/>
          <w:rtl/>
        </w:rPr>
        <w:tab/>
      </w:r>
      <w:r w:rsidRPr="0055609F">
        <w:rPr>
          <w:rStyle w:val="default"/>
          <w:rFonts w:cs="FrankRuehl" w:hint="cs"/>
          <w:rtl/>
        </w:rPr>
        <w:t>תקנה 2 לתקנות מקורות אנרגיה (הספק חשמלי מרבי למקלט טלוויזיה), התשע"א-2011</w:t>
      </w:r>
      <w:r w:rsidRPr="0055609F">
        <w:rPr>
          <w:rStyle w:val="default"/>
          <w:rFonts w:cs="FrankRuehl" w:hint="cs"/>
          <w:rtl/>
        </w:rPr>
        <w:tab/>
        <w:t>1,000</w:t>
      </w:r>
      <w:r w:rsidRPr="0055609F">
        <w:rPr>
          <w:rStyle w:val="default"/>
          <w:rFonts w:cs="FrankRuehl" w:hint="cs"/>
          <w:rtl/>
        </w:rPr>
        <w:tab/>
        <w:t>5,000</w:t>
      </w:r>
    </w:p>
    <w:p w14:paraId="0DB5BDCF" w14:textId="77777777" w:rsidR="0055609F" w:rsidRPr="0055609F" w:rsidRDefault="0055609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72"/>
        <w:ind w:left="0" w:right="3686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19845E1B">
          <v:shape id="_x0000_s1078" type="#_x0000_t202" style="position:absolute;left:0;text-align:left;margin-left:470.35pt;margin-top:7.1pt;width:1in;height:13.05pt;z-index:251664384" filled="f" stroked="f">
            <v:textbox inset="1mm,0,1mm,0">
              <w:txbxContent>
                <w:p w14:paraId="19E5FC54" w14:textId="77777777" w:rsidR="0055609F" w:rsidRDefault="0055609F" w:rsidP="005560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 w:hint="cs"/>
          <w:rtl/>
        </w:rPr>
        <w:tab/>
      </w:r>
      <w:r w:rsidRPr="0055609F">
        <w:rPr>
          <w:rStyle w:val="default"/>
          <w:rFonts w:cs="FrankRuehl" w:hint="cs"/>
          <w:rtl/>
        </w:rPr>
        <w:t>תקנה 2 לתקנות מקורות אנרגיה (יעילות אנרגטית מזערית לנורה חשמלית לתאורת פנים במבנים), התשע"א-2011</w:t>
      </w:r>
      <w:r w:rsidRPr="0055609F">
        <w:rPr>
          <w:rStyle w:val="default"/>
          <w:rFonts w:cs="FrankRuehl" w:hint="cs"/>
          <w:rtl/>
        </w:rPr>
        <w:tab/>
        <w:t>1,000</w:t>
      </w:r>
      <w:r w:rsidRPr="0055609F">
        <w:rPr>
          <w:rStyle w:val="default"/>
          <w:rFonts w:cs="FrankRuehl" w:hint="cs"/>
          <w:rtl/>
        </w:rPr>
        <w:tab/>
        <w:t>5,000</w:t>
      </w:r>
    </w:p>
    <w:p w14:paraId="103F72D6" w14:textId="77777777" w:rsidR="000B3DF5" w:rsidRPr="0055609F" w:rsidRDefault="00040B4A" w:rsidP="00040B4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6"/>
      <w:r w:rsidRPr="0055609F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23.2.2012</w:t>
      </w:r>
    </w:p>
    <w:p w14:paraId="6D253DE7" w14:textId="77777777" w:rsidR="00040B4A" w:rsidRPr="0055609F" w:rsidRDefault="00040B4A" w:rsidP="00040B4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5609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תשע"ב-2012</w:t>
      </w:r>
    </w:p>
    <w:p w14:paraId="48C4AFAB" w14:textId="77777777" w:rsidR="00040B4A" w:rsidRPr="0055609F" w:rsidRDefault="00040B4A" w:rsidP="00040B4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55609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7093</w:t>
        </w:r>
      </w:hyperlink>
      <w:r w:rsidRPr="0055609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23.2.2012 עמ' 800</w:t>
      </w:r>
    </w:p>
    <w:p w14:paraId="3C940A90" w14:textId="77777777" w:rsidR="00040B4A" w:rsidRPr="0055609F" w:rsidRDefault="00040B4A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ind w:left="0" w:right="3686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תקנה 2 לתקנות מקורות אנרגיה (סימון אנרגטי בתנורי חימום חשמליים), התשנ"ג-1993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560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1,000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500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560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1,500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2,500</w:t>
      </w:r>
    </w:p>
    <w:p w14:paraId="16660F2E" w14:textId="77777777" w:rsidR="00040B4A" w:rsidRPr="0055609F" w:rsidRDefault="00040B4A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0" w:right="3686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תקנות מקורות אנרגיה (ביצוע סקר לאיתור פוטנציאל לשימור אנרגיה), התשנ"ג-1993 (להלן </w:t>
      </w:r>
      <w:r w:rsidRPr="005560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תקנות הסקרים):</w:t>
      </w:r>
    </w:p>
    <w:p w14:paraId="64611B85" w14:textId="77777777" w:rsidR="00040B4A" w:rsidRPr="0055609F" w:rsidRDefault="00040B4A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1021" w:right="3686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תקנה 2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25,000</w:t>
      </w:r>
    </w:p>
    <w:p w14:paraId="7C69A5EA" w14:textId="77777777" w:rsidR="00040B4A" w:rsidRPr="0055609F" w:rsidRDefault="00040B4A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1021" w:right="3686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תקנות 3 ו-4(ב)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10,000</w:t>
      </w:r>
    </w:p>
    <w:p w14:paraId="7C0EF1B9" w14:textId="77777777" w:rsidR="00040B4A" w:rsidRPr="0055609F" w:rsidRDefault="00040B4A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0" w:right="3686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תקנות 2 ו-4 לתקנות מקורות אנרגיה (שיפור נצילות הבעירה בדודי קיטור המוסקים בדלק), התשס"ד-2004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3,000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15,000</w:t>
      </w:r>
    </w:p>
    <w:p w14:paraId="645C3FD0" w14:textId="77777777" w:rsidR="00040B4A" w:rsidRPr="0055609F" w:rsidRDefault="00040B4A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0" w:right="3686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תקנות מקורות אנרגיה (פיקוח על יעילות צריכה אנרגיה, התשנ"ד-1993:</w:t>
      </w:r>
    </w:p>
    <w:p w14:paraId="42090746" w14:textId="77777777" w:rsidR="00040B4A" w:rsidRPr="0055609F" w:rsidRDefault="00040B4A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1021" w:right="3686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תקנה 2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1,500</w:t>
      </w:r>
    </w:p>
    <w:p w14:paraId="6F68D3CE" w14:textId="77777777" w:rsidR="00040B4A" w:rsidRPr="0055609F" w:rsidRDefault="00040B4A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1021" w:right="3686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תקנה 4(א)</w:t>
      </w:r>
      <w:r w:rsidRPr="005560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1,000</w:t>
      </w:r>
    </w:p>
    <w:p w14:paraId="23927BB3" w14:textId="77777777" w:rsidR="00040B4A" w:rsidRPr="0055609F" w:rsidRDefault="00040B4A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0" w:right="368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5560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תקנות מקורות אנרגיה (יעילות אנרגטית וסימון אנרגטי במזגנים), התשס"א-2000:</w:t>
      </w:r>
    </w:p>
    <w:p w14:paraId="45A0513A" w14:textId="77777777" w:rsidR="00040B4A" w:rsidRPr="0055609F" w:rsidRDefault="00040B4A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1021" w:right="3686" w:hanging="397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5560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תקנה 2(א)(3) ו-(ב)</w:t>
      </w:r>
      <w:r w:rsidRPr="005560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2,000</w:t>
      </w:r>
      <w:r w:rsidRPr="005560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10,000</w:t>
      </w:r>
    </w:p>
    <w:p w14:paraId="3258F7B0" w14:textId="77777777" w:rsidR="00040B4A" w:rsidRPr="0055609F" w:rsidRDefault="00040B4A" w:rsidP="00040B4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1021" w:right="3686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5560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תקנה 3</w:t>
      </w:r>
      <w:r w:rsidRPr="005560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1,000</w:t>
      </w:r>
      <w:r w:rsidRPr="005560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5,000</w:t>
      </w:r>
    </w:p>
    <w:p w14:paraId="1A22D7B5" w14:textId="77777777" w:rsidR="00040B4A" w:rsidRPr="0055609F" w:rsidRDefault="00040B4A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0" w:right="3686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(5)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תקנות מקורות אנרגיה (יעילות אנרגטית</w:t>
      </w:r>
      <w:r w:rsidR="006606FF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סימון אנרגטי </w:t>
      </w:r>
      <w:r w:rsidR="006606FF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ודירוג אנרגטי 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במזגנים), התשס"</w:t>
      </w:r>
      <w:r w:rsidR="006606FF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-200</w:t>
      </w:r>
      <w:r w:rsidR="006606FF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:</w:t>
      </w:r>
    </w:p>
    <w:p w14:paraId="45B9FA25" w14:textId="77777777" w:rsidR="00040B4A" w:rsidRPr="0055609F" w:rsidRDefault="006606FF" w:rsidP="006606F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1021" w:right="3686" w:hanging="397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תקנה 2(א)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</w:t>
      </w:r>
      <w:r w:rsidR="00040B4A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,000</w:t>
      </w:r>
      <w:r w:rsidR="00040B4A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040B4A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,000</w:t>
      </w:r>
    </w:p>
    <w:p w14:paraId="0ABE2A8C" w14:textId="77777777" w:rsidR="00040B4A" w:rsidRPr="0055609F" w:rsidRDefault="00040B4A" w:rsidP="006606F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1021" w:right="3686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תקנה 3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="006606FF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500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="006606FF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00</w:t>
      </w:r>
    </w:p>
    <w:p w14:paraId="3C72ECD0" w14:textId="77777777" w:rsidR="00040B4A" w:rsidRPr="0055609F" w:rsidRDefault="00040B4A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0" w:right="3686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</w:t>
      </w:r>
      <w:r w:rsidR="006606FF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תקנות מקורות אנרגיה (</w:t>
      </w:r>
      <w:r w:rsidR="006606FF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התייעלות אנרגטית ומידע על צריכת אנרגיה של מכשירי קירור), התשס"ד-2004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:</w:t>
      </w:r>
    </w:p>
    <w:p w14:paraId="1FF3CAFF" w14:textId="77777777" w:rsidR="00040B4A" w:rsidRPr="0055609F" w:rsidRDefault="006606FF" w:rsidP="006606F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1021" w:right="3686" w:hanging="397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תקנה 2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</w:t>
      </w:r>
      <w:r w:rsidR="00040B4A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,000</w:t>
      </w:r>
      <w:r w:rsidR="00040B4A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040B4A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,000</w:t>
      </w:r>
    </w:p>
    <w:p w14:paraId="66BF4D89" w14:textId="77777777" w:rsidR="00040B4A" w:rsidRPr="0055609F" w:rsidRDefault="006606FF" w:rsidP="006606F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1021" w:right="3686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תקנה 5(א)</w:t>
      </w:r>
      <w:r w:rsidR="00040B4A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500</w:t>
      </w:r>
      <w:r w:rsidR="00040B4A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2,500</w:t>
      </w:r>
    </w:p>
    <w:p w14:paraId="540E63C0" w14:textId="77777777" w:rsidR="006606FF" w:rsidRPr="0055609F" w:rsidRDefault="006606F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0" w:right="3686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(7)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תקנה 4 </w:t>
      </w:r>
      <w:r w:rsidRPr="0055609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לעניין תקנה 2(א) ו-(ה) </w:t>
      </w:r>
      <w:r w:rsidRPr="0055609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לתקנות מקורות אנרגיה (בדיקת נצילות הבעירה במחממים מוסקים בדלק נוזלי או בגז), התשס"ד-2004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3,000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15,000</w:t>
      </w:r>
    </w:p>
    <w:p w14:paraId="47159491" w14:textId="77777777" w:rsidR="00040B4A" w:rsidRPr="0055609F" w:rsidRDefault="00040B4A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0" w:right="3686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</w:t>
      </w:r>
      <w:r w:rsidR="006606FF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="006606FF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3(א) ו-4(ב) לתקנות מקורות אנרגיה (בדיקת נצילות אנרגטית במיתקני שאיבה), התשס"ד-2004</w:t>
      </w:r>
      <w:r w:rsidR="006606FF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3,000</w:t>
      </w:r>
      <w:r w:rsidR="006606FF"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15,000</w:t>
      </w:r>
    </w:p>
    <w:p w14:paraId="21F15405" w14:textId="77777777" w:rsidR="006606FF" w:rsidRPr="0055609F" w:rsidRDefault="006606F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0" w:right="3686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(9)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תקנות מקורות אנרגיה (צריכת אנרגיה מרבית למכשיר חשמל ביתי), התש"ע-2009:</w:t>
      </w:r>
    </w:p>
    <w:p w14:paraId="42311962" w14:textId="77777777" w:rsidR="006606FF" w:rsidRPr="0055609F" w:rsidRDefault="006606FF" w:rsidP="006606F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1021" w:right="3686" w:hanging="397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תקנה 2(א)(1) ו-(2)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1,000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5,000</w:t>
      </w:r>
    </w:p>
    <w:p w14:paraId="70A7AF12" w14:textId="77777777" w:rsidR="006606FF" w:rsidRPr="0055609F" w:rsidRDefault="006606FF" w:rsidP="006606F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1021" w:right="3686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תקנה 2(א)(3), (ב) ו-(ג)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500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2,500</w:t>
      </w:r>
    </w:p>
    <w:p w14:paraId="6BF44A03" w14:textId="77777777" w:rsidR="006606FF" w:rsidRPr="0055609F" w:rsidRDefault="006606F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0" w:right="3686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(10)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תקנה 2 לתקנות מקורות אנרגיה (הספק חשמלי מרבי במצב המתנה למכשירים חשמליים ביתיים ומשרדיים), התשע"א-2011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1,000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5,000</w:t>
      </w:r>
    </w:p>
    <w:p w14:paraId="15C83454" w14:textId="77777777" w:rsidR="006606FF" w:rsidRPr="0055609F" w:rsidRDefault="006606F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0" w:right="3686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(11)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תקנה 2 לתקנות מקורות אנרגיה (הספק חשמלי מרבי למקלט טלוויזיה), התשע"א-2011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1,000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5,000</w:t>
      </w:r>
    </w:p>
    <w:p w14:paraId="3C8C28E6" w14:textId="77777777" w:rsidR="006606FF" w:rsidRPr="0055609F" w:rsidRDefault="006606FF" w:rsidP="0055609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  <w:tab w:val="center" w:pos="7371"/>
        </w:tabs>
        <w:spacing w:before="0"/>
        <w:ind w:left="0" w:right="3686"/>
        <w:jc w:val="left"/>
        <w:rPr>
          <w:rStyle w:val="default"/>
          <w:rFonts w:cs="FrankRuehl" w:hint="cs"/>
          <w:sz w:val="2"/>
          <w:szCs w:val="2"/>
          <w:u w:val="single"/>
          <w:rtl/>
        </w:rPr>
      </w:pP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(12)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תקנה 2 לתקנות מקורות אנרגיה (יעילות אנרגטית מזערית לנורה חשמלית לתאורת פנים במבנים), התשע"א-2011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1,000</w:t>
      </w:r>
      <w:r w:rsidRPr="005560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5,000</w:t>
      </w:r>
      <w:bookmarkEnd w:id="5"/>
    </w:p>
    <w:p w14:paraId="6809C3BD" w14:textId="77777777" w:rsidR="00040B4A" w:rsidRDefault="00040B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A70EBD" w14:textId="77777777" w:rsidR="000B3DF5" w:rsidRDefault="000B3D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ED43C5" w14:textId="77777777" w:rsidR="000B3DF5" w:rsidRDefault="000B3DF5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י"ב באלול התשס"ד (29 באוגוסט 2004)</w:t>
      </w:r>
    </w:p>
    <w:p w14:paraId="414DD7F9" w14:textId="77777777" w:rsidR="000B3DF5" w:rsidRDefault="000B3DF5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יוסף (טומי) לפיד</w:t>
      </w:r>
    </w:p>
    <w:p w14:paraId="62634B97" w14:textId="77777777" w:rsidR="000B3DF5" w:rsidRDefault="000B3DF5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המשפטים</w:t>
      </w:r>
    </w:p>
    <w:p w14:paraId="1657BB6C" w14:textId="77777777" w:rsidR="000B3DF5" w:rsidRDefault="000B3DF5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</w:p>
    <w:sectPr w:rsidR="000B3DF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73449" w14:textId="77777777" w:rsidR="00A009CC" w:rsidRDefault="00A009CC">
      <w:r>
        <w:separator/>
      </w:r>
    </w:p>
  </w:endnote>
  <w:endnote w:type="continuationSeparator" w:id="0">
    <w:p w14:paraId="2F49D679" w14:textId="77777777" w:rsidR="00A009CC" w:rsidRDefault="00A00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FC13" w14:textId="77777777" w:rsidR="000B3DF5" w:rsidRDefault="000B3DF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34B2CAF" w14:textId="77777777" w:rsidR="000B3DF5" w:rsidRDefault="000B3DF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5FE0FDE" w14:textId="77777777" w:rsidR="000B3DF5" w:rsidRDefault="000B3DF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57ED">
      <w:rPr>
        <w:rFonts w:cs="TopType Jerushalmi"/>
        <w:noProof/>
        <w:color w:val="000000"/>
        <w:sz w:val="14"/>
        <w:szCs w:val="14"/>
      </w:rPr>
      <w:t>D:\Yael\hakika\Revadim</w:t>
    </w:r>
    <w:r w:rsidR="00D257ED">
      <w:rPr>
        <w:rFonts w:cs="TopType Jerushalmi"/>
        <w:noProof/>
        <w:color w:val="000000"/>
        <w:sz w:val="14"/>
        <w:szCs w:val="14"/>
        <w:rtl/>
      </w:rPr>
      <w:t>\קישורים\999_342.</w:t>
    </w:r>
    <w:r w:rsidR="00D257E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C6472" w14:textId="77777777" w:rsidR="000B3DF5" w:rsidRDefault="000B3DF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5609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05639F7" w14:textId="77777777" w:rsidR="000B3DF5" w:rsidRDefault="000B3DF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6FA7652" w14:textId="77777777" w:rsidR="000B3DF5" w:rsidRDefault="000B3DF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57ED">
      <w:rPr>
        <w:rFonts w:cs="TopType Jerushalmi"/>
        <w:noProof/>
        <w:color w:val="000000"/>
        <w:sz w:val="14"/>
        <w:szCs w:val="14"/>
      </w:rPr>
      <w:t>D:\Yael\hakika\Revadim</w:t>
    </w:r>
    <w:r w:rsidR="00D257ED">
      <w:rPr>
        <w:rFonts w:cs="TopType Jerushalmi"/>
        <w:noProof/>
        <w:color w:val="000000"/>
        <w:sz w:val="14"/>
        <w:szCs w:val="14"/>
        <w:rtl/>
      </w:rPr>
      <w:t>\קישורים\999_342.</w:t>
    </w:r>
    <w:r w:rsidR="00D257E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AF1E0" w14:textId="77777777" w:rsidR="00A009CC" w:rsidRDefault="00A009CC" w:rsidP="00D257ED">
      <w:pPr>
        <w:spacing w:before="60"/>
        <w:ind w:right="1134"/>
      </w:pPr>
      <w:r>
        <w:separator/>
      </w:r>
    </w:p>
  </w:footnote>
  <w:footnote w:type="continuationSeparator" w:id="0">
    <w:p w14:paraId="58E5F5D2" w14:textId="77777777" w:rsidR="00A009CC" w:rsidRDefault="00A009CC">
      <w:r>
        <w:continuationSeparator/>
      </w:r>
    </w:p>
  </w:footnote>
  <w:footnote w:id="1">
    <w:p w14:paraId="368AEBE2" w14:textId="77777777" w:rsidR="000B3DF5" w:rsidRDefault="000B3D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51120C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>
          <w:rPr>
            <w:rStyle w:val="Hyperlink"/>
            <w:rFonts w:cs="FrankRuehl" w:hint="cs"/>
            <w:rtl/>
          </w:rPr>
          <w:t>ק"ת תשס"ה מס' 6340</w:t>
        </w:r>
      </w:hyperlink>
      <w:r>
        <w:rPr>
          <w:rFonts w:cs="FrankRuehl" w:hint="cs"/>
          <w:rtl/>
        </w:rPr>
        <w:t xml:space="preserve"> מיום 19.9.2004 עמ' 2.</w:t>
      </w:r>
    </w:p>
    <w:p w14:paraId="0A88012D" w14:textId="77777777" w:rsidR="00040B4A" w:rsidRDefault="00040B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תוקנו ק"ת תשע"ב מס' 7093 מיום 23.2.2012 עמ' 800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תשע"ב-2012.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3126" w14:textId="77777777" w:rsidR="000B3DF5" w:rsidRDefault="000B3DF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21D7198" w14:textId="77777777" w:rsidR="000B3DF5" w:rsidRDefault="000B3D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9BB88B" w14:textId="77777777" w:rsidR="000B3DF5" w:rsidRDefault="000B3D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327F" w14:textId="77777777" w:rsidR="000B3DF5" w:rsidRDefault="000B3DF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מקורות אנרגיה), תשס"ה-2004</w:t>
    </w:r>
  </w:p>
  <w:p w14:paraId="6751F605" w14:textId="77777777" w:rsidR="000B3DF5" w:rsidRDefault="000B3D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580D62" w14:textId="77777777" w:rsidR="000B3DF5" w:rsidRDefault="000B3D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8342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54F0"/>
    <w:rsid w:val="00040B4A"/>
    <w:rsid w:val="000B3DF5"/>
    <w:rsid w:val="00153F7A"/>
    <w:rsid w:val="002B1E03"/>
    <w:rsid w:val="0051120C"/>
    <w:rsid w:val="0055609F"/>
    <w:rsid w:val="006606FF"/>
    <w:rsid w:val="007C3E77"/>
    <w:rsid w:val="00A009CC"/>
    <w:rsid w:val="00A52C1D"/>
    <w:rsid w:val="00AB439B"/>
    <w:rsid w:val="00B50889"/>
    <w:rsid w:val="00B554F0"/>
    <w:rsid w:val="00D2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E51D068"/>
  <w15:chartTrackingRefBased/>
  <w15:docId w15:val="{3F4BC5E5-9497-4690-9F56-73235C41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709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4751</CharactersWithSpaces>
  <SharedDoc>false</SharedDoc>
  <HLinks>
    <vt:vector size="42" baseType="variant">
      <vt:variant>
        <vt:i4>7798795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http://www.nevo.co.il/Law_word/law06/tak-7093.pdf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העבירות המינהליות (קנס מינהלי - מקורות אנרגיה), תשס"ה-2004</vt:lpwstr>
  </property>
  <property fmtid="{D5CDD505-2E9C-101B-9397-08002B2CF9AE}" pid="4" name="LAWNUMBER">
    <vt:lpwstr>0342</vt:lpwstr>
  </property>
  <property fmtid="{D5CDD505-2E9C-101B-9397-08002B2CF9AE}" pid="5" name="TYPE">
    <vt:lpwstr>01</vt:lpwstr>
  </property>
  <property fmtid="{D5CDD505-2E9C-101B-9397-08002B2CF9AE}" pid="6" name="CHNAME">
    <vt:lpwstr>משפט מינהלי</vt:lpwstr>
  </property>
  <property fmtid="{D5CDD505-2E9C-101B-9397-08002B2CF9AE}" pid="7" name="LINKK1">
    <vt:lpwstr>http://www.nevo.co.il/Law_word/law06/tak-6340.pdf;רשומות – תקנות כלליות#פורסמו ק"ת תשס"ה מס' 6340#מיום 19.9.2004#עמ' 2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NOSE11">
    <vt:lpwstr>רשויות ומשפט מנהלי</vt:lpwstr>
  </property>
  <property fmtid="{D5CDD505-2E9C-101B-9397-08002B2CF9AE}" pid="18" name="NOSE21">
    <vt:lpwstr>תשתיות</vt:lpwstr>
  </property>
  <property fmtid="{D5CDD505-2E9C-101B-9397-08002B2CF9AE}" pid="19" name="NOSE31">
    <vt:lpwstr>אנרגיה</vt:lpwstr>
  </property>
  <property fmtid="{D5CDD505-2E9C-101B-9397-08002B2CF9AE}" pid="20" name="NOSE41">
    <vt:lpwstr>מקורות אנרגיה</vt:lpwstr>
  </property>
  <property fmtid="{D5CDD505-2E9C-101B-9397-08002B2CF9AE}" pid="21" name="NOSE12">
    <vt:lpwstr>עונשין ומשפט פלילי</vt:lpwstr>
  </property>
  <property fmtid="{D5CDD505-2E9C-101B-9397-08002B2CF9AE}" pid="22" name="NOSE22">
    <vt:lpwstr>עבירות</vt:lpwstr>
  </property>
  <property fmtid="{D5CDD505-2E9C-101B-9397-08002B2CF9AE}" pid="23" name="NOSE32">
    <vt:lpwstr>עבירות מינהליות</vt:lpwstr>
  </property>
  <property fmtid="{D5CDD505-2E9C-101B-9397-08002B2CF9AE}" pid="24" name="NOSE42">
    <vt:lpwstr>קנס מינהלי</vt:lpwstr>
  </property>
  <property fmtid="{D5CDD505-2E9C-101B-9397-08002B2CF9AE}" pid="25" name="NOSE13">
    <vt:lpwstr>בתי משפט וסדרי דין</vt:lpwstr>
  </property>
  <property fmtid="{D5CDD505-2E9C-101B-9397-08002B2CF9AE}" pid="26" name="NOSE23">
    <vt:lpwstr>סדר דין פלילי</vt:lpwstr>
  </property>
  <property fmtid="{D5CDD505-2E9C-101B-9397-08002B2CF9AE}" pid="27" name="NOSE33">
    <vt:lpwstr>עבירות מינהליות</vt:lpwstr>
  </property>
  <property fmtid="{D5CDD505-2E9C-101B-9397-08002B2CF9AE}" pid="28" name="NOSE43">
    <vt:lpwstr>קנס מינהלי</vt:lpwstr>
  </property>
  <property fmtid="{D5CDD505-2E9C-101B-9397-08002B2CF9AE}" pid="29" name="NOSE14">
    <vt:lpwstr>רשויות ומשפט מנהלי</vt:lpwstr>
  </property>
  <property fmtid="{D5CDD505-2E9C-101B-9397-08002B2CF9AE}" pid="30" name="NOSE24">
    <vt:lpwstr>עבירות מינהליות</vt:lpwstr>
  </property>
  <property fmtid="{D5CDD505-2E9C-101B-9397-08002B2CF9AE}" pid="31" name="NOSE34">
    <vt:lpwstr>קנס מינהלי</vt:lpwstr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  <property fmtid="{D5CDD505-2E9C-101B-9397-08002B2CF9AE}" pid="57" name="MEKOR_NAME1">
    <vt:lpwstr>חוק העבירות המינהליות</vt:lpwstr>
  </property>
  <property fmtid="{D5CDD505-2E9C-101B-9397-08002B2CF9AE}" pid="58" name="MEKOR_SAIF1">
    <vt:lpwstr>1X;2X</vt:lpwstr>
  </property>
</Properties>
</file>