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CE2F" w14:textId="77777777" w:rsidR="002F62B6" w:rsidRDefault="002B3A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עמותות), תשס"ד-2004</w:t>
      </w:r>
    </w:p>
    <w:p w14:paraId="3EF6CAB9" w14:textId="77777777" w:rsidR="002B3A76" w:rsidRPr="002B3A76" w:rsidRDefault="002B3A76" w:rsidP="002B3A76">
      <w:pPr>
        <w:spacing w:line="320" w:lineRule="auto"/>
        <w:rPr>
          <w:rFonts w:cs="FrankRuehl"/>
          <w:szCs w:val="26"/>
          <w:rtl/>
        </w:rPr>
      </w:pPr>
    </w:p>
    <w:p w14:paraId="1CCBF965" w14:textId="77777777" w:rsidR="002B3A76" w:rsidRDefault="002B3A76" w:rsidP="002B3A76">
      <w:pPr>
        <w:spacing w:line="320" w:lineRule="auto"/>
        <w:rPr>
          <w:rFonts w:cs="Miriam"/>
          <w:szCs w:val="22"/>
          <w:rtl/>
        </w:rPr>
      </w:pPr>
      <w:r w:rsidRPr="002B3A76">
        <w:rPr>
          <w:rFonts w:cs="Miriam"/>
          <w:szCs w:val="22"/>
          <w:rtl/>
        </w:rPr>
        <w:t>משפט פרטי וכלכלה</w:t>
      </w:r>
      <w:r w:rsidRPr="002B3A76">
        <w:rPr>
          <w:rFonts w:cs="FrankRuehl"/>
          <w:szCs w:val="26"/>
          <w:rtl/>
        </w:rPr>
        <w:t xml:space="preserve"> – תאגידים וניירות ערך – עמותות</w:t>
      </w:r>
    </w:p>
    <w:p w14:paraId="582B5787" w14:textId="77777777" w:rsidR="002B3A76" w:rsidRDefault="002B3A76" w:rsidP="002B3A76">
      <w:pPr>
        <w:spacing w:line="320" w:lineRule="auto"/>
        <w:rPr>
          <w:rFonts w:cs="Miriam"/>
          <w:szCs w:val="22"/>
          <w:rtl/>
        </w:rPr>
      </w:pPr>
      <w:r w:rsidRPr="002B3A76">
        <w:rPr>
          <w:rFonts w:cs="Miriam"/>
          <w:szCs w:val="22"/>
          <w:rtl/>
        </w:rPr>
        <w:t>עונשין ומשפט פלילי</w:t>
      </w:r>
      <w:r w:rsidRPr="002B3A76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1C9CCF5" w14:textId="77777777" w:rsidR="002B3A76" w:rsidRDefault="002B3A76" w:rsidP="002B3A76">
      <w:pPr>
        <w:spacing w:line="320" w:lineRule="auto"/>
        <w:rPr>
          <w:rFonts w:cs="Miriam"/>
          <w:szCs w:val="22"/>
          <w:rtl/>
        </w:rPr>
      </w:pPr>
      <w:r w:rsidRPr="002B3A76">
        <w:rPr>
          <w:rFonts w:cs="Miriam"/>
          <w:szCs w:val="22"/>
          <w:rtl/>
        </w:rPr>
        <w:t>בתי משפט וסדרי דין</w:t>
      </w:r>
      <w:r w:rsidRPr="002B3A76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05C89099" w14:textId="77777777" w:rsidR="002B3A76" w:rsidRPr="002B3A76" w:rsidRDefault="002B3A76" w:rsidP="002B3A76">
      <w:pPr>
        <w:spacing w:line="320" w:lineRule="auto"/>
        <w:rPr>
          <w:rFonts w:cs="Miriam" w:hint="cs"/>
          <w:szCs w:val="22"/>
          <w:rtl/>
        </w:rPr>
      </w:pPr>
      <w:r w:rsidRPr="002B3A76">
        <w:rPr>
          <w:rFonts w:cs="Miriam"/>
          <w:szCs w:val="22"/>
          <w:rtl/>
        </w:rPr>
        <w:t>רשויות ומשפט מנהלי</w:t>
      </w:r>
      <w:r w:rsidRPr="002B3A76">
        <w:rPr>
          <w:rFonts w:cs="FrankRuehl"/>
          <w:szCs w:val="26"/>
          <w:rtl/>
        </w:rPr>
        <w:t xml:space="preserve"> – עבירות מינהליות – קנס מינהלי</w:t>
      </w:r>
    </w:p>
    <w:p w14:paraId="7A5FFCE5" w14:textId="77777777" w:rsidR="002B3A76" w:rsidRDefault="002B3A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F62B6" w14:paraId="738A2E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75C9B0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4C73F60" w14:textId="77777777" w:rsidR="002F62B6" w:rsidRDefault="002F62B6">
            <w:pPr>
              <w:rPr>
                <w:rFonts w:hint="cs"/>
              </w:rPr>
            </w:pPr>
            <w:hyperlink w:anchor="Seif0" w:tooltip="עבירות מינה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D728EF" w14:textId="77777777" w:rsidR="002F62B6" w:rsidRDefault="002F62B6">
            <w:pPr>
              <w:rPr>
                <w:rtl/>
              </w:rPr>
            </w:pPr>
            <w:r>
              <w:rPr>
                <w:rtl/>
              </w:rPr>
              <w:t>עבירות מינהליות</w:t>
            </w:r>
          </w:p>
        </w:tc>
        <w:tc>
          <w:tcPr>
            <w:tcW w:w="1247" w:type="dxa"/>
          </w:tcPr>
          <w:p w14:paraId="4B4A1165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2F62B6" w14:paraId="24DD26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342EE6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7F7EEF8" w14:textId="77777777" w:rsidR="002F62B6" w:rsidRDefault="002F62B6">
            <w:pPr>
              <w:rPr>
                <w:rFonts w:hint="cs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976987" w14:textId="77777777" w:rsidR="002F62B6" w:rsidRDefault="002F62B6">
            <w:pPr>
              <w:rPr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04B813D3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2F62B6" w14:paraId="3E1500D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19B8DD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CD5C603" w14:textId="77777777" w:rsidR="002F62B6" w:rsidRDefault="002F62B6">
            <w:pPr>
              <w:rPr>
                <w:rFonts w:hint="cs"/>
              </w:rPr>
            </w:pPr>
            <w:hyperlink w:anchor="Seif2" w:tooltip="עבירה מינהלית נמשכ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1A1EC1" w14:textId="77777777" w:rsidR="002F62B6" w:rsidRDefault="002F62B6">
            <w:pPr>
              <w:rPr>
                <w:rtl/>
              </w:rPr>
            </w:pPr>
            <w:r>
              <w:rPr>
                <w:rtl/>
              </w:rPr>
              <w:t>עבירה מינהלית נמשכת</w:t>
            </w:r>
          </w:p>
        </w:tc>
        <w:tc>
          <w:tcPr>
            <w:tcW w:w="1247" w:type="dxa"/>
          </w:tcPr>
          <w:p w14:paraId="151ABEC3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2F62B6" w14:paraId="5A4639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CE8602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BF7DA42" w14:textId="77777777" w:rsidR="002F62B6" w:rsidRDefault="002F62B6">
            <w:pPr>
              <w:rPr>
                <w:rFonts w:hint="cs"/>
              </w:rPr>
            </w:pPr>
            <w:hyperlink w:anchor="Seif3" w:tooltip="עבירה מינהלית חוז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7D0684" w14:textId="77777777" w:rsidR="002F62B6" w:rsidRDefault="002F62B6">
            <w:pPr>
              <w:rPr>
                <w:rtl/>
              </w:rPr>
            </w:pPr>
            <w:r>
              <w:rPr>
                <w:rtl/>
              </w:rPr>
              <w:t>עבירה מינהלית חוזרת</w:t>
            </w:r>
          </w:p>
        </w:tc>
        <w:tc>
          <w:tcPr>
            <w:tcW w:w="1247" w:type="dxa"/>
          </w:tcPr>
          <w:p w14:paraId="4D6FEF90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2F62B6" w14:paraId="6FCEC7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1ED3C6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1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0AF226D" w14:textId="77777777" w:rsidR="002F62B6" w:rsidRDefault="002F62B6">
            <w:pPr>
              <w:rPr>
                <w:rFonts w:hint="cs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C8A516" w14:textId="77777777" w:rsidR="002F62B6" w:rsidRDefault="002F62B6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61720FA3" w14:textId="77777777" w:rsidR="002F62B6" w:rsidRDefault="002F62B6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</w:tbl>
    <w:p w14:paraId="6AC7059B" w14:textId="77777777" w:rsidR="002B3A76" w:rsidRDefault="002B3A76">
      <w:pPr>
        <w:pStyle w:val="big-header"/>
        <w:ind w:left="0" w:right="1134"/>
        <w:rPr>
          <w:rFonts w:cs="FrankRuehl"/>
          <w:sz w:val="32"/>
          <w:rtl/>
        </w:rPr>
      </w:pPr>
    </w:p>
    <w:p w14:paraId="702F025E" w14:textId="77777777" w:rsidR="002F62B6" w:rsidRDefault="002B3A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2F62B6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2F62B6">
        <w:rPr>
          <w:rFonts w:cs="FrankRuehl"/>
          <w:sz w:val="32"/>
          <w:rtl/>
        </w:rPr>
        <w:t>–</w:t>
      </w:r>
      <w:r w:rsidR="002F62B6">
        <w:rPr>
          <w:rFonts w:cs="FrankRuehl" w:hint="cs"/>
          <w:sz w:val="32"/>
          <w:rtl/>
        </w:rPr>
        <w:t xml:space="preserve"> עמותות), תשס"ד-2004</w:t>
      </w:r>
      <w:r w:rsidR="002F62B6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7AC21D" w14:textId="77777777" w:rsidR="002F62B6" w:rsidRDefault="002F62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הפנים, ובאישור ועדת החוקה, חוק ומשפט של הכנסת, אני מתקין תקנות אלה:</w:t>
      </w:r>
    </w:p>
    <w:p w14:paraId="3E75B704" w14:textId="77777777" w:rsidR="002F62B6" w:rsidRDefault="002F62B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6BE1498A">
          <v:rect id="_x0000_s1026" style="position:absolute;left:0;text-align:left;margin-left:468pt;margin-top:8.05pt;width:70.55pt;height:10pt;z-index:251655680" filled="f" stroked="f" strokecolor="lime" strokeweight=".25pt">
            <v:textbox style="mso-next-textbox:#_x0000_s1026" inset="1mm,0,1mm,0">
              <w:txbxContent>
                <w:p w14:paraId="3D8CCCCC" w14:textId="77777777" w:rsidR="002F62B6" w:rsidRDefault="002F62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עבירה על סעיף 64א לחוק העמותות, התש"ם-1980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חוק העמותות), היא עבירה מינהלית.</w:t>
      </w:r>
    </w:p>
    <w:p w14:paraId="44FADE2F" w14:textId="77777777" w:rsidR="002F62B6" w:rsidRDefault="002F62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3CCF2373">
          <v:rect id="_x0000_s1152" style="position:absolute;left:0;text-align:left;margin-left:468pt;margin-top:8.05pt;width:70.55pt;height:9.1pt;z-index:251656704" filled="f" stroked="f" strokecolor="lime" strokeweight=".25pt">
            <v:textbox style="mso-next-textbox:#_x0000_s1152" inset="1mm,0,1mm,0">
              <w:txbxContent>
                <w:p w14:paraId="7BCFCB09" w14:textId="77777777" w:rsidR="002F62B6" w:rsidRDefault="002F62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 יהיה קנס מינהלי קצוב </w:t>
      </w:r>
      <w:r>
        <w:rPr>
          <w:rStyle w:val="default"/>
          <w:rFonts w:cs="FrankRuehl"/>
          <w:rtl/>
        </w:rPr>
        <w:t>–</w:t>
      </w:r>
    </w:p>
    <w:p w14:paraId="672A80B9" w14:textId="77777777" w:rsidR="002F62B6" w:rsidRDefault="002F62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לעבירה מינהלית לענין סעיף 64א(1) ו-(3) לחוק העמותות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1,000 שקלים חדשים;</w:t>
      </w:r>
    </w:p>
    <w:p w14:paraId="64991644" w14:textId="77777777" w:rsidR="002F62B6" w:rsidRDefault="002F62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לעבירה מינהלית לענין סעיף 64א(4), (5) ו-(6) לחוק העמותות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1,500 שקלים חדשים;</w:t>
      </w:r>
    </w:p>
    <w:p w14:paraId="5FF81F78" w14:textId="77777777" w:rsidR="002F62B6" w:rsidRDefault="002F62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לעבירה מינהלית לענין סעיף 64א(2) ו-(7) לחוק העמותות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2,000 שקלים חדשים.</w:t>
      </w:r>
    </w:p>
    <w:p w14:paraId="4CDC2698" w14:textId="77777777" w:rsidR="002F62B6" w:rsidRDefault="002F62B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718FD767">
          <v:rect id="_x0000_s1166" style="position:absolute;left:0;text-align:left;margin-left:468pt;margin-top:8.05pt;width:70.55pt;height:13.75pt;z-index:251657728" filled="f" stroked="f" strokecolor="lime" strokeweight=".25pt">
            <v:textbox style="mso-next-textbox:#_x0000_s1166" inset="1mm,0,1mm,0">
              <w:txbxContent>
                <w:p w14:paraId="100B01BB" w14:textId="77777777" w:rsidR="002F62B6" w:rsidRDefault="002F62B6">
                  <w:pPr>
                    <w:pStyle w:val="a7"/>
                    <w:spacing w:line="160" w:lineRule="exact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עבירה מינהלית נמשכת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הקנס המינהלי הקצוב לעבירה מינהלית נמשכת יהיה בשיעור החלק החמישים של הקנס הקבוע בתקנה 2, לפי הענין, לכל יום שבו נמשכת העבירה לאחר המועד שנקבע בהתראה כאמור בסעיף 8(ב1) לחוק.</w:t>
      </w:r>
    </w:p>
    <w:p w14:paraId="34C1738E" w14:textId="77777777" w:rsidR="002F62B6" w:rsidRDefault="002F62B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36478873">
          <v:rect id="_x0000_s1183" style="position:absolute;left:0;text-align:left;margin-left:468pt;margin-top:8.05pt;width:70.55pt;height:15.45pt;z-index:251658752" filled="f" stroked="f" strokecolor="lime" strokeweight=".25pt">
            <v:textbox style="mso-next-textbox:#_x0000_s1183" inset="1mm,0,1mm,0">
              <w:txbxContent>
                <w:p w14:paraId="62362A65" w14:textId="77777777" w:rsidR="002F62B6" w:rsidRDefault="002F62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הקנס המינהלי לעבירה מינהלית חוזרת כמשמעותה בסעיף 2(ג) לחוק יהיה כפול הקנס האמור בתקנה 2, לפי הענין.</w:t>
      </w:r>
    </w:p>
    <w:p w14:paraId="7C7ADC5C" w14:textId="77777777" w:rsidR="002F62B6" w:rsidRDefault="002F62B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714A6B55">
          <v:rect id="_x0000_s1184" style="position:absolute;left:0;text-align:left;margin-left:468pt;margin-top:8.05pt;width:70.55pt;height:10pt;z-index:251659776" filled="f" stroked="f" strokecolor="lime" strokeweight=".25pt">
            <v:textbox style="mso-next-textbox:#_x0000_s1184" inset="1mm,0,1mm,0">
              <w:txbxContent>
                <w:p w14:paraId="4082394D" w14:textId="77777777" w:rsidR="002F62B6" w:rsidRDefault="002F62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תחילתן של תקנות אלה 30 ימים מיום פרסומן.</w:t>
      </w:r>
    </w:p>
    <w:p w14:paraId="1064A418" w14:textId="77777777" w:rsidR="002F62B6" w:rsidRDefault="002F62B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7FF7EB21" w14:textId="77777777" w:rsidR="002F62B6" w:rsidRDefault="002F62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045CF4" w14:textId="77777777" w:rsidR="002F62B6" w:rsidRDefault="002F62B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כ"ד באדר התשס"ד (17 במרס 2004)</w:t>
      </w:r>
    </w:p>
    <w:p w14:paraId="736EE22A" w14:textId="77777777" w:rsidR="002F62B6" w:rsidRDefault="002F62B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יוסף (טומי) לפיד</w:t>
      </w:r>
    </w:p>
    <w:p w14:paraId="7FE76A2D" w14:textId="77777777" w:rsidR="002F62B6" w:rsidRDefault="002F62B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המשפטים</w:t>
      </w:r>
    </w:p>
    <w:sectPr w:rsidR="002F62B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E340" w14:textId="77777777" w:rsidR="00734B47" w:rsidRDefault="00734B47">
      <w:r>
        <w:separator/>
      </w:r>
    </w:p>
  </w:endnote>
  <w:endnote w:type="continuationSeparator" w:id="0">
    <w:p w14:paraId="4B4A522A" w14:textId="77777777" w:rsidR="00734B47" w:rsidRDefault="0073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1B72" w14:textId="77777777" w:rsidR="002F62B6" w:rsidRDefault="002F62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609B2F" w14:textId="77777777" w:rsidR="002F62B6" w:rsidRDefault="002F62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2E51CF" w14:textId="77777777" w:rsidR="002F62B6" w:rsidRDefault="002F62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M:\00000000\law\index\001-100\999_279.doc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DBB6" w14:textId="77777777" w:rsidR="002F62B6" w:rsidRDefault="002F62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382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FEE401" w14:textId="77777777" w:rsidR="002F62B6" w:rsidRDefault="002F62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67DE330" w14:textId="77777777" w:rsidR="002F62B6" w:rsidRDefault="002F62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M:\00000000\law\index\001-100\999_279.doc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87A0" w14:textId="77777777" w:rsidR="00734B47" w:rsidRDefault="00734B47">
      <w:r>
        <w:separator/>
      </w:r>
    </w:p>
  </w:footnote>
  <w:footnote w:type="continuationSeparator" w:id="0">
    <w:p w14:paraId="0B486DF5" w14:textId="77777777" w:rsidR="00734B47" w:rsidRDefault="00734B47">
      <w:r>
        <w:continuationSeparator/>
      </w:r>
    </w:p>
  </w:footnote>
  <w:footnote w:id="1">
    <w:p w14:paraId="0D2C1310" w14:textId="77777777" w:rsidR="002F62B6" w:rsidRDefault="002F62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B76112">
          <w:rPr>
            <w:rStyle w:val="Hyperlink"/>
            <w:rFonts w:cs="FrankRuehl" w:hint="cs"/>
            <w:rtl/>
          </w:rPr>
          <w:t>ק"ת תשס"ד מס' 6300</w:t>
        </w:r>
      </w:hyperlink>
      <w:r>
        <w:rPr>
          <w:rFonts w:cs="FrankRuehl" w:hint="cs"/>
          <w:rtl/>
        </w:rPr>
        <w:t xml:space="preserve"> מיום 30.3.2004 עמ' 337.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80C7" w14:textId="77777777" w:rsidR="002F62B6" w:rsidRDefault="002F62B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BBE4010" w14:textId="77777777" w:rsidR="002F62B6" w:rsidRDefault="002F62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AC83B2" w14:textId="77777777" w:rsidR="002F62B6" w:rsidRDefault="002F62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4809" w14:textId="77777777" w:rsidR="002F62B6" w:rsidRDefault="002F62B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עמותות), תשס"ד-2004</w:t>
    </w:r>
  </w:p>
  <w:p w14:paraId="344D6693" w14:textId="77777777" w:rsidR="002F62B6" w:rsidRDefault="002F62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64EA86" w14:textId="77777777" w:rsidR="002F62B6" w:rsidRDefault="002F62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4162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A76"/>
    <w:rsid w:val="001C72B8"/>
    <w:rsid w:val="002B3A76"/>
    <w:rsid w:val="002F62B6"/>
    <w:rsid w:val="00415A73"/>
    <w:rsid w:val="00632439"/>
    <w:rsid w:val="00734B47"/>
    <w:rsid w:val="00AD0411"/>
    <w:rsid w:val="00B76112"/>
    <w:rsid w:val="00EE1F65"/>
    <w:rsid w:val="00F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4028AB69"/>
  <w15:chartTrackingRefBased/>
  <w15:docId w15:val="{F90B484F-AD7C-44BF-9061-8E2AEAC5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1756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עמותות), תשס"ד-2004</vt:lpwstr>
  </property>
  <property fmtid="{D5CDD505-2E9C-101B-9397-08002B2CF9AE}" pid="4" name="LAWNUMBER">
    <vt:lpwstr>0279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עמותות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