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E9196" w14:textId="77777777" w:rsidR="009C5690" w:rsidRDefault="009C5690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העונשין (דרכי ענישה), תשט"ו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1954</w:t>
      </w:r>
    </w:p>
    <w:p w14:paraId="65B40261" w14:textId="77777777" w:rsidR="008B4F2D" w:rsidRDefault="008B4F2D" w:rsidP="008B4F2D">
      <w:pPr>
        <w:spacing w:line="320" w:lineRule="auto"/>
        <w:jc w:val="left"/>
        <w:rPr>
          <w:rFonts w:hint="cs"/>
          <w:rtl/>
        </w:rPr>
      </w:pPr>
    </w:p>
    <w:p w14:paraId="45CC29BD" w14:textId="77777777" w:rsidR="00251162" w:rsidRDefault="00251162" w:rsidP="008B4F2D">
      <w:pPr>
        <w:spacing w:line="320" w:lineRule="auto"/>
        <w:jc w:val="left"/>
        <w:rPr>
          <w:rFonts w:hint="cs"/>
          <w:rtl/>
        </w:rPr>
      </w:pPr>
    </w:p>
    <w:p w14:paraId="446A2415" w14:textId="77777777" w:rsidR="008B4F2D" w:rsidRPr="008B4F2D" w:rsidRDefault="008B4F2D" w:rsidP="008B4F2D">
      <w:pPr>
        <w:spacing w:line="320" w:lineRule="auto"/>
        <w:jc w:val="left"/>
        <w:rPr>
          <w:rFonts w:cs="Miriam"/>
          <w:szCs w:val="22"/>
          <w:rtl/>
        </w:rPr>
      </w:pPr>
      <w:r w:rsidRPr="008B4F2D">
        <w:rPr>
          <w:rFonts w:cs="Miriam"/>
          <w:szCs w:val="22"/>
          <w:rtl/>
        </w:rPr>
        <w:t>עונשין ומשפט פלילי</w:t>
      </w:r>
      <w:r w:rsidRPr="008B4F2D">
        <w:rPr>
          <w:rFonts w:cs="FrankRuehl"/>
          <w:szCs w:val="26"/>
          <w:rtl/>
        </w:rPr>
        <w:t xml:space="preserve"> – ענישה, מאסר ומעצר</w:t>
      </w:r>
    </w:p>
    <w:p w14:paraId="36F70D1A" w14:textId="77777777" w:rsidR="009C5690" w:rsidRDefault="009C5690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9C5690" w14:paraId="5C00E40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EBE5F42" w14:textId="77777777" w:rsidR="009C5690" w:rsidRDefault="009C569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8594563" w14:textId="77777777" w:rsidR="009C5690" w:rsidRDefault="009C5690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3C7BBB6" w14:textId="77777777" w:rsidR="009C5690" w:rsidRDefault="009C569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2078F94E" w14:textId="77777777" w:rsidR="009C5690" w:rsidRDefault="009C569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9C5690" w14:paraId="42A8A18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939A1D6" w14:textId="77777777" w:rsidR="009C5690" w:rsidRDefault="009C569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30263CA" w14:textId="77777777" w:rsidR="009C5690" w:rsidRDefault="009C5690">
            <w:pPr>
              <w:spacing w:line="240" w:lineRule="auto"/>
              <w:rPr>
                <w:sz w:val="24"/>
              </w:rPr>
            </w:pPr>
            <w:hyperlink w:anchor="Seif1" w:tooltip="הודעה למשט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DBAF614" w14:textId="77777777" w:rsidR="009C5690" w:rsidRDefault="009C569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הודעה למשטרה</w:t>
            </w:r>
          </w:p>
        </w:tc>
        <w:tc>
          <w:tcPr>
            <w:tcW w:w="1247" w:type="dxa"/>
          </w:tcPr>
          <w:p w14:paraId="787F31DB" w14:textId="77777777" w:rsidR="009C5690" w:rsidRDefault="009C569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9C5690" w14:paraId="4A5FCF1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A49CBBA" w14:textId="77777777" w:rsidR="009C5690" w:rsidRDefault="009C569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C1978EF" w14:textId="77777777" w:rsidR="009C5690" w:rsidRDefault="009C5690">
            <w:pPr>
              <w:spacing w:line="240" w:lineRule="auto"/>
              <w:rPr>
                <w:sz w:val="24"/>
              </w:rPr>
            </w:pPr>
            <w:hyperlink w:anchor="Seif2" w:tooltip="טביעת אצבע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84144E9" w14:textId="77777777" w:rsidR="009C5690" w:rsidRDefault="009C569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טביעת אצבעות</w:t>
            </w:r>
          </w:p>
        </w:tc>
        <w:tc>
          <w:tcPr>
            <w:tcW w:w="1247" w:type="dxa"/>
          </w:tcPr>
          <w:p w14:paraId="5AFD818C" w14:textId="77777777" w:rsidR="009C5690" w:rsidRDefault="009C569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9C5690" w14:paraId="15B35F1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897BF01" w14:textId="77777777" w:rsidR="009C5690" w:rsidRDefault="009C569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0875E8E" w14:textId="77777777" w:rsidR="009C5690" w:rsidRDefault="009C5690">
            <w:pPr>
              <w:spacing w:line="240" w:lineRule="auto"/>
              <w:rPr>
                <w:sz w:val="24"/>
              </w:rPr>
            </w:pPr>
            <w:hyperlink w:anchor="Seif3" w:tooltip="פירוש העוונות התלויים בתנא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4435B94" w14:textId="77777777" w:rsidR="009C5690" w:rsidRDefault="009C569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פירוש העוונות התלויים בתנאי</w:t>
            </w:r>
          </w:p>
        </w:tc>
        <w:tc>
          <w:tcPr>
            <w:tcW w:w="1247" w:type="dxa"/>
          </w:tcPr>
          <w:p w14:paraId="571D2F7B" w14:textId="77777777" w:rsidR="009C5690" w:rsidRDefault="009C569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9C5690" w14:paraId="79DEA39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D54EF25" w14:textId="77777777" w:rsidR="009C5690" w:rsidRDefault="009C569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E6731D6" w14:textId="77777777" w:rsidR="009C5690" w:rsidRDefault="009C5690">
            <w:pPr>
              <w:spacing w:line="240" w:lineRule="auto"/>
              <w:rPr>
                <w:sz w:val="24"/>
              </w:rPr>
            </w:pPr>
            <w:hyperlink w:anchor="Seif4" w:tooltip="מאסר נדח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7EFBEF3" w14:textId="77777777" w:rsidR="009C5690" w:rsidRDefault="009C569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מאסר נדחה</w:t>
            </w:r>
          </w:p>
        </w:tc>
        <w:tc>
          <w:tcPr>
            <w:tcW w:w="1247" w:type="dxa"/>
          </w:tcPr>
          <w:p w14:paraId="037D52D0" w14:textId="77777777" w:rsidR="009C5690" w:rsidRDefault="009C569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9C5690" w14:paraId="6FD7712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D35DFBE" w14:textId="77777777" w:rsidR="009C5690" w:rsidRDefault="009C569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6D575C8" w14:textId="77777777" w:rsidR="009C5690" w:rsidRDefault="009C5690">
            <w:pPr>
              <w:spacing w:line="240" w:lineRule="auto"/>
              <w:rPr>
                <w:sz w:val="24"/>
              </w:rPr>
            </w:pPr>
            <w:hyperlink w:anchor="Seif5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61459F1" w14:textId="77777777" w:rsidR="009C5690" w:rsidRDefault="009C569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55CB35AF" w14:textId="77777777" w:rsidR="009C5690" w:rsidRDefault="009C569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</w:tbl>
    <w:p w14:paraId="371E0685" w14:textId="77777777" w:rsidR="009C5690" w:rsidRDefault="009C5690">
      <w:pPr>
        <w:pStyle w:val="big-header"/>
        <w:ind w:left="0" w:right="1134"/>
        <w:rPr>
          <w:rFonts w:cs="FrankRuehl"/>
          <w:sz w:val="32"/>
          <w:rtl/>
        </w:rPr>
      </w:pPr>
    </w:p>
    <w:p w14:paraId="15ECEC45" w14:textId="77777777" w:rsidR="009C5690" w:rsidRDefault="009C5690" w:rsidP="008B4F2D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העונשין (דרכי ענישה), תשט"ו-</w:t>
      </w:r>
      <w:r>
        <w:rPr>
          <w:rFonts w:cs="FrankRuehl"/>
          <w:sz w:val="32"/>
          <w:rtl/>
        </w:rPr>
        <w:t>1954</w:t>
      </w:r>
      <w:r>
        <w:rPr>
          <w:rStyle w:val="default"/>
          <w:rtl/>
        </w:rPr>
        <w:footnoteReference w:customMarkFollows="1" w:id="1"/>
        <w:t>*</w:t>
      </w:r>
    </w:p>
    <w:p w14:paraId="3D30BF46" w14:textId="77777777" w:rsidR="009C5690" w:rsidRDefault="009C569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44 לחוק לתיקון דיני העונשין (דרכי ענישה), תשי"ד-</w:t>
      </w:r>
      <w:r>
        <w:rPr>
          <w:rStyle w:val="default"/>
          <w:rFonts w:cs="FrankRuehl"/>
          <w:rtl/>
        </w:rPr>
        <w:t xml:space="preserve">1954, </w:t>
      </w:r>
      <w:r>
        <w:rPr>
          <w:rStyle w:val="default"/>
          <w:rFonts w:cs="FrankRuehl" w:hint="cs"/>
          <w:rtl/>
        </w:rPr>
        <w:t>ובתוקף שאר הסמכויות הנתונות לי לפי כל דין, אני מתקין תקנות אלה:</w:t>
      </w:r>
    </w:p>
    <w:p w14:paraId="1226C0B7" w14:textId="77777777" w:rsidR="009C5690" w:rsidRDefault="009C569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541EDBD1">
          <v:rect id="_x0000_s1026" style="position:absolute;left:0;text-align:left;margin-left:464.5pt;margin-top:8.05pt;width:75.05pt;height:12.7pt;z-index:251654656" o:allowincell="f" filled="f" stroked="f" strokecolor="lime" strokeweight=".25pt">
            <v:textbox style="mso-next-textbox:#_x0000_s1026" inset="0,0,0,0">
              <w:txbxContent>
                <w:p w14:paraId="387CBF4E" w14:textId="77777777" w:rsidR="009C5690" w:rsidRDefault="009C569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קנות אלה </w:t>
      </w:r>
      <w:r>
        <w:rPr>
          <w:rStyle w:val="default"/>
          <w:rFonts w:cs="FrankRuehl"/>
          <w:rtl/>
        </w:rPr>
        <w:t>–</w:t>
      </w:r>
    </w:p>
    <w:p w14:paraId="73BBEF9D" w14:textId="77777777" w:rsidR="009C5690" w:rsidRDefault="009C569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>משטרה"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ראש הענף הפלילי של מטה </w:t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>שטרה של המחוז בו עמד העבריין לדין בערכאה ראשונה.</w:t>
      </w:r>
    </w:p>
    <w:p w14:paraId="0BE450A6" w14:textId="77777777" w:rsidR="009C5690" w:rsidRDefault="009C569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 w14:anchorId="3EE3C614">
          <v:rect id="_x0000_s1027" style="position:absolute;left:0;text-align:left;margin-left:464.5pt;margin-top:8.05pt;width:75.05pt;height:22.85pt;z-index:251655680" o:allowincell="f" filled="f" stroked="f" strokecolor="lime" strokeweight=".25pt">
            <v:textbox style="mso-next-textbox:#_x0000_s1027" inset="0,0,0,0">
              <w:txbxContent>
                <w:p w14:paraId="08CE0749" w14:textId="77777777" w:rsidR="009C5690" w:rsidRDefault="009C569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דעה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משטרה</w:t>
                  </w:r>
                </w:p>
                <w:p w14:paraId="62FA33CA" w14:textId="77777777" w:rsidR="009C5690" w:rsidRDefault="009C569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תשכ"ה-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1965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הט</w:t>
      </w:r>
      <w:r>
        <w:rPr>
          <w:rStyle w:val="default"/>
          <w:rFonts w:cs="FrankRuehl" w:hint="cs"/>
          <w:rtl/>
        </w:rPr>
        <w:t>יל בית המשפט מאסר על תנאי, ישלח רשם בית המשפט, תוך שבעה ימים, הודעה על גזר הדין למשטרה.</w:t>
      </w:r>
    </w:p>
    <w:p w14:paraId="50F6B876" w14:textId="77777777" w:rsidR="009C5690" w:rsidRDefault="009C5690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2" w:name="Rov9"/>
      <w:r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5.8.1965</w:t>
      </w:r>
    </w:p>
    <w:p w14:paraId="240F5DA3" w14:textId="77777777" w:rsidR="009C5690" w:rsidRDefault="009C5690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תשכ"ח-1965</w:t>
      </w:r>
    </w:p>
    <w:p w14:paraId="7C87F6BA" w14:textId="77777777" w:rsidR="009C5690" w:rsidRDefault="009C5690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hyperlink r:id="rId6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תשכ"ח מס' 1755</w:t>
        </w:r>
      </w:hyperlink>
      <w:r>
        <w:rPr>
          <w:rFonts w:cs="FrankRuehl" w:hint="cs"/>
          <w:vanish/>
          <w:szCs w:val="20"/>
          <w:shd w:val="clear" w:color="auto" w:fill="FFFF99"/>
          <w:rtl/>
        </w:rPr>
        <w:t xml:space="preserve"> מיום 5.8.1965 עמ' 2497</w:t>
      </w:r>
    </w:p>
    <w:p w14:paraId="07112679" w14:textId="77777777" w:rsidR="009C5690" w:rsidRDefault="009C5690">
      <w:pPr>
        <w:pStyle w:val="P00"/>
        <w:ind w:left="0" w:right="1134"/>
        <w:rPr>
          <w:rStyle w:val="default"/>
          <w:rFonts w:cs="FrankRuehl" w:hint="cs"/>
          <w:b/>
          <w:bCs/>
          <w:sz w:val="2"/>
          <w:szCs w:val="2"/>
          <w:rtl/>
        </w:rPr>
      </w:pP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הט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יל בית המשפט מאסר על תנאי, ישלח רשם בית המשפט, תוך שבעה ימים, הודעה על גזר הדין 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לפרקליט המדינה ולמשטרה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למשטרה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2"/>
    </w:p>
    <w:p w14:paraId="37FDAED3" w14:textId="77777777" w:rsidR="009C5690" w:rsidRDefault="009C569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2"/>
      <w:bookmarkEnd w:id="3"/>
      <w:r>
        <w:rPr>
          <w:lang w:val="he-IL"/>
        </w:rPr>
        <w:pict w14:anchorId="4332CF59">
          <v:rect id="_x0000_s1028" style="position:absolute;left:0;text-align:left;margin-left:464.5pt;margin-top:8.05pt;width:75.05pt;height:16pt;z-index:251656704" o:allowincell="f" filled="f" stroked="f" strokecolor="lime" strokeweight=".25pt">
            <v:textbox style="mso-next-textbox:#_x0000_s1028" inset="0,0,0,0">
              <w:txbxContent>
                <w:p w14:paraId="5DD12F17" w14:textId="77777777" w:rsidR="009C5690" w:rsidRDefault="009C569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טב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יעת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אצ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בעות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מי</w:t>
      </w:r>
      <w:r>
        <w:rPr>
          <w:rStyle w:val="default"/>
          <w:rFonts w:cs="FrankRuehl" w:hint="cs"/>
          <w:rtl/>
        </w:rPr>
        <w:t xml:space="preserve"> שהוטל עליו מאסר על תנאי חייב לתת את טביעת אצבעותיו משנדרש לכך על ידי המשטרה.</w:t>
      </w:r>
    </w:p>
    <w:p w14:paraId="1A289757" w14:textId="77777777" w:rsidR="009C5690" w:rsidRDefault="009C569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3"/>
      <w:bookmarkEnd w:id="4"/>
      <w:r>
        <w:rPr>
          <w:lang w:val="he-IL"/>
        </w:rPr>
        <w:pict w14:anchorId="0F495A42">
          <v:rect id="_x0000_s1029" style="position:absolute;left:0;text-align:left;margin-left:464.5pt;margin-top:8.05pt;width:75.05pt;height:19.6pt;z-index:251657728" o:allowincell="f" filled="f" stroked="f" strokecolor="lime" strokeweight=".25pt">
            <v:textbox style="mso-next-textbox:#_x0000_s1029" inset="0,0,0,0">
              <w:txbxContent>
                <w:p w14:paraId="07131D80" w14:textId="77777777" w:rsidR="009C5690" w:rsidRDefault="009C569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רוש העוונות התלויים בתנאי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פי</w:t>
      </w:r>
      <w:r>
        <w:rPr>
          <w:rStyle w:val="default"/>
          <w:rFonts w:cs="FrankRuehl" w:hint="cs"/>
          <w:rtl/>
        </w:rPr>
        <w:t>רוש העוונות בגזר דין,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נדרש בסעיף 18(ב) לחוק, ייעשה על ידי נקיבת הפרקים או מספרי הסעיפים של פקודת החוק הפלילי, 1936, ואם נקבעה העבירה בחוק אחר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על ידי נקיבת שם החוק.</w:t>
      </w:r>
    </w:p>
    <w:p w14:paraId="2242B169" w14:textId="77777777" w:rsidR="009C5690" w:rsidRDefault="009C5690" w:rsidP="009B706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4"/>
      <w:bookmarkEnd w:id="5"/>
      <w:r>
        <w:rPr>
          <w:lang w:val="he-IL"/>
        </w:rPr>
        <w:pict w14:anchorId="0C18500D">
          <v:rect id="_x0000_s1030" style="position:absolute;left:0;text-align:left;margin-left:464.5pt;margin-top:8.05pt;width:75.05pt;height:21.5pt;z-index:251658752" o:allowincell="f" filled="f" stroked="f" strokecolor="lime" strokeweight=".25pt">
            <v:textbox style="mso-next-textbox:#_x0000_s1030" inset="0,0,0,0">
              <w:txbxContent>
                <w:p w14:paraId="001BD90A" w14:textId="77777777" w:rsidR="009C5690" w:rsidRDefault="009C569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מא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סר נדחה</w:t>
                  </w:r>
                </w:p>
                <w:p w14:paraId="4761F467" w14:textId="77777777" w:rsidR="009B7063" w:rsidRDefault="009B706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תק' תשע"ג-2013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טיל בית המשפט עונש מאסר וקבע שהעונש יתחיל בתאריך שלאחר יום גזר הדין, יצ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ין בגזר הדין את </w:t>
      </w:r>
      <w:r w:rsidR="009B7063" w:rsidRPr="009B7063">
        <w:rPr>
          <w:rStyle w:val="default"/>
          <w:rFonts w:cs="FrankRuehl" w:hint="cs"/>
          <w:rtl/>
        </w:rPr>
        <w:t>מיתקן הכליאה של שירות בתי הסוהר, שעל הנידון להתייצב בו לריצוי העונש; הנידון יתייצב במיתקן הכליאה שצוין בגזר הדין או במיתקן כליאה אחר שיורה עליו שירות בתי הסוהר</w:t>
      </w:r>
      <w:r>
        <w:rPr>
          <w:rStyle w:val="default"/>
          <w:rFonts w:cs="FrankRuehl" w:hint="cs"/>
          <w:rtl/>
        </w:rPr>
        <w:t>.</w:t>
      </w:r>
    </w:p>
    <w:p w14:paraId="739CC396" w14:textId="77777777" w:rsidR="009C5690" w:rsidRDefault="009B7063" w:rsidP="009B706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  <w:lang w:eastAsia="en-US"/>
        </w:rPr>
        <w:pict w14:anchorId="1BC3AD6F"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470.25pt;margin-top:7.1pt;width:1in;height:13.95pt;z-index:251660800" filled="f" stroked="f">
            <v:textbox inset="1mm,0,1mm,0">
              <w:txbxContent>
                <w:p w14:paraId="6FB25A84" w14:textId="77777777" w:rsidR="009B7063" w:rsidRDefault="009B7063" w:rsidP="009B706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תק' תשע"ג-2013</w:t>
                  </w:r>
                </w:p>
              </w:txbxContent>
            </v:textbox>
          </v:shape>
        </w:pict>
      </w:r>
      <w:r w:rsidR="009C5690">
        <w:rPr>
          <w:rFonts w:cs="FrankRuehl"/>
          <w:sz w:val="26"/>
          <w:rtl/>
        </w:rPr>
        <w:tab/>
      </w:r>
      <w:r w:rsidR="009C5690">
        <w:rPr>
          <w:rStyle w:val="default"/>
          <w:rFonts w:cs="FrankRuehl"/>
          <w:rtl/>
        </w:rPr>
        <w:t>(ב</w:t>
      </w:r>
      <w:r w:rsidR="009C5690">
        <w:rPr>
          <w:rStyle w:val="default"/>
          <w:rFonts w:cs="FrankRuehl" w:hint="cs"/>
          <w:rtl/>
        </w:rPr>
        <w:t>)</w:t>
      </w:r>
      <w:r w:rsidR="009C5690">
        <w:rPr>
          <w:rStyle w:val="default"/>
          <w:rFonts w:cs="FrankRuehl"/>
          <w:rtl/>
        </w:rPr>
        <w:tab/>
        <w:t>ק</w:t>
      </w:r>
      <w:r w:rsidR="009C5690">
        <w:rPr>
          <w:rStyle w:val="default"/>
          <w:rFonts w:cs="FrankRuehl" w:hint="cs"/>
          <w:rtl/>
        </w:rPr>
        <w:t xml:space="preserve">בע בית המשפט את יום התחלת העונש כאמור, ישלח מיד רשם בית המשפט, או מזכירו הראשי, העתק מאושר של גזר הדין </w:t>
      </w:r>
      <w:r>
        <w:rPr>
          <w:rStyle w:val="default"/>
          <w:rFonts w:cs="FrankRuehl" w:hint="cs"/>
          <w:rtl/>
        </w:rPr>
        <w:t>לשירות בתי הסוהר</w:t>
      </w:r>
      <w:r w:rsidR="009C5690">
        <w:rPr>
          <w:rStyle w:val="default"/>
          <w:rFonts w:cs="FrankRuehl" w:hint="cs"/>
          <w:rtl/>
        </w:rPr>
        <w:t>.</w:t>
      </w:r>
    </w:p>
    <w:p w14:paraId="60084568" w14:textId="77777777" w:rsidR="009B7063" w:rsidRPr="00D64328" w:rsidRDefault="009B7063" w:rsidP="009B7063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6" w:name="Rov10"/>
      <w:r w:rsidRPr="00D64328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7.2.2013</w:t>
      </w:r>
    </w:p>
    <w:p w14:paraId="385B809F" w14:textId="77777777" w:rsidR="009B7063" w:rsidRPr="00D64328" w:rsidRDefault="009B7063" w:rsidP="009B706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D64328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תשע"ג-2013</w:t>
      </w:r>
    </w:p>
    <w:p w14:paraId="2962256F" w14:textId="77777777" w:rsidR="009B7063" w:rsidRPr="00D64328" w:rsidRDefault="009B7063" w:rsidP="009B706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7" w:history="1">
        <w:r w:rsidRPr="00D6432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תשע"ג מס' 7208</w:t>
        </w:r>
      </w:hyperlink>
      <w:r w:rsidRPr="00D6432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8.1.2013 עמ' 568</w:t>
      </w:r>
    </w:p>
    <w:p w14:paraId="3542ECB7" w14:textId="77777777" w:rsidR="009B7063" w:rsidRPr="00D64328" w:rsidRDefault="009B7063" w:rsidP="009B7063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D643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5.</w:t>
      </w:r>
      <w:r w:rsidRPr="00D643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D643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D643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ה</w:t>
      </w:r>
      <w:r w:rsidRPr="00D643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טיל בית המשפט עונש מאסר וקבע שהעונש יתחיל בתאריך שלאחר יום גזר הדין, יצ</w:t>
      </w:r>
      <w:r w:rsidRPr="00D643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D643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ין בגזר הדין את </w:t>
      </w:r>
      <w:r w:rsidRPr="00D6432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תחנת המשטרה ב</w:t>
      </w:r>
      <w:r w:rsidRPr="00D64328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ה </w:t>
      </w:r>
      <w:r w:rsidRPr="00D6432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על הנידון להתייצב לריצוי העונש</w:t>
      </w:r>
      <w:r w:rsidRPr="00D643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6432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מיתקן הכליאה של שירות בתי הסוהר, שעל הנידון להתייצב בו לריצוי העונש; הנידון יתייצב במיתקן הכליאה שצוין בגזר הדין או במיתקן כליאה אחר שיורה עליו שירות בתי הסוהר</w:t>
      </w:r>
      <w:r w:rsidRPr="00D643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637FF6B4" w14:textId="77777777" w:rsidR="009B7063" w:rsidRPr="00D64328" w:rsidRDefault="009B7063" w:rsidP="00D64328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D64328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43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</w:t>
      </w:r>
      <w:r w:rsidRPr="00D643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D643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ק</w:t>
      </w:r>
      <w:r w:rsidRPr="00D643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 בית המשפט את יום התחלת העונש כאמור, ישלח מיד רשם בית המשפט, או מזכירו הראשי, העתק מאושר של גזר הדין </w:t>
      </w:r>
      <w:r w:rsidRPr="00D6432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למשטרה</w:t>
      </w:r>
      <w:r w:rsidRPr="00D643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6432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לשירות בתי הסוהר</w:t>
      </w:r>
      <w:r w:rsidRPr="00D643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6"/>
    </w:p>
    <w:p w14:paraId="3F284982" w14:textId="77777777" w:rsidR="009C5690" w:rsidRDefault="009C569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5"/>
      <w:bookmarkEnd w:id="7"/>
      <w:r>
        <w:rPr>
          <w:lang w:val="he-IL"/>
        </w:rPr>
        <w:pict w14:anchorId="3CE14355">
          <v:rect id="_x0000_s1031" style="position:absolute;left:0;text-align:left;margin-left:464.5pt;margin-top:8.05pt;width:75.05pt;height:10.05pt;z-index:251659776" o:allowincell="f" filled="f" stroked="f" strokecolor="lime" strokeweight=".25pt">
            <v:textbox style="mso-next-textbox:#_x0000_s1031" inset="0,0,0,0">
              <w:txbxContent>
                <w:p w14:paraId="1056DC01" w14:textId="77777777" w:rsidR="009C5690" w:rsidRDefault="009C569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העונשין (דרכי ענישה), תשט"ו-</w:t>
      </w:r>
      <w:r>
        <w:rPr>
          <w:rStyle w:val="default"/>
          <w:rFonts w:cs="FrankRuehl"/>
          <w:rtl/>
        </w:rPr>
        <w:t>1954".</w:t>
      </w:r>
    </w:p>
    <w:p w14:paraId="0798CC35" w14:textId="77777777" w:rsidR="009C5690" w:rsidRDefault="009C569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BDEC7C7" w14:textId="77777777" w:rsidR="009C5690" w:rsidRDefault="009C569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CA2CB72" w14:textId="77777777" w:rsidR="009C5690" w:rsidRDefault="009C5690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י"</w:t>
      </w:r>
      <w:r>
        <w:rPr>
          <w:rFonts w:cs="FrankRuehl" w:hint="cs"/>
          <w:sz w:val="26"/>
          <w:rtl/>
        </w:rPr>
        <w:t>ג בחשון תשט"ו (9 בנובמבר 1954)</w:t>
      </w:r>
      <w:r>
        <w:rPr>
          <w:rFonts w:cs="FrankRuehl"/>
          <w:sz w:val="26"/>
          <w:rtl/>
        </w:rPr>
        <w:tab/>
        <w:t>פ</w:t>
      </w:r>
      <w:r>
        <w:rPr>
          <w:rFonts w:cs="FrankRuehl" w:hint="cs"/>
          <w:sz w:val="26"/>
          <w:rtl/>
        </w:rPr>
        <w:t>נחס רו</w:t>
      </w:r>
      <w:r>
        <w:rPr>
          <w:rFonts w:cs="FrankRuehl"/>
          <w:sz w:val="26"/>
          <w:rtl/>
        </w:rPr>
        <w:t>זן</w:t>
      </w:r>
    </w:p>
    <w:p w14:paraId="0C63D06D" w14:textId="77777777" w:rsidR="009C5690" w:rsidRDefault="009C5690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המשפטים</w:t>
      </w:r>
    </w:p>
    <w:p w14:paraId="6C3F8A63" w14:textId="77777777" w:rsidR="009C5690" w:rsidRDefault="009C569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CACD8EC" w14:textId="77777777" w:rsidR="009C5690" w:rsidRDefault="009C569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E0AB15F" w14:textId="77777777" w:rsidR="009C5690" w:rsidRDefault="009C569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LawPartEnd"/>
    </w:p>
    <w:bookmarkEnd w:id="8"/>
    <w:p w14:paraId="2B4368F9" w14:textId="77777777" w:rsidR="009C5690" w:rsidRDefault="009C569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5690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C7127" w14:textId="77777777" w:rsidR="006E0429" w:rsidRDefault="006E0429">
      <w:r>
        <w:separator/>
      </w:r>
    </w:p>
  </w:endnote>
  <w:endnote w:type="continuationSeparator" w:id="0">
    <w:p w14:paraId="68215C3A" w14:textId="77777777" w:rsidR="006E0429" w:rsidRDefault="006E0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B1580" w14:textId="77777777" w:rsidR="009C5690" w:rsidRDefault="009C569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DA47424" w14:textId="77777777" w:rsidR="009C5690" w:rsidRDefault="009C569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9085C19" w14:textId="77777777" w:rsidR="009C5690" w:rsidRDefault="009C569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C:\Yael\hakika\Revadim\073_023.doc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F1256" w14:textId="77777777" w:rsidR="009C5690" w:rsidRDefault="009C569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F1F66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02F3FBD" w14:textId="77777777" w:rsidR="009C5690" w:rsidRDefault="009C569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FAD1A7A" w14:textId="77777777" w:rsidR="009C5690" w:rsidRDefault="009C569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C:\Yael\hakika\Revadim\073_023.doc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0DCB6" w14:textId="77777777" w:rsidR="006E0429" w:rsidRDefault="006E0429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9C8252A" w14:textId="77777777" w:rsidR="006E0429" w:rsidRDefault="006E0429">
      <w:r>
        <w:continuationSeparator/>
      </w:r>
    </w:p>
  </w:footnote>
  <w:footnote w:id="1">
    <w:p w14:paraId="7B3339EF" w14:textId="77777777" w:rsidR="009C5690" w:rsidRDefault="009C569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>
          <w:rPr>
            <w:rStyle w:val="Hyperlink"/>
            <w:rFonts w:cs="FrankRuehl" w:hint="cs"/>
            <w:rtl/>
          </w:rPr>
          <w:t>ק"ת תשט"ו מס' 485</w:t>
        </w:r>
      </w:hyperlink>
      <w:r>
        <w:rPr>
          <w:rFonts w:cs="FrankRuehl" w:hint="cs"/>
          <w:rtl/>
        </w:rPr>
        <w:t xml:space="preserve"> מיום 18.11.1954 עמ' 174.</w:t>
      </w:r>
    </w:p>
    <w:p w14:paraId="77426D86" w14:textId="77777777" w:rsidR="009C5690" w:rsidRDefault="009C569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קנו </w:t>
      </w:r>
      <w:hyperlink r:id="rId2" w:history="1">
        <w:r>
          <w:rPr>
            <w:rStyle w:val="Hyperlink"/>
            <w:rFonts w:cs="FrankRuehl" w:hint="cs"/>
            <w:rtl/>
          </w:rPr>
          <w:t>ק"ת תשכ"ה מס' 1755</w:t>
        </w:r>
      </w:hyperlink>
      <w:r>
        <w:rPr>
          <w:rFonts w:cs="FrankRuehl" w:hint="cs"/>
          <w:rtl/>
        </w:rPr>
        <w:t xml:space="preserve"> מיום 5.8.1965 עמ' 2497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תשכ"ה-1965.</w:t>
      </w:r>
    </w:p>
    <w:p w14:paraId="4A709681" w14:textId="77777777" w:rsidR="008F1F66" w:rsidRDefault="008F1F66" w:rsidP="008F1F6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" w:history="1">
        <w:r w:rsidR="00251162" w:rsidRPr="008F1F66">
          <w:rPr>
            <w:rStyle w:val="Hyperlink"/>
            <w:rFonts w:cs="FrankRuehl" w:hint="cs"/>
            <w:rtl/>
          </w:rPr>
          <w:t>ק"ת תשע"ג מס' 7208</w:t>
        </w:r>
      </w:hyperlink>
      <w:r w:rsidR="00251162">
        <w:rPr>
          <w:rFonts w:cs="FrankRuehl" w:hint="cs"/>
          <w:rtl/>
        </w:rPr>
        <w:t xml:space="preserve"> מיום 8.1.2013 עמ' 568 </w:t>
      </w:r>
      <w:r w:rsidR="00251162">
        <w:rPr>
          <w:rFonts w:cs="FrankRuehl"/>
          <w:rtl/>
        </w:rPr>
        <w:t>–</w:t>
      </w:r>
      <w:r w:rsidR="00251162">
        <w:rPr>
          <w:rFonts w:cs="FrankRuehl" w:hint="cs"/>
          <w:rtl/>
        </w:rPr>
        <w:t xml:space="preserve"> תק' תשע"ג-2013; תחילתן 30 ימים מיום פרסומן.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50ACC" w14:textId="77777777" w:rsidR="009C5690" w:rsidRDefault="009C569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העונשין (דרכי ענישה), תשט"ו–1954</w:t>
    </w:r>
  </w:p>
  <w:p w14:paraId="4FAC11B2" w14:textId="77777777" w:rsidR="009C5690" w:rsidRDefault="009C569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72FAE7C" w14:textId="77777777" w:rsidR="009C5690" w:rsidRDefault="009C569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0037C" w14:textId="77777777" w:rsidR="009C5690" w:rsidRDefault="009C569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העונשין (דרכי ענישה), תשט"ו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1954</w:t>
    </w:r>
  </w:p>
  <w:p w14:paraId="30B28789" w14:textId="77777777" w:rsidR="009C5690" w:rsidRDefault="009C569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C06644B" w14:textId="77777777" w:rsidR="009C5690" w:rsidRDefault="009C569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C5690"/>
    <w:rsid w:val="000265D9"/>
    <w:rsid w:val="00071061"/>
    <w:rsid w:val="0017157A"/>
    <w:rsid w:val="001C33FB"/>
    <w:rsid w:val="00251162"/>
    <w:rsid w:val="005471DF"/>
    <w:rsid w:val="006E0429"/>
    <w:rsid w:val="008B4F2D"/>
    <w:rsid w:val="008F1F66"/>
    <w:rsid w:val="0099579E"/>
    <w:rsid w:val="009B7063"/>
    <w:rsid w:val="009C5690"/>
    <w:rsid w:val="00B057BE"/>
    <w:rsid w:val="00D64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5ABF0C0"/>
  <w15:chartTrackingRefBased/>
  <w15:docId w15:val="{AD7B55B2-8298-47EB-A106-6AA079BB6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7208.pdf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1755.pdf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7208.pdf" TargetMode="External"/><Relationship Id="rId2" Type="http://schemas.openxmlformats.org/officeDocument/2006/relationships/hyperlink" Target="http://www.nevo.co.il/Law_word/law06/TAK-1755.pdf" TargetMode="External"/><Relationship Id="rId1" Type="http://schemas.openxmlformats.org/officeDocument/2006/relationships/hyperlink" Target="http://www.nevo.co.il/Law_word/law06/TAK-048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73</vt:lpstr>
    </vt:vector>
  </TitlesOfParts>
  <Company/>
  <LinksUpToDate>false</LinksUpToDate>
  <CharactersWithSpaces>2598</CharactersWithSpaces>
  <SharedDoc>false</SharedDoc>
  <HLinks>
    <vt:vector size="66" baseType="variant">
      <vt:variant>
        <vt:i4>8257538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http://www.nevo.co.il/Law_word/law06/tak-7208.pdf</vt:lpwstr>
      </vt:variant>
      <vt:variant>
        <vt:lpwstr/>
      </vt:variant>
      <vt:variant>
        <vt:i4>8192010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http://www.nevo.co.il/Law_word/law06/TAK-1755.pdf</vt:lpwstr>
      </vt:variant>
      <vt:variant>
        <vt:lpwstr/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8257538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http://www.nevo.co.il/Law_word/law06/TAK-7208.pdf</vt:lpwstr>
      </vt:variant>
      <vt:variant>
        <vt:lpwstr/>
      </vt:variant>
      <vt:variant>
        <vt:i4>8192010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http://www.nevo.co.il/Law_word/law06/TAK-1755.pdf</vt:lpwstr>
      </vt:variant>
      <vt:variant>
        <vt:lpwstr/>
      </vt:variant>
      <vt:variant>
        <vt:i4>7405577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http://www.nevo.co.il/Law_word/law06/TAK-0485.pdf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73</dc:title>
  <dc:subject/>
  <dc:creator>eli</dc:creator>
  <cp:keywords/>
  <dc:description/>
  <cp:lastModifiedBy>Shimon Doodkin</cp:lastModifiedBy>
  <cp:revision>2</cp:revision>
  <dcterms:created xsi:type="dcterms:W3CDTF">2023-06-05T20:24:00Z</dcterms:created>
  <dcterms:modified xsi:type="dcterms:W3CDTF">2023-06-05T20:24:00Z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0073</vt:lpwstr>
  </property>
  <property fmtid="{D5CDD505-2E9C-101B-9397-08002B2CF9AE}" pid="3" name="CHNAME">
    <vt:lpwstr>דיני עונשין</vt:lpwstr>
  </property>
  <property fmtid="{D5CDD505-2E9C-101B-9397-08002B2CF9AE}" pid="4" name="LAWNAME">
    <vt:lpwstr>תקנות העונשין (דרכי ענישה), תשט"ו-1954</vt:lpwstr>
  </property>
  <property fmtid="{D5CDD505-2E9C-101B-9397-08002B2CF9AE}" pid="5" name="LAWNUMBER">
    <vt:lpwstr>0023</vt:lpwstr>
  </property>
  <property fmtid="{D5CDD505-2E9C-101B-9397-08002B2CF9AE}" pid="6" name="TYPE">
    <vt:lpwstr>01</vt:lpwstr>
  </property>
  <property fmtid="{D5CDD505-2E9C-101B-9397-08002B2CF9AE}" pid="7" name="MEKOR_NAME1">
    <vt:lpwstr>חוק לתיקון דיני העונשין (דרכי ענישה)</vt:lpwstr>
  </property>
  <property fmtid="{D5CDD505-2E9C-101B-9397-08002B2CF9AE}" pid="8" name="MEKOR_SAIF1">
    <vt:lpwstr>44X</vt:lpwstr>
  </property>
  <property fmtid="{D5CDD505-2E9C-101B-9397-08002B2CF9AE}" pid="9" name="NOSE11">
    <vt:lpwstr>עונשין ומשפט פלילי</vt:lpwstr>
  </property>
  <property fmtid="{D5CDD505-2E9C-101B-9397-08002B2CF9AE}" pid="10" name="NOSE21">
    <vt:lpwstr>ענישה, מאסר ומעצר</vt:lpwstr>
  </property>
  <property fmtid="{D5CDD505-2E9C-101B-9397-08002B2CF9AE}" pid="11" name="NOSE31">
    <vt:lpwstr/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  <property fmtid="{D5CDD505-2E9C-101B-9397-08002B2CF9AE}" pid="49" name="MEKORSAMCHUT">
    <vt:lpwstr/>
  </property>
  <property fmtid="{D5CDD505-2E9C-101B-9397-08002B2CF9AE}" pid="50" name="LINKK1">
    <vt:lpwstr>http://www.nevo.co.il/Law_word/law06/TAK-7208.pdf;רשומות - תקנות כלליות#ק"ת תשע"ג מס' 7208# מיום 8.1.2013 עמ' 568 – תק' תשע"ג-2013; תחילתן 30 ימים מיום פרסומן</vt:lpwstr>
  </property>
  <property fmtid="{D5CDD505-2E9C-101B-9397-08002B2CF9AE}" pid="51" name="LINKK2">
    <vt:lpwstr/>
  </property>
  <property fmtid="{D5CDD505-2E9C-101B-9397-08002B2CF9AE}" pid="52" name="LINKK3">
    <vt:lpwstr/>
  </property>
  <property fmtid="{D5CDD505-2E9C-101B-9397-08002B2CF9AE}" pid="53" name="LINKK4">
    <vt:lpwstr/>
  </property>
  <property fmtid="{D5CDD505-2E9C-101B-9397-08002B2CF9AE}" pid="54" name="LINKK5">
    <vt:lpwstr/>
  </property>
  <property fmtid="{D5CDD505-2E9C-101B-9397-08002B2CF9AE}" pid="55" name="LINKK6">
    <vt:lpwstr/>
  </property>
  <property fmtid="{D5CDD505-2E9C-101B-9397-08002B2CF9AE}" pid="56" name="LINKK7">
    <vt:lpwstr/>
  </property>
  <property fmtid="{D5CDD505-2E9C-101B-9397-08002B2CF9AE}" pid="57" name="LINKK8">
    <vt:lpwstr/>
  </property>
  <property fmtid="{D5CDD505-2E9C-101B-9397-08002B2CF9AE}" pid="58" name="LINKK9">
    <vt:lpwstr/>
  </property>
  <property fmtid="{D5CDD505-2E9C-101B-9397-08002B2CF9AE}" pid="59" name="LINKK10">
    <vt:lpwstr/>
  </property>
  <property fmtid="{D5CDD505-2E9C-101B-9397-08002B2CF9AE}" pid="60" name="LINKI1">
    <vt:lpwstr/>
  </property>
  <property fmtid="{D5CDD505-2E9C-101B-9397-08002B2CF9AE}" pid="61" name="LINKI2">
    <vt:lpwstr/>
  </property>
  <property fmtid="{D5CDD505-2E9C-101B-9397-08002B2CF9AE}" pid="62" name="LINKI3">
    <vt:lpwstr/>
  </property>
  <property fmtid="{D5CDD505-2E9C-101B-9397-08002B2CF9AE}" pid="63" name="LINKI4">
    <vt:lpwstr/>
  </property>
  <property fmtid="{D5CDD505-2E9C-101B-9397-08002B2CF9AE}" pid="64" name="LINKI5">
    <vt:lpwstr/>
  </property>
</Properties>
</file>