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0D477C" w14:textId="77777777" w:rsidR="00B83183" w:rsidRDefault="00B83183">
      <w:pPr>
        <w:pStyle w:val="big-header"/>
        <w:ind w:left="0" w:right="1134"/>
        <w:rPr>
          <w:rFonts w:cs="FrankRuehl"/>
          <w:sz w:val="32"/>
        </w:rPr>
      </w:pPr>
      <w:r>
        <w:rPr>
          <w:rFonts w:cs="FrankRuehl"/>
          <w:sz w:val="32"/>
          <w:rtl/>
        </w:rPr>
        <w:t>תקנות העונשין (נתונים לצורך החלטת ועדת שחרורים), תשס"א</w:t>
      </w:r>
      <w:r>
        <w:rPr>
          <w:rFonts w:cs="FrankRuehl" w:hint="cs"/>
          <w:sz w:val="32"/>
          <w:rtl/>
        </w:rPr>
        <w:t>-</w:t>
      </w:r>
      <w:r>
        <w:rPr>
          <w:rFonts w:cs="FrankRuehl"/>
          <w:sz w:val="32"/>
          <w:rtl/>
        </w:rPr>
        <w:t>2001</w:t>
      </w:r>
    </w:p>
    <w:p w14:paraId="4C7C27FA" w14:textId="77777777" w:rsidR="009B25E3" w:rsidRPr="009B25E3" w:rsidRDefault="009B25E3" w:rsidP="009B25E3">
      <w:pPr>
        <w:spacing w:line="320" w:lineRule="auto"/>
        <w:jc w:val="left"/>
        <w:rPr>
          <w:rFonts w:cs="FrankRuehl"/>
          <w:szCs w:val="26"/>
          <w:rtl/>
        </w:rPr>
      </w:pPr>
    </w:p>
    <w:p w14:paraId="52168A0B" w14:textId="77777777" w:rsidR="009B25E3" w:rsidRDefault="009B25E3" w:rsidP="009B25E3">
      <w:pPr>
        <w:spacing w:line="320" w:lineRule="auto"/>
        <w:jc w:val="left"/>
        <w:rPr>
          <w:rtl/>
        </w:rPr>
      </w:pPr>
    </w:p>
    <w:p w14:paraId="45BABB3C" w14:textId="77777777" w:rsidR="009B25E3" w:rsidRPr="009B25E3" w:rsidRDefault="009B25E3" w:rsidP="009B25E3">
      <w:pPr>
        <w:spacing w:line="320" w:lineRule="auto"/>
        <w:jc w:val="left"/>
        <w:rPr>
          <w:rFonts w:cs="Miriam"/>
          <w:szCs w:val="22"/>
          <w:rtl/>
        </w:rPr>
      </w:pPr>
      <w:r w:rsidRPr="009B25E3">
        <w:rPr>
          <w:rFonts w:cs="Miriam"/>
          <w:szCs w:val="22"/>
          <w:rtl/>
        </w:rPr>
        <w:t>עונשין ומשפט פלילי</w:t>
      </w:r>
      <w:r w:rsidRPr="009B25E3">
        <w:rPr>
          <w:rFonts w:cs="FrankRuehl"/>
          <w:szCs w:val="26"/>
          <w:rtl/>
        </w:rPr>
        <w:t xml:space="preserve"> – ענישה, מאסר ומעצר – שחרור וועדת שחרורים</w:t>
      </w:r>
    </w:p>
    <w:p w14:paraId="27ADD493" w14:textId="77777777" w:rsidR="00B83183" w:rsidRDefault="00B83183">
      <w:pPr>
        <w:pStyle w:val="big-header"/>
        <w:ind w:left="0" w:right="1134"/>
        <w:rPr>
          <w:rFonts w:cs="FrankRuehl"/>
          <w:sz w:val="32"/>
          <w:rtl/>
        </w:rPr>
      </w:pPr>
      <w:r>
        <w:rPr>
          <w:rFonts w:cs="FrankRuehl"/>
          <w:sz w:val="32"/>
          <w:rtl/>
        </w:rPr>
        <w:t>תוכן ענינים</w:t>
      </w:r>
    </w:p>
    <w:tbl>
      <w:tblPr>
        <w:tblW w:w="8333" w:type="dxa"/>
        <w:tblInd w:w="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B83183" w14:paraId="37332A81" w14:textId="77777777">
        <w:tblPrEx>
          <w:tblCellMar>
            <w:top w:w="0" w:type="dxa"/>
            <w:bottom w:w="0" w:type="dxa"/>
          </w:tblCellMar>
        </w:tblPrEx>
        <w:tc>
          <w:tcPr>
            <w:tcW w:w="850" w:type="dxa"/>
          </w:tcPr>
          <w:p w14:paraId="52C0D4D5" w14:textId="77777777" w:rsidR="00B83183" w:rsidRDefault="00B83183">
            <w:pPr>
              <w:spacing w:line="240" w:lineRule="auto"/>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14:paraId="4AB1C984" w14:textId="77777777" w:rsidR="00B83183" w:rsidRDefault="00B83183">
            <w:pPr>
              <w:spacing w:line="240" w:lineRule="auto"/>
              <w:rPr>
                <w:sz w:val="24"/>
              </w:rPr>
            </w:pPr>
            <w:hyperlink w:anchor="Seif0" w:tooltip="נתונים שתביא  ועדת השחרורים בחשבון לענין  שחרורו המוקדם  של אסיר" w:history="1">
              <w:r>
                <w:rPr>
                  <w:rStyle w:val="Hyperlink"/>
                </w:rPr>
                <w:t>Go</w:t>
              </w:r>
            </w:hyperlink>
          </w:p>
        </w:tc>
        <w:tc>
          <w:tcPr>
            <w:tcW w:w="5669" w:type="dxa"/>
          </w:tcPr>
          <w:p w14:paraId="218CBA80" w14:textId="77777777" w:rsidR="00B83183" w:rsidRDefault="00B83183">
            <w:pPr>
              <w:spacing w:line="240" w:lineRule="auto"/>
              <w:rPr>
                <w:sz w:val="24"/>
                <w:rtl/>
              </w:rPr>
            </w:pPr>
            <w:r>
              <w:rPr>
                <w:sz w:val="24"/>
                <w:rtl/>
              </w:rPr>
              <w:t>נתונים שתביא  ועדת השחרורים בחשבון לענין  שחרורו המוקדם  של אסיר</w:t>
            </w:r>
          </w:p>
        </w:tc>
        <w:tc>
          <w:tcPr>
            <w:tcW w:w="1247" w:type="dxa"/>
          </w:tcPr>
          <w:p w14:paraId="2EDB8968" w14:textId="77777777" w:rsidR="00B83183" w:rsidRDefault="00B83183">
            <w:pPr>
              <w:spacing w:line="240" w:lineRule="auto"/>
              <w:rPr>
                <w:sz w:val="24"/>
              </w:rPr>
            </w:pPr>
            <w:r>
              <w:rPr>
                <w:sz w:val="24"/>
                <w:rtl/>
              </w:rPr>
              <w:t xml:space="preserve">סעיף 1 </w:t>
            </w:r>
          </w:p>
        </w:tc>
      </w:tr>
    </w:tbl>
    <w:p w14:paraId="40F27AE5" w14:textId="77777777" w:rsidR="00B83183" w:rsidRDefault="00B83183">
      <w:pPr>
        <w:pStyle w:val="big-header"/>
        <w:ind w:left="0" w:right="1134"/>
        <w:rPr>
          <w:rFonts w:cs="FrankRuehl"/>
          <w:sz w:val="32"/>
          <w:rtl/>
        </w:rPr>
      </w:pPr>
    </w:p>
    <w:p w14:paraId="3161697A" w14:textId="77777777" w:rsidR="00B83183" w:rsidRDefault="00B83183" w:rsidP="009B25E3">
      <w:pPr>
        <w:pStyle w:val="big-header"/>
        <w:ind w:left="0" w:right="1134"/>
        <w:rPr>
          <w:rStyle w:val="default"/>
          <w:rFonts w:cs="FrankRuehl" w:hint="cs"/>
          <w:rtl/>
        </w:rPr>
      </w:pPr>
      <w:r>
        <w:rPr>
          <w:rtl/>
        </w:rPr>
        <w:br w:type="page"/>
      </w:r>
      <w:r>
        <w:rPr>
          <w:rFonts w:cs="FrankRuehl"/>
          <w:sz w:val="32"/>
          <w:rtl/>
        </w:rPr>
        <w:lastRenderedPageBreak/>
        <w:t>תק</w:t>
      </w:r>
      <w:r>
        <w:rPr>
          <w:rFonts w:cs="FrankRuehl" w:hint="cs"/>
          <w:sz w:val="32"/>
          <w:rtl/>
        </w:rPr>
        <w:t>נות העונשין (נתונים לצורך החלטת ועדת שחרורים), תשס"א-</w:t>
      </w:r>
      <w:r>
        <w:rPr>
          <w:rFonts w:cs="FrankRuehl"/>
          <w:sz w:val="32"/>
          <w:rtl/>
        </w:rPr>
        <w:t>2001</w:t>
      </w:r>
      <w:r>
        <w:rPr>
          <w:rStyle w:val="default"/>
          <w:rtl/>
        </w:rPr>
        <w:footnoteReference w:customMarkFollows="1" w:id="1"/>
        <w:t>*</w:t>
      </w:r>
    </w:p>
    <w:p w14:paraId="01182F56" w14:textId="77777777" w:rsidR="00B83183" w:rsidRDefault="00B83183">
      <w:pPr>
        <w:pStyle w:val="P00"/>
        <w:spacing w:before="72"/>
        <w:ind w:left="0" w:right="1134"/>
        <w:rPr>
          <w:rStyle w:val="default"/>
          <w:rFonts w:cs="FrankRuehl"/>
          <w:rtl/>
        </w:rPr>
      </w:pPr>
      <w:r>
        <w:rPr>
          <w:rFonts w:cs="FrankRuehl"/>
          <w:sz w:val="26"/>
          <w:rtl/>
        </w:rPr>
        <w:tab/>
      </w:r>
      <w:r>
        <w:rPr>
          <w:rStyle w:val="default"/>
          <w:rFonts w:cs="FrankRuehl"/>
          <w:rtl/>
        </w:rPr>
        <w:t>בת</w:t>
      </w:r>
      <w:r>
        <w:rPr>
          <w:rStyle w:val="default"/>
          <w:rFonts w:cs="FrankRuehl" w:hint="cs"/>
          <w:rtl/>
        </w:rPr>
        <w:t>וקף סמכותי לפי סעיף 51(ו) לחוק העונשין, תשל"ז-</w:t>
      </w:r>
      <w:r>
        <w:rPr>
          <w:rStyle w:val="default"/>
          <w:rFonts w:cs="FrankRuehl"/>
          <w:rtl/>
        </w:rPr>
        <w:t xml:space="preserve">1977, </w:t>
      </w:r>
      <w:r>
        <w:rPr>
          <w:rStyle w:val="default"/>
          <w:rFonts w:cs="FrankRuehl" w:hint="cs"/>
          <w:rtl/>
        </w:rPr>
        <w:t>בהמלצת הרשות לשיקום האסיר כמשמעותה בחוק הרשות לשיקום האסיר, תשמ"ג-</w:t>
      </w:r>
      <w:r>
        <w:rPr>
          <w:rStyle w:val="default"/>
          <w:rFonts w:cs="FrankRuehl"/>
          <w:rtl/>
        </w:rPr>
        <w:t>1983 (</w:t>
      </w:r>
      <w:r>
        <w:rPr>
          <w:rStyle w:val="default"/>
          <w:rFonts w:cs="FrankRuehl" w:hint="cs"/>
          <w:rtl/>
        </w:rPr>
        <w:t>להלן -</w:t>
      </w:r>
      <w:r>
        <w:rPr>
          <w:rStyle w:val="default"/>
          <w:rFonts w:cs="FrankRuehl"/>
          <w:rtl/>
        </w:rPr>
        <w:t xml:space="preserve"> </w:t>
      </w:r>
      <w:r>
        <w:rPr>
          <w:rStyle w:val="default"/>
          <w:rFonts w:cs="FrankRuehl" w:hint="cs"/>
          <w:rtl/>
        </w:rPr>
        <w:t>הרשות לשיקום האסיר) ובאישור ועדת החו</w:t>
      </w:r>
      <w:r>
        <w:rPr>
          <w:rStyle w:val="default"/>
          <w:rFonts w:cs="FrankRuehl"/>
          <w:rtl/>
        </w:rPr>
        <w:t>קה</w:t>
      </w:r>
      <w:r>
        <w:rPr>
          <w:rStyle w:val="default"/>
          <w:rFonts w:cs="FrankRuehl" w:hint="cs"/>
          <w:rtl/>
        </w:rPr>
        <w:t xml:space="preserve"> חוק ומשפט של הכנסת, אני מתקין תקנות אלה:</w:t>
      </w:r>
    </w:p>
    <w:p w14:paraId="17DCAAB2" w14:textId="77777777" w:rsidR="00B83183" w:rsidRDefault="00B83183">
      <w:pPr>
        <w:pStyle w:val="P00"/>
        <w:spacing w:before="72"/>
        <w:ind w:left="0" w:right="1134"/>
        <w:rPr>
          <w:rStyle w:val="default"/>
          <w:rFonts w:cs="FrankRuehl"/>
          <w:rtl/>
        </w:rPr>
      </w:pPr>
      <w:bookmarkStart w:id="0" w:name="Seif0"/>
      <w:bookmarkEnd w:id="0"/>
      <w:r>
        <w:rPr>
          <w:lang w:val="he-IL"/>
        </w:rPr>
        <w:pict w14:anchorId="0F62021D">
          <v:rect id="_x0000_s1026" style="position:absolute;left:0;text-align:left;margin-left:464.5pt;margin-top:8.05pt;width:75.05pt;height:37pt;z-index:251657728" o:allowincell="f" filled="f" stroked="f" strokecolor="lime" strokeweight=".25pt">
            <v:textbox inset="0,0,0,0">
              <w:txbxContent>
                <w:p w14:paraId="5C5BA92C" w14:textId="77777777" w:rsidR="00B83183" w:rsidRDefault="00B83183">
                  <w:pPr>
                    <w:spacing w:line="160" w:lineRule="exact"/>
                    <w:jc w:val="left"/>
                    <w:rPr>
                      <w:rFonts w:cs="Miriam"/>
                      <w:noProof/>
                      <w:sz w:val="18"/>
                      <w:szCs w:val="18"/>
                      <w:rtl/>
                    </w:rPr>
                  </w:pPr>
                  <w:r>
                    <w:rPr>
                      <w:rFonts w:cs="Miriam"/>
                      <w:sz w:val="18"/>
                      <w:szCs w:val="18"/>
                      <w:rtl/>
                    </w:rPr>
                    <w:t>נת</w:t>
                  </w:r>
                  <w:r>
                    <w:rPr>
                      <w:rFonts w:cs="Miriam" w:hint="cs"/>
                      <w:sz w:val="18"/>
                      <w:szCs w:val="18"/>
                      <w:rtl/>
                    </w:rPr>
                    <w:t>ונים שתביא ו</w:t>
                  </w:r>
                  <w:r>
                    <w:rPr>
                      <w:rFonts w:cs="Miriam"/>
                      <w:sz w:val="18"/>
                      <w:szCs w:val="18"/>
                      <w:rtl/>
                    </w:rPr>
                    <w:t>ע</w:t>
                  </w:r>
                  <w:r>
                    <w:rPr>
                      <w:rFonts w:cs="Miriam" w:hint="cs"/>
                      <w:sz w:val="18"/>
                      <w:szCs w:val="18"/>
                      <w:rtl/>
                    </w:rPr>
                    <w:t>דת השחר</w:t>
                  </w:r>
                  <w:r>
                    <w:rPr>
                      <w:rFonts w:cs="Miriam"/>
                      <w:sz w:val="18"/>
                      <w:szCs w:val="18"/>
                      <w:rtl/>
                    </w:rPr>
                    <w:t>ו</w:t>
                  </w:r>
                  <w:r>
                    <w:rPr>
                      <w:rFonts w:cs="Miriam" w:hint="cs"/>
                      <w:sz w:val="18"/>
                      <w:szCs w:val="18"/>
                      <w:rtl/>
                    </w:rPr>
                    <w:t>רים בחשבון לענין ש</w:t>
                  </w:r>
                  <w:r>
                    <w:rPr>
                      <w:rFonts w:cs="Miriam"/>
                      <w:sz w:val="18"/>
                      <w:szCs w:val="18"/>
                      <w:rtl/>
                    </w:rPr>
                    <w:t>ח</w:t>
                  </w:r>
                  <w:r>
                    <w:rPr>
                      <w:rFonts w:cs="Miriam" w:hint="cs"/>
                      <w:sz w:val="18"/>
                      <w:szCs w:val="18"/>
                      <w:rtl/>
                    </w:rPr>
                    <w:t>רורו המוקדם ש</w:t>
                  </w:r>
                  <w:r>
                    <w:rPr>
                      <w:rFonts w:cs="Miriam"/>
                      <w:sz w:val="18"/>
                      <w:szCs w:val="18"/>
                      <w:rtl/>
                    </w:rPr>
                    <w:t>ל</w:t>
                  </w:r>
                  <w:r>
                    <w:rPr>
                      <w:rFonts w:cs="Miriam" w:hint="cs"/>
                      <w:sz w:val="18"/>
                      <w:szCs w:val="18"/>
                      <w:rtl/>
                    </w:rPr>
                    <w:t xml:space="preserve"> אסיר</w:t>
                  </w:r>
                </w:p>
              </w:txbxContent>
            </v:textbox>
            <w10:anchorlock/>
          </v:rect>
        </w:pict>
      </w:r>
      <w:r>
        <w:rPr>
          <w:rStyle w:val="big-number"/>
          <w:rFonts w:cs="Miriam"/>
          <w:rtl/>
        </w:rPr>
        <w:t>1.</w:t>
      </w:r>
      <w:r>
        <w:rPr>
          <w:rStyle w:val="big-number"/>
          <w:rFonts w:cs="Miriam"/>
          <w:rtl/>
        </w:rPr>
        <w:tab/>
      </w:r>
      <w:r>
        <w:rPr>
          <w:rStyle w:val="default"/>
          <w:rFonts w:cs="FrankRuehl"/>
          <w:rtl/>
        </w:rPr>
        <w:t>בב</w:t>
      </w:r>
      <w:r>
        <w:rPr>
          <w:rStyle w:val="default"/>
          <w:rFonts w:cs="FrankRuehl" w:hint="cs"/>
          <w:rtl/>
        </w:rPr>
        <w:t>ואה להחליט אם ראוי אסיר לשחרור מוקדם, תביא ועדת</w:t>
      </w:r>
      <w:r>
        <w:rPr>
          <w:rStyle w:val="default"/>
          <w:rFonts w:cs="FrankRuehl"/>
          <w:rtl/>
        </w:rPr>
        <w:t xml:space="preserve"> ה</w:t>
      </w:r>
      <w:r>
        <w:rPr>
          <w:rStyle w:val="default"/>
          <w:rFonts w:cs="FrankRuehl" w:hint="cs"/>
          <w:rtl/>
        </w:rPr>
        <w:t>שחרורים בחשבון את אלה:</w:t>
      </w:r>
    </w:p>
    <w:p w14:paraId="078D27D7" w14:textId="77777777" w:rsidR="00B83183" w:rsidRDefault="00B83183">
      <w:pPr>
        <w:pStyle w:val="P11"/>
        <w:spacing w:before="72"/>
        <w:ind w:left="624"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סיכון הצפוי מהאסיר לשלום הציבור, לרבות למשפחתו ולנפגע העבירה וכן לביטחון המדינה, סיכויי שיקומו והתנהגותו בכלא; לענין זה תתחשב וע</w:t>
      </w:r>
      <w:r>
        <w:rPr>
          <w:rStyle w:val="default"/>
          <w:rFonts w:cs="FrankRuehl"/>
          <w:rtl/>
        </w:rPr>
        <w:t>דת</w:t>
      </w:r>
      <w:r>
        <w:rPr>
          <w:rStyle w:val="default"/>
          <w:rFonts w:cs="FrankRuehl" w:hint="cs"/>
          <w:rtl/>
        </w:rPr>
        <w:t xml:space="preserve"> השחרורים בין השאר בנתונים אלה:</w:t>
      </w:r>
    </w:p>
    <w:p w14:paraId="4D3E126C" w14:textId="77777777" w:rsidR="00B83183" w:rsidRDefault="00B83183">
      <w:pPr>
        <w:pStyle w:val="P22"/>
        <w:spacing w:before="72"/>
        <w:ind w:left="1021"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עבירה שבשלה נושא האסיר עונש מאסר, לרבות נסיבות ביצועה, סוגה, חומרתה, היקפה ותוצאותיה, תקופת המאסר שגזר עליו בית המשפט והקלה בעונש, אם ניתנה לו בידי נשיא המדינה;</w:t>
      </w:r>
    </w:p>
    <w:p w14:paraId="61559AFA" w14:textId="77777777" w:rsidR="00B83183" w:rsidRDefault="00B83183">
      <w:pPr>
        <w:pStyle w:val="P22"/>
        <w:spacing w:before="72"/>
        <w:ind w:left="1021" w:right="1134"/>
        <w:rPr>
          <w:rStyle w:val="default"/>
          <w:rFonts w:cs="FrankRuehl"/>
          <w:rtl/>
        </w:rPr>
      </w:pPr>
      <w:r>
        <w:rPr>
          <w:rStyle w:val="default"/>
          <w:rFonts w:cs="FrankRuehl"/>
          <w:rtl/>
        </w:rPr>
        <w:t>(ב</w:t>
      </w:r>
      <w:r>
        <w:rPr>
          <w:rStyle w:val="default"/>
          <w:rFonts w:cs="FrankRuehl" w:hint="cs"/>
          <w:rtl/>
        </w:rPr>
        <w:t>)</w:t>
      </w:r>
      <w:r>
        <w:rPr>
          <w:rStyle w:val="default"/>
          <w:rFonts w:cs="FrankRuehl"/>
          <w:rtl/>
        </w:rPr>
        <w:tab/>
        <w:t>ת</w:t>
      </w:r>
      <w:r>
        <w:rPr>
          <w:rStyle w:val="default"/>
          <w:rFonts w:cs="FrankRuehl" w:hint="cs"/>
          <w:rtl/>
        </w:rPr>
        <w:t>וכנם של כתבי אישום התלויים ועומדים נגד האסיר בבתי משפט; סוגי העבירות שבהן הוא מואשם, נסיבות ביצוען ותוצאותיהן, על פי האישום;</w:t>
      </w:r>
    </w:p>
    <w:p w14:paraId="2C2753F8" w14:textId="77777777" w:rsidR="00B83183" w:rsidRDefault="00B83183">
      <w:pPr>
        <w:pStyle w:val="P22"/>
        <w:spacing w:before="72"/>
        <w:ind w:left="1021" w:right="1134"/>
        <w:rPr>
          <w:rStyle w:val="default"/>
          <w:rFonts w:cs="FrankRuehl"/>
          <w:rtl/>
        </w:rPr>
      </w:pPr>
      <w:r>
        <w:rPr>
          <w:rStyle w:val="default"/>
          <w:rFonts w:cs="FrankRuehl" w:hint="cs"/>
          <w:rtl/>
        </w:rPr>
        <w:t>(</w:t>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רשעותיו הקודמות של האסיר, מספרן, תכיפותן, סוגי העבירות שבהן הורשע, חומרתן, נסיב</w:t>
      </w:r>
      <w:r>
        <w:rPr>
          <w:rStyle w:val="default"/>
          <w:rFonts w:cs="FrankRuehl"/>
          <w:rtl/>
        </w:rPr>
        <w:t>ות</w:t>
      </w:r>
      <w:r>
        <w:rPr>
          <w:rStyle w:val="default"/>
          <w:rFonts w:cs="FrankRuehl" w:hint="cs"/>
          <w:rtl/>
        </w:rPr>
        <w:t xml:space="preserve"> ביצוען, תוצאותיהן, היקפן ותקופות המאסר שנשא בשלהן;</w:t>
      </w:r>
    </w:p>
    <w:p w14:paraId="7BCD2130" w14:textId="77777777" w:rsidR="00B83183" w:rsidRDefault="00B83183">
      <w:pPr>
        <w:pStyle w:val="P22"/>
        <w:spacing w:before="72"/>
        <w:ind w:left="1021" w:right="1134"/>
        <w:rPr>
          <w:rStyle w:val="default"/>
          <w:rFonts w:cs="FrankRuehl"/>
          <w:rtl/>
        </w:rPr>
      </w:pPr>
      <w:r>
        <w:rPr>
          <w:rStyle w:val="default"/>
          <w:rFonts w:cs="FrankRuehl" w:hint="cs"/>
          <w:rtl/>
        </w:rPr>
        <w:t>(</w:t>
      </w:r>
      <w:r>
        <w:rPr>
          <w:rStyle w:val="default"/>
          <w:rFonts w:cs="FrankRuehl"/>
          <w:rtl/>
        </w:rPr>
        <w:t>ד</w:t>
      </w:r>
      <w:r>
        <w:rPr>
          <w:rStyle w:val="default"/>
          <w:rFonts w:cs="FrankRuehl" w:hint="cs"/>
          <w:rtl/>
        </w:rPr>
        <w:t>)</w:t>
      </w:r>
      <w:r>
        <w:rPr>
          <w:rStyle w:val="default"/>
          <w:rFonts w:cs="FrankRuehl"/>
          <w:rtl/>
        </w:rPr>
        <w:tab/>
        <w:t>ד</w:t>
      </w:r>
      <w:r>
        <w:rPr>
          <w:rStyle w:val="default"/>
          <w:rFonts w:cs="FrankRuehl" w:hint="cs"/>
          <w:rtl/>
        </w:rPr>
        <w:t>יונים קודמים בועדות שחרורים בענינו של האסיר והחלטות בהם, לרבות בענין ביטול שחרורו ברישיון;</w:t>
      </w:r>
    </w:p>
    <w:p w14:paraId="077F3550" w14:textId="77777777" w:rsidR="00B83183" w:rsidRDefault="00B83183">
      <w:pPr>
        <w:pStyle w:val="P22"/>
        <w:spacing w:before="72"/>
        <w:ind w:left="1021" w:right="1134"/>
        <w:rPr>
          <w:rStyle w:val="default"/>
          <w:rFonts w:cs="FrankRuehl"/>
          <w:rtl/>
        </w:rPr>
      </w:pPr>
      <w:r>
        <w:rPr>
          <w:rStyle w:val="default"/>
          <w:rFonts w:cs="FrankRuehl" w:hint="cs"/>
          <w:rtl/>
        </w:rPr>
        <w:t>(</w:t>
      </w:r>
      <w:r>
        <w:rPr>
          <w:rStyle w:val="default"/>
          <w:rFonts w:cs="FrankRuehl"/>
          <w:rtl/>
        </w:rPr>
        <w:t>ה</w:t>
      </w:r>
      <w:r>
        <w:rPr>
          <w:rStyle w:val="default"/>
          <w:rFonts w:cs="FrankRuehl" w:hint="cs"/>
          <w:rtl/>
        </w:rPr>
        <w:t>)</w:t>
      </w:r>
      <w:r>
        <w:rPr>
          <w:rStyle w:val="default"/>
          <w:rFonts w:cs="FrankRuehl"/>
          <w:rtl/>
        </w:rPr>
        <w:tab/>
        <w:t>ה</w:t>
      </w:r>
      <w:r>
        <w:rPr>
          <w:rStyle w:val="default"/>
          <w:rFonts w:cs="FrankRuehl" w:hint="cs"/>
          <w:rtl/>
        </w:rPr>
        <w:t>קלות בעונש שנתן לו נשיא המדינה בשל עונשי מאסר קודמים שהוטלו עליו;</w:t>
      </w:r>
    </w:p>
    <w:p w14:paraId="362CEFBE" w14:textId="77777777" w:rsidR="00B83183" w:rsidRDefault="00B83183">
      <w:pPr>
        <w:pStyle w:val="P22"/>
        <w:spacing w:before="72"/>
        <w:ind w:left="1021" w:right="1134"/>
        <w:rPr>
          <w:rStyle w:val="default"/>
          <w:rFonts w:cs="FrankRuehl"/>
          <w:rtl/>
        </w:rPr>
      </w:pPr>
      <w:r>
        <w:rPr>
          <w:rStyle w:val="default"/>
          <w:rFonts w:cs="FrankRuehl" w:hint="cs"/>
          <w:rtl/>
        </w:rPr>
        <w:t>(</w:t>
      </w:r>
      <w:r>
        <w:rPr>
          <w:rStyle w:val="default"/>
          <w:rFonts w:cs="FrankRuehl"/>
          <w:rtl/>
        </w:rPr>
        <w:t>ו</w:t>
      </w:r>
      <w:r>
        <w:rPr>
          <w:rStyle w:val="default"/>
          <w:rFonts w:cs="FrankRuehl" w:hint="cs"/>
          <w:rtl/>
        </w:rPr>
        <w:t>)</w:t>
      </w:r>
      <w:r>
        <w:rPr>
          <w:rStyle w:val="default"/>
          <w:rFonts w:cs="FrankRuehl"/>
          <w:rtl/>
        </w:rPr>
        <w:tab/>
        <w:t>ה</w:t>
      </w:r>
      <w:r>
        <w:rPr>
          <w:rStyle w:val="default"/>
          <w:rFonts w:cs="FrankRuehl" w:hint="cs"/>
          <w:rtl/>
        </w:rPr>
        <w:t>תנהגות שלילית או חיובית של האס</w:t>
      </w:r>
      <w:r>
        <w:rPr>
          <w:rStyle w:val="default"/>
          <w:rFonts w:cs="FrankRuehl"/>
          <w:rtl/>
        </w:rPr>
        <w:t>יר</w:t>
      </w:r>
      <w:r>
        <w:rPr>
          <w:rStyle w:val="default"/>
          <w:rFonts w:cs="FrankRuehl" w:hint="cs"/>
          <w:rtl/>
        </w:rPr>
        <w:t>, בבית הסוהר במהלך תקופת מאסרו, כמפורט להלן:</w:t>
      </w:r>
    </w:p>
    <w:p w14:paraId="74F60FE8" w14:textId="77777777" w:rsidR="00B83183" w:rsidRDefault="00B83183">
      <w:pPr>
        <w:pStyle w:val="P33"/>
        <w:spacing w:before="72"/>
        <w:ind w:left="1474" w:right="1134"/>
        <w:rPr>
          <w:rStyle w:val="default"/>
          <w:rFonts w:cs="FrankRuehl"/>
          <w:rtl/>
        </w:rPr>
      </w:pPr>
      <w:r>
        <w:rPr>
          <w:rStyle w:val="default"/>
          <w:rFonts w:cs="FrankRuehl"/>
          <w:rtl/>
        </w:rPr>
        <w:t>(1)</w:t>
      </w:r>
      <w:r>
        <w:rPr>
          <w:rStyle w:val="default"/>
          <w:rFonts w:cs="FrankRuehl"/>
          <w:rtl/>
        </w:rPr>
        <w:tab/>
        <w:t>ע</w:t>
      </w:r>
      <w:r>
        <w:rPr>
          <w:rStyle w:val="default"/>
          <w:rFonts w:cs="FrankRuehl" w:hint="cs"/>
          <w:rtl/>
        </w:rPr>
        <w:t>בירה פלילית שעבר האסיר וסוג העבירה;</w:t>
      </w:r>
    </w:p>
    <w:p w14:paraId="1ECD26DA" w14:textId="77777777" w:rsidR="00B83183" w:rsidRDefault="00B83183">
      <w:pPr>
        <w:pStyle w:val="P33"/>
        <w:spacing w:before="72"/>
        <w:ind w:left="1474"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תנהגות שיש בה כדי לפגוע פגיעה ממשית באסירים אחרים או בסוהרים או לשבש את סדריו של בית הסוהר;</w:t>
      </w:r>
    </w:p>
    <w:p w14:paraId="3F583E81" w14:textId="77777777" w:rsidR="00B83183" w:rsidRDefault="00B83183">
      <w:pPr>
        <w:pStyle w:val="P33"/>
        <w:spacing w:before="72"/>
        <w:ind w:left="1474" w:right="1134"/>
        <w:rPr>
          <w:rStyle w:val="default"/>
          <w:rFonts w:cs="FrankRuehl"/>
          <w:rtl/>
        </w:rPr>
      </w:pPr>
      <w:r>
        <w:rPr>
          <w:rStyle w:val="default"/>
          <w:rFonts w:cs="FrankRuehl" w:hint="cs"/>
          <w:rtl/>
        </w:rPr>
        <w:t>(3)</w:t>
      </w:r>
      <w:r>
        <w:rPr>
          <w:rStyle w:val="default"/>
          <w:rFonts w:cs="FrankRuehl"/>
          <w:rtl/>
        </w:rPr>
        <w:tab/>
        <w:t>מ</w:t>
      </w:r>
      <w:r>
        <w:rPr>
          <w:rStyle w:val="default"/>
          <w:rFonts w:cs="FrankRuehl" w:hint="cs"/>
          <w:rtl/>
        </w:rPr>
        <w:t>עורבות בפעילות עבריינית, בין בתוך כותלי בית הסוהר ובין מחוץ להם;</w:t>
      </w:r>
    </w:p>
    <w:p w14:paraId="3762B561" w14:textId="77777777" w:rsidR="00B83183" w:rsidRDefault="00B83183">
      <w:pPr>
        <w:pStyle w:val="P33"/>
        <w:spacing w:before="72"/>
        <w:ind w:left="1474" w:right="1134"/>
        <w:rPr>
          <w:rStyle w:val="default"/>
          <w:rFonts w:cs="FrankRuehl"/>
          <w:rtl/>
        </w:rPr>
      </w:pPr>
      <w:r>
        <w:rPr>
          <w:rStyle w:val="default"/>
          <w:rFonts w:cs="FrankRuehl" w:hint="cs"/>
          <w:rtl/>
        </w:rPr>
        <w:t>(</w:t>
      </w:r>
      <w:r>
        <w:rPr>
          <w:rStyle w:val="default"/>
          <w:rFonts w:cs="FrankRuehl"/>
          <w:rtl/>
        </w:rPr>
        <w:t>4)</w:t>
      </w:r>
      <w:r>
        <w:rPr>
          <w:rStyle w:val="default"/>
          <w:rFonts w:cs="FrankRuehl"/>
          <w:rtl/>
        </w:rPr>
        <w:tab/>
        <w:t>ב</w:t>
      </w:r>
      <w:r>
        <w:rPr>
          <w:rStyle w:val="default"/>
          <w:rFonts w:cs="FrankRuehl" w:hint="cs"/>
          <w:rtl/>
        </w:rPr>
        <w:t>ריחה מבית הסוהר או חזרה אליו שלא במועד;</w:t>
      </w:r>
    </w:p>
    <w:p w14:paraId="60D50DE6" w14:textId="77777777" w:rsidR="00B83183" w:rsidRDefault="00B83183">
      <w:pPr>
        <w:pStyle w:val="P33"/>
        <w:spacing w:before="72"/>
        <w:ind w:left="1474" w:right="1134"/>
        <w:rPr>
          <w:rStyle w:val="default"/>
          <w:rFonts w:cs="FrankRuehl"/>
          <w:rtl/>
        </w:rPr>
      </w:pPr>
      <w:r>
        <w:rPr>
          <w:rStyle w:val="default"/>
          <w:rFonts w:cs="FrankRuehl" w:hint="cs"/>
          <w:rtl/>
        </w:rPr>
        <w:t>(5)</w:t>
      </w:r>
      <w:r>
        <w:rPr>
          <w:rStyle w:val="default"/>
          <w:rFonts w:cs="FrankRuehl"/>
          <w:rtl/>
        </w:rPr>
        <w:tab/>
        <w:t>ש</w:t>
      </w:r>
      <w:r>
        <w:rPr>
          <w:rStyle w:val="default"/>
          <w:rFonts w:cs="FrankRuehl" w:hint="cs"/>
          <w:rtl/>
        </w:rPr>
        <w:t>ימוש בסם מסוכן, כהגדרתו בפקודת הסמים המסוכנים [נוסח חדש], תשל"ג-</w:t>
      </w:r>
      <w:r>
        <w:rPr>
          <w:rStyle w:val="default"/>
          <w:rFonts w:cs="FrankRuehl"/>
          <w:rtl/>
        </w:rPr>
        <w:t>1973 (</w:t>
      </w:r>
      <w:r>
        <w:rPr>
          <w:rStyle w:val="default"/>
          <w:rFonts w:cs="FrankRuehl" w:hint="cs"/>
          <w:rtl/>
        </w:rPr>
        <w:t>להלן -</w:t>
      </w:r>
      <w:r>
        <w:rPr>
          <w:rStyle w:val="default"/>
          <w:rFonts w:cs="FrankRuehl"/>
          <w:rtl/>
        </w:rPr>
        <w:t xml:space="preserve"> </w:t>
      </w:r>
      <w:r>
        <w:rPr>
          <w:rStyle w:val="default"/>
          <w:rFonts w:cs="FrankRuehl" w:hint="cs"/>
          <w:rtl/>
        </w:rPr>
        <w:t>סם מסוכן);</w:t>
      </w:r>
    </w:p>
    <w:p w14:paraId="68830B37" w14:textId="77777777" w:rsidR="00B83183" w:rsidRDefault="00B83183">
      <w:pPr>
        <w:pStyle w:val="P33"/>
        <w:spacing w:before="72"/>
        <w:ind w:left="1474" w:right="1134"/>
        <w:rPr>
          <w:rStyle w:val="default"/>
          <w:rFonts w:cs="FrankRuehl"/>
          <w:rtl/>
        </w:rPr>
      </w:pPr>
      <w:r>
        <w:rPr>
          <w:rStyle w:val="default"/>
          <w:rFonts w:cs="FrankRuehl" w:hint="cs"/>
          <w:rtl/>
        </w:rPr>
        <w:t>(6)</w:t>
      </w:r>
      <w:r>
        <w:rPr>
          <w:rStyle w:val="default"/>
          <w:rFonts w:cs="FrankRuehl"/>
          <w:rtl/>
        </w:rPr>
        <w:tab/>
        <w:t>ה</w:t>
      </w:r>
      <w:r>
        <w:rPr>
          <w:rStyle w:val="default"/>
          <w:rFonts w:cs="FrankRuehl" w:hint="cs"/>
          <w:rtl/>
        </w:rPr>
        <w:t>תנהגות טובה של האסיר במהלך תקופת המאסר;</w:t>
      </w:r>
    </w:p>
    <w:p w14:paraId="065234F2" w14:textId="77777777" w:rsidR="00B83183" w:rsidRDefault="00B83183">
      <w:pPr>
        <w:pStyle w:val="P33"/>
        <w:spacing w:before="72"/>
        <w:ind w:left="1474" w:right="1134"/>
        <w:rPr>
          <w:rStyle w:val="default"/>
          <w:rFonts w:cs="FrankRuehl"/>
          <w:rtl/>
        </w:rPr>
      </w:pPr>
      <w:r>
        <w:rPr>
          <w:rStyle w:val="default"/>
          <w:rFonts w:cs="FrankRuehl" w:hint="cs"/>
          <w:rtl/>
        </w:rPr>
        <w:t>(7)</w:t>
      </w:r>
      <w:r>
        <w:rPr>
          <w:rStyle w:val="default"/>
          <w:rFonts w:cs="FrankRuehl"/>
          <w:rtl/>
        </w:rPr>
        <w:tab/>
        <w:t>ג</w:t>
      </w:r>
      <w:r>
        <w:rPr>
          <w:rStyle w:val="default"/>
          <w:rFonts w:cs="FrankRuehl" w:hint="cs"/>
          <w:rtl/>
        </w:rPr>
        <w:t>מילה משימוש בסם מסוכן;</w:t>
      </w:r>
    </w:p>
    <w:p w14:paraId="1AC5D3F9" w14:textId="77777777" w:rsidR="00B83183" w:rsidRDefault="00B83183">
      <w:pPr>
        <w:pStyle w:val="P33"/>
        <w:spacing w:before="72"/>
        <w:ind w:left="1474" w:right="1134"/>
        <w:rPr>
          <w:rStyle w:val="default"/>
          <w:rFonts w:cs="FrankRuehl"/>
          <w:rtl/>
        </w:rPr>
      </w:pPr>
      <w:r>
        <w:rPr>
          <w:rStyle w:val="default"/>
          <w:rFonts w:cs="FrankRuehl" w:hint="cs"/>
          <w:rtl/>
        </w:rPr>
        <w:t>(8)</w:t>
      </w:r>
      <w:r>
        <w:rPr>
          <w:rStyle w:val="default"/>
          <w:rFonts w:cs="FrankRuehl"/>
          <w:rtl/>
        </w:rPr>
        <w:tab/>
        <w:t>ג</w:t>
      </w:r>
      <w:r>
        <w:rPr>
          <w:rStyle w:val="default"/>
          <w:rFonts w:cs="FrankRuehl" w:hint="cs"/>
          <w:rtl/>
        </w:rPr>
        <w:t>ילוי יחס חיובי מצד האסיר לעבודה ולצעדים ש</w:t>
      </w:r>
      <w:r>
        <w:rPr>
          <w:rStyle w:val="default"/>
          <w:rFonts w:cs="FrankRuehl"/>
          <w:rtl/>
        </w:rPr>
        <w:t>ננ</w:t>
      </w:r>
      <w:r>
        <w:rPr>
          <w:rStyle w:val="default"/>
          <w:rFonts w:cs="FrankRuehl" w:hint="cs"/>
          <w:rtl/>
        </w:rPr>
        <w:t>קטו לשם שיקומו;</w:t>
      </w:r>
    </w:p>
    <w:p w14:paraId="3261C9CE" w14:textId="77777777" w:rsidR="00B83183" w:rsidRDefault="00B83183">
      <w:pPr>
        <w:pStyle w:val="P22"/>
        <w:spacing w:before="72"/>
        <w:ind w:left="1021" w:right="1134"/>
        <w:rPr>
          <w:rStyle w:val="default"/>
          <w:rFonts w:cs="FrankRuehl"/>
          <w:rtl/>
        </w:rPr>
      </w:pPr>
      <w:r>
        <w:rPr>
          <w:rStyle w:val="default"/>
          <w:rFonts w:cs="FrankRuehl"/>
          <w:rtl/>
        </w:rPr>
        <w:t>(ז</w:t>
      </w:r>
      <w:r>
        <w:rPr>
          <w:rStyle w:val="default"/>
          <w:rFonts w:cs="FrankRuehl" w:hint="cs"/>
          <w:rtl/>
        </w:rPr>
        <w:t>)</w:t>
      </w:r>
      <w:r>
        <w:rPr>
          <w:rStyle w:val="default"/>
          <w:rFonts w:cs="FrankRuehl"/>
          <w:rtl/>
        </w:rPr>
        <w:tab/>
        <w:t>ח</w:t>
      </w:r>
      <w:r>
        <w:rPr>
          <w:rStyle w:val="default"/>
          <w:rFonts w:cs="FrankRuehl" w:hint="cs"/>
          <w:rtl/>
        </w:rPr>
        <w:t>וות דעת על האסיר שנתנו שירות בתי הסוהר, משטרת ישראל או רשויות הביטחון; במקרים המתאימים, גם חוות דעת מקצועיות, ובין השאר בנושא גילוי עריות, אלימות במשפחה ובריאות הנפש;</w:t>
      </w:r>
    </w:p>
    <w:p w14:paraId="6C87AF36" w14:textId="77777777" w:rsidR="00B83183" w:rsidRDefault="00B83183">
      <w:pPr>
        <w:pStyle w:val="P22"/>
        <w:spacing w:before="72"/>
        <w:ind w:left="1021" w:right="1134"/>
        <w:rPr>
          <w:rStyle w:val="default"/>
          <w:rFonts w:cs="FrankRuehl"/>
          <w:rtl/>
        </w:rPr>
      </w:pPr>
      <w:r>
        <w:rPr>
          <w:rStyle w:val="default"/>
          <w:rFonts w:cs="FrankRuehl"/>
          <w:rtl/>
        </w:rPr>
        <w:t>(ח</w:t>
      </w:r>
      <w:r>
        <w:rPr>
          <w:rStyle w:val="default"/>
          <w:rFonts w:cs="FrankRuehl" w:hint="cs"/>
          <w:rtl/>
        </w:rPr>
        <w:t>)</w:t>
      </w:r>
      <w:r>
        <w:rPr>
          <w:rStyle w:val="default"/>
          <w:rFonts w:cs="FrankRuehl"/>
          <w:rtl/>
        </w:rPr>
        <w:tab/>
        <w:t>ח</w:t>
      </w:r>
      <w:r>
        <w:rPr>
          <w:rStyle w:val="default"/>
          <w:rFonts w:cs="FrankRuehl" w:hint="cs"/>
          <w:rtl/>
        </w:rPr>
        <w:t>וות דעת של הרשות לשיקום האסיר, אם</w:t>
      </w:r>
      <w:r>
        <w:rPr>
          <w:rStyle w:val="default"/>
          <w:rFonts w:cs="FrankRuehl"/>
          <w:rtl/>
        </w:rPr>
        <w:t xml:space="preserve"> נ</w:t>
      </w:r>
      <w:r>
        <w:rPr>
          <w:rStyle w:val="default"/>
          <w:rFonts w:cs="FrankRuehl" w:hint="cs"/>
          <w:rtl/>
        </w:rPr>
        <w:t>יתנה, לענין שחרור מוקדם של האסיר ובכלל זה אחת מאלה:</w:t>
      </w:r>
    </w:p>
    <w:p w14:paraId="2C59A07B" w14:textId="77777777" w:rsidR="00B83183" w:rsidRDefault="00B83183">
      <w:pPr>
        <w:pStyle w:val="P33"/>
        <w:spacing w:before="72"/>
        <w:ind w:left="1474" w:right="1134"/>
        <w:rPr>
          <w:rStyle w:val="default"/>
          <w:rFonts w:cs="FrankRuehl"/>
          <w:rtl/>
        </w:rPr>
      </w:pPr>
      <w:r>
        <w:rPr>
          <w:rStyle w:val="default"/>
          <w:rFonts w:cs="FrankRuehl"/>
          <w:rtl/>
        </w:rPr>
        <w:t>(1)</w:t>
      </w:r>
      <w:r>
        <w:rPr>
          <w:rStyle w:val="default"/>
          <w:rFonts w:cs="FrankRuehl"/>
          <w:rtl/>
        </w:rPr>
        <w:tab/>
        <w:t>ח</w:t>
      </w:r>
      <w:r>
        <w:rPr>
          <w:rStyle w:val="default"/>
          <w:rFonts w:cs="FrankRuehl" w:hint="cs"/>
          <w:rtl/>
        </w:rPr>
        <w:t>וות דעת הכוללת תכנית לשיקומו של האסיר, אפשרויות השתלבותו בעבודה סדירה או בתכנית טיפולית; לענין זה תובא בחשבון גם מידת הפיקוח על התכנית המוצעת על ידי הרשות לשיקום האסיר;</w:t>
      </w:r>
    </w:p>
    <w:p w14:paraId="056E5DE3" w14:textId="77777777" w:rsidR="00B83183" w:rsidRDefault="00B83183">
      <w:pPr>
        <w:pStyle w:val="P33"/>
        <w:spacing w:before="72"/>
        <w:ind w:left="1474" w:right="1134"/>
        <w:rPr>
          <w:rStyle w:val="default"/>
          <w:rFonts w:cs="FrankRuehl"/>
          <w:rtl/>
        </w:rPr>
      </w:pPr>
      <w:r>
        <w:rPr>
          <w:rStyle w:val="default"/>
          <w:rFonts w:cs="FrankRuehl" w:hint="cs"/>
          <w:rtl/>
        </w:rPr>
        <w:t>(2)</w:t>
      </w:r>
      <w:r>
        <w:rPr>
          <w:rStyle w:val="default"/>
          <w:rFonts w:cs="FrankRuehl"/>
          <w:rtl/>
        </w:rPr>
        <w:tab/>
        <w:t>ח</w:t>
      </w:r>
      <w:r>
        <w:rPr>
          <w:rStyle w:val="default"/>
          <w:rFonts w:cs="FrankRuehl" w:hint="cs"/>
          <w:rtl/>
        </w:rPr>
        <w:t>וות דעת שלפיה אין האסיר</w:t>
      </w:r>
      <w:r>
        <w:rPr>
          <w:rStyle w:val="default"/>
          <w:rFonts w:cs="FrankRuehl"/>
          <w:rtl/>
        </w:rPr>
        <w:t xml:space="preserve"> ז</w:t>
      </w:r>
      <w:r>
        <w:rPr>
          <w:rStyle w:val="default"/>
          <w:rFonts w:cs="FrankRuehl" w:hint="cs"/>
          <w:rtl/>
        </w:rPr>
        <w:t>קוק לתכנית שיקום ושאין האסיר מגלה דפוסי התנהגות עבריינית;</w:t>
      </w:r>
    </w:p>
    <w:p w14:paraId="761480B6" w14:textId="77777777" w:rsidR="00B83183" w:rsidRDefault="00B83183">
      <w:pPr>
        <w:pStyle w:val="P33"/>
        <w:spacing w:before="72"/>
        <w:ind w:left="1474" w:right="1134"/>
        <w:rPr>
          <w:rStyle w:val="default"/>
          <w:rFonts w:cs="FrankRuehl"/>
          <w:rtl/>
        </w:rPr>
      </w:pPr>
      <w:r>
        <w:rPr>
          <w:rStyle w:val="default"/>
          <w:rFonts w:cs="FrankRuehl" w:hint="cs"/>
          <w:rtl/>
        </w:rPr>
        <w:t>(3)</w:t>
      </w:r>
      <w:r>
        <w:rPr>
          <w:rStyle w:val="default"/>
          <w:rFonts w:cs="FrankRuehl"/>
          <w:rtl/>
        </w:rPr>
        <w:tab/>
        <w:t>ח</w:t>
      </w:r>
      <w:r>
        <w:rPr>
          <w:rStyle w:val="default"/>
          <w:rFonts w:cs="FrankRuehl" w:hint="cs"/>
          <w:rtl/>
        </w:rPr>
        <w:t>וות דעת שאין האסיר ראוי לשחרור מוקדם.</w:t>
      </w:r>
    </w:p>
    <w:p w14:paraId="0B9ACF9D" w14:textId="77777777" w:rsidR="00B83183" w:rsidRDefault="00B83183">
      <w:pPr>
        <w:pStyle w:val="P33"/>
        <w:spacing w:before="72"/>
        <w:ind w:left="1474" w:right="1134"/>
        <w:rPr>
          <w:rStyle w:val="default"/>
          <w:rFonts w:cs="FrankRuehl"/>
          <w:rtl/>
        </w:rPr>
      </w:pPr>
      <w:r>
        <w:rPr>
          <w:rStyle w:val="default"/>
          <w:rFonts w:cs="FrankRuehl" w:hint="cs"/>
          <w:rtl/>
        </w:rPr>
        <w:lastRenderedPageBreak/>
        <w:t>ל</w:t>
      </w:r>
      <w:r>
        <w:rPr>
          <w:rStyle w:val="default"/>
          <w:rFonts w:cs="FrankRuehl"/>
          <w:rtl/>
        </w:rPr>
        <w:t>ח</w:t>
      </w:r>
      <w:r>
        <w:rPr>
          <w:rStyle w:val="default"/>
          <w:rFonts w:cs="FrankRuehl" w:hint="cs"/>
          <w:rtl/>
        </w:rPr>
        <w:t>וות דעת של הרשות לשיקום האסיר יינתן משקל גדול יותר ככל שחלק מעונש המאסר שנשא האסיר קטן יותר.</w:t>
      </w:r>
    </w:p>
    <w:p w14:paraId="4D1B7980" w14:textId="77777777" w:rsidR="00B83183" w:rsidRDefault="00B83183">
      <w:pPr>
        <w:pStyle w:val="P22"/>
        <w:spacing w:before="72"/>
        <w:ind w:left="1021" w:right="1134"/>
        <w:rPr>
          <w:rStyle w:val="default"/>
          <w:rFonts w:cs="FrankRuehl"/>
          <w:rtl/>
        </w:rPr>
      </w:pPr>
      <w:r>
        <w:rPr>
          <w:rStyle w:val="default"/>
          <w:rFonts w:cs="FrankRuehl"/>
          <w:rtl/>
        </w:rPr>
        <w:t>(ט</w:t>
      </w:r>
      <w:r>
        <w:rPr>
          <w:rStyle w:val="default"/>
          <w:rFonts w:cs="FrankRuehl" w:hint="cs"/>
          <w:rtl/>
        </w:rPr>
        <w:t>)</w:t>
      </w:r>
      <w:r>
        <w:rPr>
          <w:rStyle w:val="default"/>
          <w:rFonts w:cs="FrankRuehl"/>
          <w:rtl/>
        </w:rPr>
        <w:tab/>
        <w:t>נ</w:t>
      </w:r>
      <w:r>
        <w:rPr>
          <w:rStyle w:val="default"/>
          <w:rFonts w:cs="FrankRuehl" w:hint="cs"/>
          <w:rtl/>
        </w:rPr>
        <w:t>תונים אישיים של האסיר, לרבות גילו ומצבו המשפחתי.</w:t>
      </w:r>
    </w:p>
    <w:p w14:paraId="3210F792" w14:textId="77777777" w:rsidR="00B83183" w:rsidRDefault="00B83183">
      <w:pPr>
        <w:pStyle w:val="P11"/>
        <w:spacing w:before="72"/>
        <w:ind w:left="62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ב</w:t>
      </w:r>
      <w:r>
        <w:rPr>
          <w:rStyle w:val="default"/>
          <w:rFonts w:cs="FrankRuehl"/>
          <w:rtl/>
        </w:rPr>
        <w:t>מ</w:t>
      </w:r>
      <w:r>
        <w:rPr>
          <w:rStyle w:val="default"/>
          <w:rFonts w:cs="FrankRuehl" w:hint="cs"/>
          <w:rtl/>
        </w:rPr>
        <w:t>קרים בעלי חומרה ובנסיבות מיוחדות שבהם סברה ועדת השחרורים כי שחרורו של האסיר ברישיון יפגע במידה חמורה באמון הציבור במערכת המשפט ואכיפת החוק ובהרתעת הרבים, משנוצר יחס בלתי סביר בין חומרת העבירה ונסיבותיה לבין תקופת המאסר שיישא האסיר בפועל, אם ישוחרר, רשאי</w:t>
      </w:r>
      <w:r>
        <w:rPr>
          <w:rStyle w:val="default"/>
          <w:rFonts w:cs="FrankRuehl"/>
          <w:rtl/>
        </w:rPr>
        <w:t>ת ו</w:t>
      </w:r>
      <w:r>
        <w:rPr>
          <w:rStyle w:val="default"/>
          <w:rFonts w:cs="FrankRuehl" w:hint="cs"/>
          <w:rtl/>
        </w:rPr>
        <w:t>עדת השחרורים להביא בחשבון גם נתונים אלה בהחלטתה, נוסף על הנתונים המפורטים בפסקה (1); משקלם של נתונים אלה בהחלטתה יפחת ככל שיגדל החלק מעונש המאסר שהאסיר כבר נשא.</w:t>
      </w:r>
    </w:p>
    <w:p w14:paraId="4FF66E3C" w14:textId="77777777" w:rsidR="00B83183" w:rsidRDefault="00B83183">
      <w:pPr>
        <w:pStyle w:val="P00"/>
        <w:spacing w:before="72"/>
        <w:ind w:left="0" w:right="1134"/>
        <w:rPr>
          <w:rStyle w:val="default"/>
          <w:rFonts w:cs="FrankRuehl"/>
          <w:rtl/>
        </w:rPr>
      </w:pPr>
    </w:p>
    <w:p w14:paraId="3BEFD79A" w14:textId="77777777" w:rsidR="00B83183" w:rsidRDefault="00B83183">
      <w:pPr>
        <w:pStyle w:val="sig-0"/>
        <w:ind w:left="0" w:right="1134"/>
        <w:rPr>
          <w:rFonts w:cs="FrankRuehl"/>
          <w:sz w:val="26"/>
          <w:rtl/>
        </w:rPr>
      </w:pPr>
      <w:r>
        <w:rPr>
          <w:rFonts w:cs="FrankRuehl"/>
          <w:sz w:val="26"/>
          <w:rtl/>
        </w:rPr>
        <w:t>כ"</w:t>
      </w:r>
      <w:r>
        <w:rPr>
          <w:rFonts w:cs="FrankRuehl" w:hint="cs"/>
          <w:sz w:val="26"/>
          <w:rtl/>
        </w:rPr>
        <w:t>ו בניסן תשס"א (19 באפריל 2001)</w:t>
      </w:r>
      <w:r>
        <w:rPr>
          <w:rFonts w:cs="FrankRuehl"/>
          <w:sz w:val="26"/>
          <w:rtl/>
        </w:rPr>
        <w:tab/>
        <w:t>ע</w:t>
      </w:r>
      <w:r>
        <w:rPr>
          <w:rFonts w:cs="FrankRuehl" w:hint="cs"/>
          <w:sz w:val="26"/>
          <w:rtl/>
        </w:rPr>
        <w:t>וזי לנדאו</w:t>
      </w:r>
    </w:p>
    <w:p w14:paraId="7B2F06AF" w14:textId="77777777" w:rsidR="00B83183" w:rsidRDefault="00B83183">
      <w:pPr>
        <w:pStyle w:val="sig-1"/>
        <w:widowControl/>
        <w:ind w:left="0" w:right="1134"/>
        <w:rPr>
          <w:rFonts w:cs="FrankRuehl"/>
          <w:sz w:val="22"/>
          <w:rtl/>
        </w:rPr>
      </w:pPr>
      <w:r>
        <w:rPr>
          <w:rFonts w:cs="FrankRuehl"/>
          <w:sz w:val="22"/>
          <w:rtl/>
        </w:rPr>
        <w:tab/>
      </w:r>
      <w:r>
        <w:rPr>
          <w:rFonts w:cs="FrankRuehl"/>
          <w:sz w:val="22"/>
          <w:rtl/>
        </w:rPr>
        <w:tab/>
      </w:r>
      <w:r>
        <w:rPr>
          <w:rFonts w:cs="FrankRuehl"/>
          <w:sz w:val="22"/>
          <w:rtl/>
        </w:rPr>
        <w:tab/>
        <w:t>ה</w:t>
      </w:r>
      <w:r>
        <w:rPr>
          <w:rFonts w:cs="FrankRuehl" w:hint="cs"/>
          <w:sz w:val="22"/>
          <w:rtl/>
        </w:rPr>
        <w:t>שר לביטחון הפנים</w:t>
      </w:r>
    </w:p>
    <w:p w14:paraId="56205C50" w14:textId="77777777" w:rsidR="00B83183" w:rsidRDefault="00B83183">
      <w:pPr>
        <w:pStyle w:val="P00"/>
        <w:spacing w:before="72"/>
        <w:ind w:left="0" w:right="1134"/>
        <w:rPr>
          <w:rStyle w:val="default"/>
          <w:rFonts w:cs="FrankRuehl"/>
          <w:rtl/>
        </w:rPr>
      </w:pPr>
    </w:p>
    <w:p w14:paraId="328242E7" w14:textId="77777777" w:rsidR="00B83183" w:rsidRDefault="00B83183">
      <w:pPr>
        <w:pStyle w:val="P00"/>
        <w:spacing w:before="72"/>
        <w:ind w:left="0" w:right="1134"/>
        <w:rPr>
          <w:rStyle w:val="default"/>
          <w:rFonts w:cs="FrankRuehl"/>
          <w:rtl/>
        </w:rPr>
      </w:pPr>
    </w:p>
    <w:p w14:paraId="4A4D6997" w14:textId="77777777" w:rsidR="00B83183" w:rsidRDefault="00B83183">
      <w:pPr>
        <w:pStyle w:val="P00"/>
        <w:spacing w:before="72"/>
        <w:ind w:left="0" w:right="1134"/>
        <w:rPr>
          <w:rStyle w:val="default"/>
          <w:rFonts w:cs="FrankRuehl"/>
          <w:rtl/>
        </w:rPr>
      </w:pPr>
      <w:bookmarkStart w:id="1" w:name="LawPartEnd"/>
    </w:p>
    <w:bookmarkEnd w:id="1"/>
    <w:p w14:paraId="16D89F3F" w14:textId="77777777" w:rsidR="00B83183" w:rsidRDefault="00B83183">
      <w:pPr>
        <w:pStyle w:val="P00"/>
        <w:spacing w:before="72"/>
        <w:ind w:left="0" w:right="1134"/>
        <w:rPr>
          <w:rStyle w:val="default"/>
          <w:rFonts w:cs="FrankRuehl"/>
          <w:rtl/>
        </w:rPr>
      </w:pPr>
    </w:p>
    <w:sectPr w:rsidR="00B83183">
      <w:headerReference w:type="even" r:id="rId6"/>
      <w:headerReference w:type="default" r:id="rId7"/>
      <w:footerReference w:type="even" r:id="rId8"/>
      <w:footerReference w:type="default" r:id="rId9"/>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B8BFB3" w14:textId="77777777" w:rsidR="009B1C23" w:rsidRDefault="009B1C23">
      <w:r>
        <w:separator/>
      </w:r>
    </w:p>
  </w:endnote>
  <w:endnote w:type="continuationSeparator" w:id="0">
    <w:p w14:paraId="13BA0096" w14:textId="77777777" w:rsidR="009B1C23" w:rsidRDefault="009B1C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D1E78E" w14:textId="77777777" w:rsidR="00B83183" w:rsidRDefault="00B83183">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4CAD16C4" w14:textId="77777777" w:rsidR="00B83183" w:rsidRDefault="00B83183">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274F316D" w14:textId="77777777" w:rsidR="00B83183" w:rsidRDefault="00B83183">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C:\Yael\hakika\Revadim\073_058.doc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3DDDB6" w14:textId="77777777" w:rsidR="00B83183" w:rsidRDefault="00B83183">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9B25E3">
      <w:rPr>
        <w:rFonts w:hAnsi="FrankRuehl" w:cs="FrankRuehl"/>
        <w:noProof/>
        <w:sz w:val="24"/>
        <w:szCs w:val="24"/>
        <w:rtl/>
      </w:rPr>
      <w:t>2</w:t>
    </w:r>
    <w:r>
      <w:rPr>
        <w:rFonts w:hAnsi="FrankRuehl" w:cs="FrankRuehl"/>
        <w:sz w:val="24"/>
        <w:szCs w:val="24"/>
        <w:rtl/>
      </w:rPr>
      <w:fldChar w:fldCharType="end"/>
    </w:r>
  </w:p>
  <w:p w14:paraId="686F679B" w14:textId="77777777" w:rsidR="00B83183" w:rsidRDefault="00B83183">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14E69302" w14:textId="77777777" w:rsidR="00B83183" w:rsidRDefault="00B83183">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C:\Yael\hakika\Revadim\073_058.doc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F7DE4A" w14:textId="77777777" w:rsidR="009B1C23" w:rsidRDefault="009B1C23">
      <w:pPr>
        <w:spacing w:before="60" w:line="240" w:lineRule="auto"/>
        <w:ind w:right="1134"/>
      </w:pPr>
      <w:r>
        <w:separator/>
      </w:r>
    </w:p>
  </w:footnote>
  <w:footnote w:type="continuationSeparator" w:id="0">
    <w:p w14:paraId="46EA40CE" w14:textId="77777777" w:rsidR="009B1C23" w:rsidRDefault="009B1C23">
      <w:r>
        <w:continuationSeparator/>
      </w:r>
    </w:p>
  </w:footnote>
  <w:footnote w:id="1">
    <w:p w14:paraId="50546D3A" w14:textId="77777777" w:rsidR="00B83183" w:rsidRDefault="00B8318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w:t>
      </w:r>
      <w:r>
        <w:rPr>
          <w:rFonts w:cs="FrankRuehl"/>
          <w:rtl/>
        </w:rPr>
        <w:t>פו</w:t>
      </w:r>
      <w:r>
        <w:rPr>
          <w:rFonts w:cs="FrankRuehl" w:hint="cs"/>
          <w:rtl/>
        </w:rPr>
        <w:t xml:space="preserve">רסמו </w:t>
      </w:r>
      <w:hyperlink r:id="rId1" w:history="1">
        <w:r>
          <w:rPr>
            <w:rStyle w:val="Hyperlink"/>
            <w:rFonts w:cs="FrankRuehl" w:hint="cs"/>
            <w:rtl/>
          </w:rPr>
          <w:t>ק"ת תשס"א מס' 6103</w:t>
        </w:r>
      </w:hyperlink>
      <w:r>
        <w:rPr>
          <w:rFonts w:cs="FrankRuehl" w:hint="cs"/>
          <w:rtl/>
        </w:rPr>
        <w:t xml:space="preserve"> מיום 3.5.2</w:t>
      </w:r>
      <w:r>
        <w:rPr>
          <w:rFonts w:cs="FrankRuehl"/>
          <w:rtl/>
        </w:rPr>
        <w:t>001 ע</w:t>
      </w:r>
      <w:r>
        <w:rPr>
          <w:rFonts w:cs="FrankRuehl" w:hint="cs"/>
          <w:rtl/>
        </w:rPr>
        <w:t>מ' 768.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EAACE" w14:textId="77777777" w:rsidR="00B83183" w:rsidRDefault="00B83183">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העונשין (נתונים לצורך החלטת ועדת שחרורים), תשס"א–2001</w:t>
    </w:r>
  </w:p>
  <w:p w14:paraId="1F3B962D" w14:textId="77777777" w:rsidR="00B83183" w:rsidRDefault="00B83183">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4BFD0135" w14:textId="77777777" w:rsidR="00B83183" w:rsidRDefault="00B83183">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B8972D" w14:textId="77777777" w:rsidR="00B83183" w:rsidRDefault="00B83183">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העונשין (נתונים לצורך החלטת ועדת שחרורים), תשס"א</w:t>
    </w:r>
    <w:r>
      <w:rPr>
        <w:rFonts w:hAnsi="FrankRuehl" w:cs="FrankRuehl" w:hint="cs"/>
        <w:color w:val="000000"/>
        <w:sz w:val="28"/>
        <w:szCs w:val="28"/>
        <w:rtl/>
      </w:rPr>
      <w:t>-</w:t>
    </w:r>
    <w:r>
      <w:rPr>
        <w:rFonts w:hAnsi="FrankRuehl" w:cs="FrankRuehl"/>
        <w:color w:val="000000"/>
        <w:sz w:val="28"/>
        <w:szCs w:val="28"/>
        <w:rtl/>
      </w:rPr>
      <w:t>2001</w:t>
    </w:r>
  </w:p>
  <w:p w14:paraId="798C71C3" w14:textId="77777777" w:rsidR="00B83183" w:rsidRDefault="00B83183">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1BF52C92" w14:textId="77777777" w:rsidR="00B83183" w:rsidRDefault="00B83183">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83183"/>
    <w:rsid w:val="004F66EC"/>
    <w:rsid w:val="006342DE"/>
    <w:rsid w:val="009B1C23"/>
    <w:rsid w:val="009B25E3"/>
    <w:rsid w:val="00B83183"/>
    <w:rsid w:val="00DA1DC8"/>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1BFB2487"/>
  <w15:chartTrackingRefBased/>
  <w15:docId w15:val="{4CEDF161-C8B5-4CEE-830B-983E8F14C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character" w:customStyle="1" w:styleId="default">
    <w:name w:val="default"/>
    <w:basedOn w:val="a0"/>
    <w:rPr>
      <w:rFonts w:ascii="Times New Roman" w:hAnsi="Times New Roman" w:cs="Times New Roman"/>
      <w:sz w:val="26"/>
      <w:szCs w:val="26"/>
    </w:rPr>
  </w:style>
  <w:style w:type="character" w:customStyle="1" w:styleId="big-number">
    <w:name w:val="big-number"/>
    <w:basedOn w:val="default"/>
    <w:rPr>
      <w:rFonts w:ascii="Times New Roman" w:hAnsi="Times New Roman" w:cs="Times New Roman"/>
      <w:sz w:val="32"/>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6103.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481</Words>
  <Characters>2747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פרק 73</vt:lpstr>
    </vt:vector>
  </TitlesOfParts>
  <Company/>
  <LinksUpToDate>false</LinksUpToDate>
  <CharactersWithSpaces>3222</CharactersWithSpaces>
  <SharedDoc>false</SharedDoc>
  <HLinks>
    <vt:vector size="12" baseType="variant">
      <vt:variant>
        <vt:i4>196634</vt:i4>
      </vt:variant>
      <vt:variant>
        <vt:i4>3</vt:i4>
      </vt:variant>
      <vt:variant>
        <vt:i4>0</vt:i4>
      </vt:variant>
      <vt:variant>
        <vt:i4>5</vt:i4>
      </vt:variant>
      <vt:variant>
        <vt:lpwstr/>
      </vt:variant>
      <vt:variant>
        <vt:lpwstr>Seif0</vt:lpwstr>
      </vt:variant>
      <vt:variant>
        <vt:i4>8323082</vt:i4>
      </vt:variant>
      <vt:variant>
        <vt:i4>0</vt:i4>
      </vt:variant>
      <vt:variant>
        <vt:i4>0</vt:i4>
      </vt:variant>
      <vt:variant>
        <vt:i4>5</vt:i4>
      </vt:variant>
      <vt:variant>
        <vt:lpwstr>http://www.nevo.co.il/Law_word/law06/TAK-6103.pdf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73</dc:title>
  <dc:subject/>
  <dc:creator>eli</dc:creator>
  <cp:keywords/>
  <dc:description/>
  <cp:lastModifiedBy>Shimon Doodkin</cp:lastModifiedBy>
  <cp:revision>2</cp:revision>
  <dcterms:created xsi:type="dcterms:W3CDTF">2023-06-05T20:24:00Z</dcterms:created>
  <dcterms:modified xsi:type="dcterms:W3CDTF">2023-06-05T20:24:00Z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0073</vt:lpwstr>
  </property>
  <property fmtid="{D5CDD505-2E9C-101B-9397-08002B2CF9AE}" pid="3" name="CHNAME">
    <vt:lpwstr>דיני עונשין</vt:lpwstr>
  </property>
  <property fmtid="{D5CDD505-2E9C-101B-9397-08002B2CF9AE}" pid="4" name="LAWNAME">
    <vt:lpwstr>תקנות העונשין (נתונים לצורך החלטת ועדת שחרורים), תשס"א-2001</vt:lpwstr>
  </property>
  <property fmtid="{D5CDD505-2E9C-101B-9397-08002B2CF9AE}" pid="5" name="LAWNUMBER">
    <vt:lpwstr>0058</vt:lpwstr>
  </property>
  <property fmtid="{D5CDD505-2E9C-101B-9397-08002B2CF9AE}" pid="6" name="TYPE">
    <vt:lpwstr>01</vt:lpwstr>
  </property>
  <property fmtid="{D5CDD505-2E9C-101B-9397-08002B2CF9AE}" pid="7" name="MEKOR_NAME1">
    <vt:lpwstr>חוק העונשין</vt:lpwstr>
  </property>
  <property fmtid="{D5CDD505-2E9C-101B-9397-08002B2CF9AE}" pid="8" name="MEKOR_SAIF1">
    <vt:lpwstr>51XוX</vt:lpwstr>
  </property>
  <property fmtid="{D5CDD505-2E9C-101B-9397-08002B2CF9AE}" pid="9" name="NOSE11">
    <vt:lpwstr>עונשין ומשפט פלילי</vt:lpwstr>
  </property>
  <property fmtid="{D5CDD505-2E9C-101B-9397-08002B2CF9AE}" pid="10" name="NOSE21">
    <vt:lpwstr>ענישה, מאסר ומעצר</vt:lpwstr>
  </property>
  <property fmtid="{D5CDD505-2E9C-101B-9397-08002B2CF9AE}" pid="11" name="NOSE31">
    <vt:lpwstr>שחרור וועדת שחרורים</vt:lpwstr>
  </property>
  <property fmtid="{D5CDD505-2E9C-101B-9397-08002B2CF9AE}" pid="12" name="NOSE41">
    <vt:lpwstr/>
  </property>
  <property fmtid="{D5CDD505-2E9C-101B-9397-08002B2CF9AE}" pid="13" name="NOSE12">
    <vt:lpwstr/>
  </property>
  <property fmtid="{D5CDD505-2E9C-101B-9397-08002B2CF9AE}" pid="14" name="NOSE22">
    <vt:lpwstr/>
  </property>
  <property fmtid="{D5CDD505-2E9C-101B-9397-08002B2CF9AE}" pid="15" name="NOSE32">
    <vt:lpwstr/>
  </property>
  <property fmtid="{D5CDD505-2E9C-101B-9397-08002B2CF9AE}" pid="16" name="NOSE42">
    <vt:lpwstr/>
  </property>
  <property fmtid="{D5CDD505-2E9C-101B-9397-08002B2CF9AE}" pid="17" name="NOSE13">
    <vt:lpwstr/>
  </property>
  <property fmtid="{D5CDD505-2E9C-101B-9397-08002B2CF9AE}" pid="18" name="NOSE23">
    <vt:lpwstr/>
  </property>
  <property fmtid="{D5CDD505-2E9C-101B-9397-08002B2CF9AE}" pid="19" name="NOSE33">
    <vt:lpwstr/>
  </property>
  <property fmtid="{D5CDD505-2E9C-101B-9397-08002B2CF9AE}" pid="20" name="NOSE43">
    <vt:lpwstr/>
  </property>
  <property fmtid="{D5CDD505-2E9C-101B-9397-08002B2CF9AE}" pid="21" name="NOSE14">
    <vt:lpwstr/>
  </property>
  <property fmtid="{D5CDD505-2E9C-101B-9397-08002B2CF9AE}" pid="22" name="NOSE24">
    <vt:lpwstr/>
  </property>
  <property fmtid="{D5CDD505-2E9C-101B-9397-08002B2CF9AE}" pid="23" name="NOSE34">
    <vt:lpwstr/>
  </property>
  <property fmtid="{D5CDD505-2E9C-101B-9397-08002B2CF9AE}" pid="24" name="NOSE44">
    <vt:lpwstr/>
  </property>
  <property fmtid="{D5CDD505-2E9C-101B-9397-08002B2CF9AE}" pid="25" name="NOSE15">
    <vt:lpwstr/>
  </property>
  <property fmtid="{D5CDD505-2E9C-101B-9397-08002B2CF9AE}" pid="26" name="NOSE25">
    <vt:lpwstr/>
  </property>
  <property fmtid="{D5CDD505-2E9C-101B-9397-08002B2CF9AE}" pid="27" name="NOSE35">
    <vt:lpwstr/>
  </property>
  <property fmtid="{D5CDD505-2E9C-101B-9397-08002B2CF9AE}" pid="28" name="NOSE45">
    <vt:lpwstr/>
  </property>
  <property fmtid="{D5CDD505-2E9C-101B-9397-08002B2CF9AE}" pid="29" name="NOSE16">
    <vt:lpwstr/>
  </property>
  <property fmtid="{D5CDD505-2E9C-101B-9397-08002B2CF9AE}" pid="30" name="NOSE26">
    <vt:lpwstr/>
  </property>
  <property fmtid="{D5CDD505-2E9C-101B-9397-08002B2CF9AE}" pid="31" name="NOSE36">
    <vt:lpwstr/>
  </property>
  <property fmtid="{D5CDD505-2E9C-101B-9397-08002B2CF9AE}" pid="32" name="NOSE46">
    <vt:lpwstr/>
  </property>
  <property fmtid="{D5CDD505-2E9C-101B-9397-08002B2CF9AE}" pid="33" name="NOSE17">
    <vt:lpwstr/>
  </property>
  <property fmtid="{D5CDD505-2E9C-101B-9397-08002B2CF9AE}" pid="34" name="NOSE27">
    <vt:lpwstr/>
  </property>
  <property fmtid="{D5CDD505-2E9C-101B-9397-08002B2CF9AE}" pid="35" name="NOSE37">
    <vt:lpwstr/>
  </property>
  <property fmtid="{D5CDD505-2E9C-101B-9397-08002B2CF9AE}" pid="36" name="NOSE47">
    <vt:lpwstr/>
  </property>
  <property fmtid="{D5CDD505-2E9C-101B-9397-08002B2CF9AE}" pid="37" name="NOSE18">
    <vt:lpwstr/>
  </property>
  <property fmtid="{D5CDD505-2E9C-101B-9397-08002B2CF9AE}" pid="38" name="NOSE28">
    <vt:lpwstr/>
  </property>
  <property fmtid="{D5CDD505-2E9C-101B-9397-08002B2CF9AE}" pid="39" name="NOSE38">
    <vt:lpwstr/>
  </property>
  <property fmtid="{D5CDD505-2E9C-101B-9397-08002B2CF9AE}" pid="40" name="NOSE48">
    <vt:lpwstr/>
  </property>
  <property fmtid="{D5CDD505-2E9C-101B-9397-08002B2CF9AE}" pid="41" name="NOSE19">
    <vt:lpwstr/>
  </property>
  <property fmtid="{D5CDD505-2E9C-101B-9397-08002B2CF9AE}" pid="42" name="NOSE29">
    <vt:lpwstr/>
  </property>
  <property fmtid="{D5CDD505-2E9C-101B-9397-08002B2CF9AE}" pid="43" name="NOSE39">
    <vt:lpwstr/>
  </property>
  <property fmtid="{D5CDD505-2E9C-101B-9397-08002B2CF9AE}" pid="44" name="NOSE49">
    <vt:lpwstr/>
  </property>
  <property fmtid="{D5CDD505-2E9C-101B-9397-08002B2CF9AE}" pid="45" name="NOSE110">
    <vt:lpwstr/>
  </property>
  <property fmtid="{D5CDD505-2E9C-101B-9397-08002B2CF9AE}" pid="46" name="NOSE210">
    <vt:lpwstr/>
  </property>
  <property fmtid="{D5CDD505-2E9C-101B-9397-08002B2CF9AE}" pid="47" name="NOSE310">
    <vt:lpwstr/>
  </property>
  <property fmtid="{D5CDD505-2E9C-101B-9397-08002B2CF9AE}" pid="48" name="NOSE410">
    <vt:lpwstr/>
  </property>
</Properties>
</file>