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7138" w:rsidRDefault="005F7138">
      <w:pPr>
        <w:pStyle w:val="big-header"/>
        <w:ind w:left="0" w:right="1134"/>
        <w:rPr>
          <w:rFonts w:hint="cs"/>
          <w:rtl/>
        </w:rPr>
      </w:pPr>
      <w:r>
        <w:rPr>
          <w:rFonts w:hint="cs"/>
          <w:rtl/>
        </w:rPr>
        <w:t xml:space="preserve">תקנות העיטורים בצבא הגנה לישראל (אות מלחמת ההתשה </w:t>
      </w:r>
      <w:r>
        <w:rPr>
          <w:rtl/>
        </w:rPr>
        <w:t>–</w:t>
      </w:r>
      <w:r>
        <w:rPr>
          <w:rFonts w:hint="cs"/>
          <w:rtl/>
        </w:rPr>
        <w:t xml:space="preserve"> קביעת אזרחים זכאים</w:t>
      </w:r>
      <w:r>
        <w:rPr>
          <w:rtl/>
        </w:rPr>
        <w:t xml:space="preserve">), </w:t>
      </w:r>
      <w:r>
        <w:rPr>
          <w:rFonts w:hint="cs"/>
          <w:rtl/>
        </w:rPr>
        <w:t>תשס"ג-2003</w:t>
      </w:r>
    </w:p>
    <w:p w:rsidR="003D32B6" w:rsidRPr="003D32B6" w:rsidRDefault="003D32B6" w:rsidP="003D32B6">
      <w:pPr>
        <w:spacing w:line="320" w:lineRule="auto"/>
        <w:jc w:val="left"/>
        <w:rPr>
          <w:rFonts w:cs="FrankRuehl"/>
          <w:szCs w:val="26"/>
          <w:rtl/>
        </w:rPr>
      </w:pPr>
    </w:p>
    <w:p w:rsidR="003D32B6" w:rsidRPr="003D32B6" w:rsidRDefault="003D32B6" w:rsidP="003D32B6">
      <w:pPr>
        <w:spacing w:line="320" w:lineRule="auto"/>
        <w:jc w:val="left"/>
        <w:rPr>
          <w:rFonts w:cs="Miriam" w:hint="cs"/>
          <w:szCs w:val="22"/>
          <w:rtl/>
        </w:rPr>
      </w:pPr>
      <w:r w:rsidRPr="003D32B6">
        <w:rPr>
          <w:rFonts w:cs="Miriam"/>
          <w:szCs w:val="22"/>
          <w:rtl/>
        </w:rPr>
        <w:t>בטחון</w:t>
      </w:r>
      <w:r w:rsidRPr="003D32B6">
        <w:rPr>
          <w:rFonts w:cs="FrankRuehl"/>
          <w:szCs w:val="26"/>
          <w:rtl/>
        </w:rPr>
        <w:t xml:space="preserve"> – צה"ל – עיטורים</w:t>
      </w:r>
    </w:p>
    <w:p w:rsidR="005F7138" w:rsidRDefault="005F7138">
      <w:pPr>
        <w:pStyle w:val="big-header"/>
        <w:ind w:left="0" w:right="1134"/>
        <w:rPr>
          <w:rtl/>
        </w:rPr>
      </w:pPr>
      <w:r>
        <w:rPr>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5F7138">
        <w:tblPrEx>
          <w:tblCellMar>
            <w:top w:w="0" w:type="dxa"/>
            <w:bottom w:w="0" w:type="dxa"/>
          </w:tblCellMar>
        </w:tblPrEx>
        <w:trPr>
          <w:jc w:val="right"/>
        </w:trPr>
        <w:tc>
          <w:tcPr>
            <w:tcW w:w="850" w:type="dxa"/>
          </w:tcPr>
          <w:p w:rsidR="005F7138" w:rsidRDefault="005F7138">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Seif0</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rsidR="005F7138" w:rsidRDefault="005F7138">
            <w:pPr>
              <w:spacing w:line="240" w:lineRule="auto"/>
              <w:jc w:val="left"/>
              <w:rPr>
                <w:rFonts w:cs="Frankruhel"/>
                <w:sz w:val="24"/>
              </w:rPr>
            </w:pPr>
            <w:hyperlink w:anchor="Seif0" w:tooltip="הגדרות" w:history="1">
              <w:r>
                <w:rPr>
                  <w:rStyle w:val="Hyperlink"/>
                </w:rPr>
                <w:t>Go</w:t>
              </w:r>
            </w:hyperlink>
          </w:p>
        </w:tc>
        <w:tc>
          <w:tcPr>
            <w:tcW w:w="5669" w:type="dxa"/>
          </w:tcPr>
          <w:p w:rsidR="005F7138" w:rsidRDefault="005F7138">
            <w:pPr>
              <w:spacing w:line="240" w:lineRule="auto"/>
              <w:jc w:val="left"/>
              <w:rPr>
                <w:rFonts w:cs="Frankruhel"/>
                <w:sz w:val="24"/>
                <w:rtl/>
              </w:rPr>
            </w:pPr>
            <w:r>
              <w:rPr>
                <w:rFonts w:cs="Frankruhel"/>
                <w:sz w:val="24"/>
                <w:rtl/>
              </w:rPr>
              <w:t>הגדרות</w:t>
            </w:r>
          </w:p>
        </w:tc>
        <w:tc>
          <w:tcPr>
            <w:tcW w:w="1247" w:type="dxa"/>
          </w:tcPr>
          <w:p w:rsidR="005F7138" w:rsidRDefault="005F7138">
            <w:pPr>
              <w:spacing w:line="240" w:lineRule="auto"/>
              <w:jc w:val="left"/>
              <w:rPr>
                <w:rFonts w:cs="Frankruhel"/>
                <w:sz w:val="24"/>
              </w:rPr>
            </w:pPr>
            <w:r>
              <w:rPr>
                <w:rFonts w:cs="Frankruhel"/>
                <w:sz w:val="24"/>
                <w:rtl/>
              </w:rPr>
              <w:t xml:space="preserve">סעיף 1 </w:t>
            </w:r>
          </w:p>
        </w:tc>
      </w:tr>
      <w:tr w:rsidR="005F7138">
        <w:tblPrEx>
          <w:tblCellMar>
            <w:top w:w="0" w:type="dxa"/>
            <w:bottom w:w="0" w:type="dxa"/>
          </w:tblCellMar>
        </w:tblPrEx>
        <w:trPr>
          <w:jc w:val="right"/>
        </w:trPr>
        <w:tc>
          <w:tcPr>
            <w:tcW w:w="850" w:type="dxa"/>
          </w:tcPr>
          <w:p w:rsidR="005F7138" w:rsidRDefault="005F7138">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Seif1</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rsidR="005F7138" w:rsidRDefault="005F7138">
            <w:pPr>
              <w:spacing w:line="240" w:lineRule="auto"/>
              <w:jc w:val="left"/>
              <w:rPr>
                <w:rFonts w:cs="Frankruhel"/>
                <w:sz w:val="24"/>
              </w:rPr>
            </w:pPr>
            <w:hyperlink w:anchor="Seif1" w:tooltip="אות מערכה אישי לנמנה עם קבוצה" w:history="1">
              <w:r>
                <w:rPr>
                  <w:rStyle w:val="Hyperlink"/>
                </w:rPr>
                <w:t>Go</w:t>
              </w:r>
            </w:hyperlink>
          </w:p>
        </w:tc>
        <w:tc>
          <w:tcPr>
            <w:tcW w:w="5669" w:type="dxa"/>
          </w:tcPr>
          <w:p w:rsidR="005F7138" w:rsidRDefault="005F7138">
            <w:pPr>
              <w:spacing w:line="240" w:lineRule="auto"/>
              <w:jc w:val="left"/>
              <w:rPr>
                <w:rFonts w:cs="Frankruhel"/>
                <w:sz w:val="24"/>
                <w:rtl/>
              </w:rPr>
            </w:pPr>
            <w:r>
              <w:rPr>
                <w:rFonts w:cs="Frankruhel"/>
                <w:sz w:val="24"/>
                <w:rtl/>
              </w:rPr>
              <w:t>אות מערכה אישי לנמנה עם קבוצה</w:t>
            </w:r>
          </w:p>
        </w:tc>
        <w:tc>
          <w:tcPr>
            <w:tcW w:w="1247" w:type="dxa"/>
          </w:tcPr>
          <w:p w:rsidR="005F7138" w:rsidRDefault="005F7138">
            <w:pPr>
              <w:spacing w:line="240" w:lineRule="auto"/>
              <w:jc w:val="left"/>
              <w:rPr>
                <w:rFonts w:cs="Frankruhel"/>
                <w:sz w:val="24"/>
              </w:rPr>
            </w:pPr>
            <w:r>
              <w:rPr>
                <w:rFonts w:cs="Frankruhel"/>
                <w:sz w:val="24"/>
                <w:rtl/>
              </w:rPr>
              <w:t xml:space="preserve">סעיף 2 </w:t>
            </w:r>
          </w:p>
        </w:tc>
      </w:tr>
      <w:tr w:rsidR="005F7138">
        <w:tblPrEx>
          <w:tblCellMar>
            <w:top w:w="0" w:type="dxa"/>
            <w:bottom w:w="0" w:type="dxa"/>
          </w:tblCellMar>
        </w:tblPrEx>
        <w:trPr>
          <w:jc w:val="right"/>
        </w:trPr>
        <w:tc>
          <w:tcPr>
            <w:tcW w:w="850" w:type="dxa"/>
          </w:tcPr>
          <w:p w:rsidR="005F7138" w:rsidRDefault="005F7138">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Seif2</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rsidR="005F7138" w:rsidRDefault="005F7138">
            <w:pPr>
              <w:spacing w:line="240" w:lineRule="auto"/>
              <w:jc w:val="left"/>
              <w:rPr>
                <w:rFonts w:cs="Frankruhel"/>
                <w:sz w:val="24"/>
              </w:rPr>
            </w:pPr>
            <w:hyperlink w:anchor="Seif2" w:tooltip="אות מערכה אישי לבודדים" w:history="1">
              <w:r>
                <w:rPr>
                  <w:rStyle w:val="Hyperlink"/>
                </w:rPr>
                <w:t>Go</w:t>
              </w:r>
            </w:hyperlink>
          </w:p>
        </w:tc>
        <w:tc>
          <w:tcPr>
            <w:tcW w:w="5669" w:type="dxa"/>
          </w:tcPr>
          <w:p w:rsidR="005F7138" w:rsidRDefault="005F7138">
            <w:pPr>
              <w:spacing w:line="240" w:lineRule="auto"/>
              <w:jc w:val="left"/>
              <w:rPr>
                <w:rFonts w:cs="Frankruhel"/>
                <w:sz w:val="24"/>
                <w:rtl/>
              </w:rPr>
            </w:pPr>
            <w:r>
              <w:rPr>
                <w:rFonts w:cs="Frankruhel"/>
                <w:sz w:val="24"/>
                <w:rtl/>
              </w:rPr>
              <w:t>אות מערכה אישי לבודדים</w:t>
            </w:r>
          </w:p>
        </w:tc>
        <w:tc>
          <w:tcPr>
            <w:tcW w:w="1247" w:type="dxa"/>
          </w:tcPr>
          <w:p w:rsidR="005F7138" w:rsidRDefault="005F7138">
            <w:pPr>
              <w:spacing w:line="240" w:lineRule="auto"/>
              <w:jc w:val="left"/>
              <w:rPr>
                <w:rFonts w:cs="Frankruhel"/>
                <w:sz w:val="24"/>
              </w:rPr>
            </w:pPr>
            <w:r>
              <w:rPr>
                <w:rFonts w:cs="Frankruhel"/>
                <w:sz w:val="24"/>
                <w:rtl/>
              </w:rPr>
              <w:t xml:space="preserve">סעיף 3 </w:t>
            </w:r>
          </w:p>
        </w:tc>
      </w:tr>
      <w:tr w:rsidR="005F7138">
        <w:tblPrEx>
          <w:tblCellMar>
            <w:top w:w="0" w:type="dxa"/>
            <w:bottom w:w="0" w:type="dxa"/>
          </w:tblCellMar>
        </w:tblPrEx>
        <w:trPr>
          <w:jc w:val="right"/>
        </w:trPr>
        <w:tc>
          <w:tcPr>
            <w:tcW w:w="850" w:type="dxa"/>
          </w:tcPr>
          <w:p w:rsidR="005F7138" w:rsidRDefault="005F7138">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Seif3</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rsidR="005F7138" w:rsidRDefault="005F7138">
            <w:pPr>
              <w:spacing w:line="240" w:lineRule="auto"/>
              <w:jc w:val="left"/>
              <w:rPr>
                <w:rFonts w:cs="Frankruhel"/>
                <w:sz w:val="24"/>
              </w:rPr>
            </w:pPr>
            <w:hyperlink w:anchor="Seif3" w:tooltip="אות מערכה לנפגעים" w:history="1">
              <w:r>
                <w:rPr>
                  <w:rStyle w:val="Hyperlink"/>
                </w:rPr>
                <w:t>Go</w:t>
              </w:r>
            </w:hyperlink>
          </w:p>
        </w:tc>
        <w:tc>
          <w:tcPr>
            <w:tcW w:w="5669" w:type="dxa"/>
          </w:tcPr>
          <w:p w:rsidR="005F7138" w:rsidRDefault="005F7138">
            <w:pPr>
              <w:spacing w:line="240" w:lineRule="auto"/>
              <w:jc w:val="left"/>
              <w:rPr>
                <w:rFonts w:cs="Frankruhel"/>
                <w:sz w:val="24"/>
                <w:rtl/>
              </w:rPr>
            </w:pPr>
            <w:r>
              <w:rPr>
                <w:rFonts w:cs="Frankruhel"/>
                <w:sz w:val="24"/>
                <w:rtl/>
              </w:rPr>
              <w:t>אות מערכה לנפגעים</w:t>
            </w:r>
          </w:p>
        </w:tc>
        <w:tc>
          <w:tcPr>
            <w:tcW w:w="1247" w:type="dxa"/>
          </w:tcPr>
          <w:p w:rsidR="005F7138" w:rsidRDefault="005F7138">
            <w:pPr>
              <w:spacing w:line="240" w:lineRule="auto"/>
              <w:jc w:val="left"/>
              <w:rPr>
                <w:rFonts w:cs="Frankruhel"/>
                <w:sz w:val="24"/>
              </w:rPr>
            </w:pPr>
            <w:r>
              <w:rPr>
                <w:rFonts w:cs="Frankruhel"/>
                <w:sz w:val="24"/>
                <w:rtl/>
              </w:rPr>
              <w:t xml:space="preserve">סעיף 4 </w:t>
            </w:r>
          </w:p>
        </w:tc>
      </w:tr>
      <w:tr w:rsidR="005F7138">
        <w:tblPrEx>
          <w:tblCellMar>
            <w:top w:w="0" w:type="dxa"/>
            <w:bottom w:w="0" w:type="dxa"/>
          </w:tblCellMar>
        </w:tblPrEx>
        <w:trPr>
          <w:jc w:val="right"/>
        </w:trPr>
        <w:tc>
          <w:tcPr>
            <w:tcW w:w="850" w:type="dxa"/>
          </w:tcPr>
          <w:p w:rsidR="005F7138" w:rsidRDefault="005F7138">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Seif4</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rsidR="005F7138" w:rsidRDefault="005F7138">
            <w:pPr>
              <w:spacing w:line="240" w:lineRule="auto"/>
              <w:jc w:val="left"/>
              <w:rPr>
                <w:rFonts w:cs="Frankruhel"/>
                <w:sz w:val="24"/>
              </w:rPr>
            </w:pPr>
            <w:hyperlink w:anchor="Seif4" w:tooltip="זכאי שנפטר" w:history="1">
              <w:r>
                <w:rPr>
                  <w:rStyle w:val="Hyperlink"/>
                </w:rPr>
                <w:t>Go</w:t>
              </w:r>
            </w:hyperlink>
          </w:p>
        </w:tc>
        <w:tc>
          <w:tcPr>
            <w:tcW w:w="5669" w:type="dxa"/>
          </w:tcPr>
          <w:p w:rsidR="005F7138" w:rsidRDefault="005F7138">
            <w:pPr>
              <w:spacing w:line="240" w:lineRule="auto"/>
              <w:jc w:val="left"/>
              <w:rPr>
                <w:rFonts w:cs="Frankruhel"/>
                <w:sz w:val="24"/>
                <w:rtl/>
              </w:rPr>
            </w:pPr>
            <w:r>
              <w:rPr>
                <w:rFonts w:cs="Frankruhel"/>
                <w:sz w:val="24"/>
                <w:rtl/>
              </w:rPr>
              <w:t>זכאי שנפטר</w:t>
            </w:r>
          </w:p>
        </w:tc>
        <w:tc>
          <w:tcPr>
            <w:tcW w:w="1247" w:type="dxa"/>
          </w:tcPr>
          <w:p w:rsidR="005F7138" w:rsidRDefault="005F7138">
            <w:pPr>
              <w:spacing w:line="240" w:lineRule="auto"/>
              <w:jc w:val="left"/>
              <w:rPr>
                <w:rFonts w:cs="Frankruhel"/>
                <w:sz w:val="24"/>
              </w:rPr>
            </w:pPr>
            <w:r>
              <w:rPr>
                <w:rFonts w:cs="Frankruhel"/>
                <w:sz w:val="24"/>
                <w:rtl/>
              </w:rPr>
              <w:t xml:space="preserve">סעיף 5 </w:t>
            </w:r>
          </w:p>
        </w:tc>
      </w:tr>
      <w:tr w:rsidR="005F7138">
        <w:tblPrEx>
          <w:tblCellMar>
            <w:top w:w="0" w:type="dxa"/>
            <w:bottom w:w="0" w:type="dxa"/>
          </w:tblCellMar>
        </w:tblPrEx>
        <w:trPr>
          <w:jc w:val="right"/>
        </w:trPr>
        <w:tc>
          <w:tcPr>
            <w:tcW w:w="850" w:type="dxa"/>
          </w:tcPr>
          <w:p w:rsidR="005F7138" w:rsidRDefault="005F7138">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Seif5</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rsidR="005F7138" w:rsidRDefault="005F7138">
            <w:pPr>
              <w:spacing w:line="240" w:lineRule="auto"/>
              <w:jc w:val="left"/>
              <w:rPr>
                <w:rFonts w:cs="Frankruhel"/>
                <w:sz w:val="24"/>
              </w:rPr>
            </w:pPr>
            <w:hyperlink w:anchor="Seif5" w:tooltip="אות מערכה קבוצתי" w:history="1">
              <w:r>
                <w:rPr>
                  <w:rStyle w:val="Hyperlink"/>
                </w:rPr>
                <w:t>Go</w:t>
              </w:r>
            </w:hyperlink>
          </w:p>
        </w:tc>
        <w:tc>
          <w:tcPr>
            <w:tcW w:w="5669" w:type="dxa"/>
          </w:tcPr>
          <w:p w:rsidR="005F7138" w:rsidRDefault="005F7138">
            <w:pPr>
              <w:spacing w:line="240" w:lineRule="auto"/>
              <w:jc w:val="left"/>
              <w:rPr>
                <w:rFonts w:cs="Frankruhel"/>
                <w:sz w:val="24"/>
                <w:rtl/>
              </w:rPr>
            </w:pPr>
            <w:r>
              <w:rPr>
                <w:rFonts w:cs="Frankruhel"/>
                <w:sz w:val="24"/>
                <w:rtl/>
              </w:rPr>
              <w:t>אות מערכה קבוצתי</w:t>
            </w:r>
          </w:p>
        </w:tc>
        <w:tc>
          <w:tcPr>
            <w:tcW w:w="1247" w:type="dxa"/>
          </w:tcPr>
          <w:p w:rsidR="005F7138" w:rsidRDefault="005F7138">
            <w:pPr>
              <w:spacing w:line="240" w:lineRule="auto"/>
              <w:jc w:val="left"/>
              <w:rPr>
                <w:rFonts w:cs="Frankruhel"/>
                <w:sz w:val="24"/>
              </w:rPr>
            </w:pPr>
            <w:r>
              <w:rPr>
                <w:rFonts w:cs="Frankruhel"/>
                <w:sz w:val="24"/>
                <w:rtl/>
              </w:rPr>
              <w:t xml:space="preserve">סעיף 6 </w:t>
            </w:r>
          </w:p>
        </w:tc>
      </w:tr>
      <w:tr w:rsidR="005F7138">
        <w:tblPrEx>
          <w:tblCellMar>
            <w:top w:w="0" w:type="dxa"/>
            <w:bottom w:w="0" w:type="dxa"/>
          </w:tblCellMar>
        </w:tblPrEx>
        <w:trPr>
          <w:jc w:val="right"/>
        </w:trPr>
        <w:tc>
          <w:tcPr>
            <w:tcW w:w="850" w:type="dxa"/>
          </w:tcPr>
          <w:p w:rsidR="005F7138" w:rsidRDefault="005F7138">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Seif6</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rsidR="005F7138" w:rsidRDefault="005F7138">
            <w:pPr>
              <w:spacing w:line="240" w:lineRule="auto"/>
              <w:jc w:val="left"/>
              <w:rPr>
                <w:rFonts w:cs="Frankruhel"/>
                <w:sz w:val="24"/>
              </w:rPr>
            </w:pPr>
            <w:hyperlink w:anchor="Seif6" w:tooltip="מקבלי האות  הגשת רשימות" w:history="1">
              <w:r>
                <w:rPr>
                  <w:rStyle w:val="Hyperlink"/>
                </w:rPr>
                <w:t>Go</w:t>
              </w:r>
            </w:hyperlink>
          </w:p>
        </w:tc>
        <w:tc>
          <w:tcPr>
            <w:tcW w:w="5669" w:type="dxa"/>
          </w:tcPr>
          <w:p w:rsidR="005F7138" w:rsidRDefault="005F7138">
            <w:pPr>
              <w:spacing w:line="240" w:lineRule="auto"/>
              <w:jc w:val="left"/>
              <w:rPr>
                <w:rFonts w:cs="Frankruhel"/>
                <w:sz w:val="24"/>
                <w:rtl/>
              </w:rPr>
            </w:pPr>
            <w:r>
              <w:rPr>
                <w:rFonts w:cs="Frankruhel"/>
                <w:sz w:val="24"/>
                <w:rtl/>
              </w:rPr>
              <w:t>מקבלי האות  הגשת רשימות</w:t>
            </w:r>
          </w:p>
        </w:tc>
        <w:tc>
          <w:tcPr>
            <w:tcW w:w="1247" w:type="dxa"/>
          </w:tcPr>
          <w:p w:rsidR="005F7138" w:rsidRDefault="005F7138">
            <w:pPr>
              <w:spacing w:line="240" w:lineRule="auto"/>
              <w:jc w:val="left"/>
              <w:rPr>
                <w:rFonts w:cs="Frankruhel"/>
                <w:sz w:val="24"/>
              </w:rPr>
            </w:pPr>
            <w:r>
              <w:rPr>
                <w:rFonts w:cs="Frankruhel"/>
                <w:sz w:val="24"/>
                <w:rtl/>
              </w:rPr>
              <w:t xml:space="preserve">סעיף 7 </w:t>
            </w:r>
          </w:p>
        </w:tc>
      </w:tr>
    </w:tbl>
    <w:p w:rsidR="005F7138" w:rsidRDefault="005F7138">
      <w:pPr>
        <w:pStyle w:val="big-header"/>
        <w:ind w:left="0" w:right="1134"/>
        <w:rPr>
          <w:rtl/>
        </w:rPr>
      </w:pPr>
    </w:p>
    <w:p w:rsidR="005F7138" w:rsidRPr="003D32B6" w:rsidRDefault="005F7138" w:rsidP="003D32B6">
      <w:pPr>
        <w:pStyle w:val="big-header"/>
        <w:ind w:left="0" w:right="1134"/>
        <w:rPr>
          <w:rStyle w:val="default"/>
          <w:rFonts w:cs="FrankRuehl"/>
          <w:szCs w:val="32"/>
          <w:rtl/>
        </w:rPr>
      </w:pPr>
      <w:r>
        <w:rPr>
          <w:rtl/>
        </w:rPr>
        <w:br w:type="page"/>
      </w:r>
      <w:r>
        <w:rPr>
          <w:rFonts w:hint="cs"/>
          <w:rtl/>
        </w:rPr>
        <w:lastRenderedPageBreak/>
        <w:t xml:space="preserve">תקנות העיטורים בצבא הגנה לישראל (אות מלחמת ההתשה </w:t>
      </w:r>
      <w:r>
        <w:rPr>
          <w:rtl/>
        </w:rPr>
        <w:t>–</w:t>
      </w:r>
      <w:r>
        <w:rPr>
          <w:rFonts w:hint="cs"/>
          <w:rtl/>
        </w:rPr>
        <w:t xml:space="preserve"> קביעת אזרחים זכאים</w:t>
      </w:r>
      <w:r>
        <w:rPr>
          <w:rtl/>
        </w:rPr>
        <w:t xml:space="preserve">), </w:t>
      </w:r>
      <w:r>
        <w:rPr>
          <w:rFonts w:hint="cs"/>
          <w:rtl/>
        </w:rPr>
        <w:t>תשס"ג-2003</w:t>
      </w:r>
      <w:r>
        <w:rPr>
          <w:rStyle w:val="default"/>
          <w:sz w:val="22"/>
          <w:szCs w:val="22"/>
          <w:rtl/>
        </w:rPr>
        <w:footnoteReference w:customMarkFollows="1" w:id="1"/>
        <w:t>*</w:t>
      </w:r>
    </w:p>
    <w:p w:rsidR="005F7138" w:rsidRDefault="005F7138">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7א ו-21 לחוק העיטורים בצבא הגנה לישראל, התש"ל-1970, ובאישור ועדת החוץ והביטחון של הכנסת, אני מתקין תקנות אלה:</w:t>
      </w:r>
    </w:p>
    <w:p w:rsidR="005F7138" w:rsidRDefault="005F7138">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2pt;z-index:251654656" o:allowincell="f" filled="f" stroked="f" strokecolor="lime" strokeweight=".25pt">
            <v:textbox inset="0,0,0,0">
              <w:txbxContent>
                <w:p w:rsidR="005F7138" w:rsidRDefault="005F7138">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big-number"/>
          <w:rtl/>
        </w:rPr>
        <w:tab/>
      </w:r>
      <w:r>
        <w:rPr>
          <w:rStyle w:val="default"/>
          <w:rFonts w:cs="FrankRuehl" w:hint="cs"/>
          <w:rtl/>
        </w:rPr>
        <w:t xml:space="preserve">בתקנות אלה </w:t>
      </w:r>
      <w:r>
        <w:rPr>
          <w:rStyle w:val="default"/>
          <w:rFonts w:cs="FrankRuehl"/>
          <w:rtl/>
        </w:rPr>
        <w:t>–</w:t>
      </w:r>
    </w:p>
    <w:p w:rsidR="005F7138" w:rsidRDefault="005F7138">
      <w:pPr>
        <w:pStyle w:val="P00"/>
        <w:spacing w:before="72"/>
        <w:ind w:left="0" w:right="1134"/>
        <w:rPr>
          <w:rStyle w:val="default"/>
          <w:rFonts w:cs="FrankRuehl" w:hint="cs"/>
          <w:rtl/>
        </w:rPr>
      </w:pPr>
      <w:r>
        <w:rPr>
          <w:rStyle w:val="default"/>
          <w:rFonts w:cs="FrankRuehl" w:hint="cs"/>
          <w:rtl/>
        </w:rPr>
        <w:tab/>
        <w:t xml:space="preserve">"אות המערכה" </w:t>
      </w:r>
      <w:r>
        <w:rPr>
          <w:rStyle w:val="default"/>
          <w:rFonts w:cs="FrankRuehl"/>
          <w:rtl/>
        </w:rPr>
        <w:t>–</w:t>
      </w:r>
      <w:r>
        <w:rPr>
          <w:rStyle w:val="default"/>
          <w:rFonts w:cs="FrankRuehl" w:hint="cs"/>
          <w:rtl/>
        </w:rPr>
        <w:t xml:space="preserve"> אות מלחמת ההתשה המציין השתתפות במערכת ההתשה כמשמעותו בתקנות העיטורים בצבא הגנה לישראל (אות מלחמת ההתשה </w:t>
      </w:r>
      <w:r>
        <w:rPr>
          <w:rStyle w:val="default"/>
          <w:rFonts w:cs="FrankRuehl"/>
          <w:rtl/>
        </w:rPr>
        <w:t>–</w:t>
      </w:r>
      <w:r>
        <w:rPr>
          <w:rStyle w:val="default"/>
          <w:rFonts w:cs="FrankRuehl" w:hint="cs"/>
          <w:rtl/>
        </w:rPr>
        <w:t xml:space="preserve"> קביעת זכאים), התשס"ג-2003;</w:t>
      </w:r>
    </w:p>
    <w:p w:rsidR="005F7138" w:rsidRDefault="005F7138">
      <w:pPr>
        <w:pStyle w:val="P00"/>
        <w:spacing w:before="72"/>
        <w:ind w:left="0" w:right="1134"/>
        <w:rPr>
          <w:rStyle w:val="default"/>
          <w:rFonts w:cs="FrankRuehl" w:hint="cs"/>
          <w:rtl/>
        </w:rPr>
      </w:pPr>
      <w:r>
        <w:rPr>
          <w:rStyle w:val="default"/>
          <w:rFonts w:cs="FrankRuehl" w:hint="cs"/>
          <w:rtl/>
        </w:rPr>
        <w:tab/>
        <w:t xml:space="preserve">"התקופה הקובעת" </w:t>
      </w:r>
      <w:r>
        <w:rPr>
          <w:rStyle w:val="default"/>
          <w:rFonts w:cs="FrankRuehl"/>
          <w:rtl/>
        </w:rPr>
        <w:t>–</w:t>
      </w:r>
      <w:r>
        <w:rPr>
          <w:rStyle w:val="default"/>
          <w:rFonts w:cs="FrankRuehl" w:hint="cs"/>
          <w:rtl/>
        </w:rPr>
        <w:t xml:space="preserve"> התקופה שמיום ג' בסיון התשכ"ז (11 ביוני 1967) עד יום ו' באב התש"ל (8 באוגוסט 1970).</w:t>
      </w:r>
    </w:p>
    <w:p w:rsidR="005F7138" w:rsidRDefault="005F7138">
      <w:pPr>
        <w:pStyle w:val="P00"/>
        <w:spacing w:before="72"/>
        <w:ind w:left="0" w:right="1134"/>
        <w:rPr>
          <w:rStyle w:val="default"/>
          <w:rFonts w:cs="FrankRuehl" w:hint="cs"/>
          <w:rtl/>
        </w:rPr>
      </w:pPr>
      <w:bookmarkStart w:id="1" w:name="Seif1"/>
      <w:bookmarkEnd w:id="1"/>
      <w:r>
        <w:rPr>
          <w:lang w:val="he-IL"/>
        </w:rPr>
        <w:pict>
          <v:rect id="_x0000_s1029" style="position:absolute;left:0;text-align:left;margin-left:464.5pt;margin-top:8.05pt;width:75.05pt;height:16.9pt;z-index:251655680" o:allowincell="f" filled="f" stroked="f" strokecolor="lime" strokeweight=".25pt">
            <v:textbox inset="0,0,0,0">
              <w:txbxContent>
                <w:p w:rsidR="005F7138" w:rsidRDefault="005F7138">
                  <w:pPr>
                    <w:spacing w:line="160" w:lineRule="exact"/>
                    <w:jc w:val="left"/>
                    <w:rPr>
                      <w:rFonts w:cs="Miriam" w:hint="cs"/>
                      <w:noProof/>
                      <w:szCs w:val="18"/>
                      <w:rtl/>
                    </w:rPr>
                  </w:pPr>
                  <w:r>
                    <w:rPr>
                      <w:rFonts w:cs="Miriam" w:hint="cs"/>
                      <w:szCs w:val="18"/>
                      <w:rtl/>
                    </w:rPr>
                    <w:t>אות מערכה אישי לנמנה עם קבוצה</w:t>
                  </w:r>
                </w:p>
              </w:txbxContent>
            </v:textbox>
            <w10:anchorlock/>
          </v:rect>
        </w:pict>
      </w:r>
      <w:r>
        <w:rPr>
          <w:rStyle w:val="big-number"/>
          <w:rtl/>
        </w:rPr>
        <w:t>2.</w:t>
      </w:r>
      <w:r>
        <w:rPr>
          <w:rStyle w:val="big-number"/>
          <w:rtl/>
        </w:rPr>
        <w:tab/>
      </w:r>
      <w:r>
        <w:rPr>
          <w:rStyle w:val="default"/>
          <w:rFonts w:cs="FrankRuehl" w:hint="cs"/>
          <w:rtl/>
        </w:rPr>
        <w:t>אדם שעבד או פעל בתקופה הקובעת 30 ימים רצופים לפחות בסיוע ישיר לדרגי השדה, והוא נמנה עם אחת הקבוצות המנויות להלן, יוענק לו אות המערכה:</w:t>
      </w:r>
    </w:p>
    <w:p w:rsidR="005F7138" w:rsidRDefault="005F7138">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עובדים אזרחיים בשירות צבא הגנה לישראל;</w:t>
      </w:r>
    </w:p>
    <w:p w:rsidR="005F7138" w:rsidRDefault="005F713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עובדי משרד הביטחון;</w:t>
      </w:r>
    </w:p>
    <w:p w:rsidR="005F7138" w:rsidRDefault="005F7138">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עובדי התעשיה הצבאית;</w:t>
      </w:r>
    </w:p>
    <w:p w:rsidR="005F7138" w:rsidRDefault="005F7138">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עובדי התעשיה האווירית;</w:t>
      </w:r>
    </w:p>
    <w:p w:rsidR="005F7138" w:rsidRDefault="005F7138">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עובדי רפא"ל (רשות פיתוח אמצעי לחימה);</w:t>
      </w:r>
    </w:p>
    <w:p w:rsidR="005F7138" w:rsidRDefault="005F7138">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עובדי שירות הביטחון הכללי;</w:t>
      </w:r>
    </w:p>
    <w:p w:rsidR="005F7138" w:rsidRDefault="005F7138">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עובדי המוסד למודיעין ולתפקידים מיוחדים;</w:t>
      </w:r>
    </w:p>
    <w:p w:rsidR="005F7138" w:rsidRDefault="005F7138">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עובדי שק"ם;</w:t>
      </w:r>
    </w:p>
    <w:p w:rsidR="005F7138" w:rsidRDefault="005F7138">
      <w:pPr>
        <w:pStyle w:val="P00"/>
        <w:spacing w:before="72"/>
        <w:ind w:left="624" w:right="1134"/>
        <w:rPr>
          <w:rStyle w:val="default"/>
          <w:rFonts w:cs="FrankRuehl" w:hint="cs"/>
          <w:rtl/>
        </w:rPr>
      </w:pPr>
      <w:r>
        <w:rPr>
          <w:rStyle w:val="default"/>
          <w:rFonts w:cs="FrankRuehl" w:hint="cs"/>
          <w:rtl/>
        </w:rPr>
        <w:t>(9)</w:t>
      </w:r>
      <w:r>
        <w:rPr>
          <w:rStyle w:val="default"/>
          <w:rFonts w:cs="FrankRuehl" w:hint="cs"/>
          <w:rtl/>
        </w:rPr>
        <w:tab/>
        <w:t>עובדי האגודה למען החייל ומתנדביה;</w:t>
      </w:r>
    </w:p>
    <w:p w:rsidR="005F7138" w:rsidRDefault="005F7138">
      <w:pPr>
        <w:pStyle w:val="P00"/>
        <w:spacing w:before="72"/>
        <w:ind w:left="624" w:right="1134"/>
        <w:rPr>
          <w:rStyle w:val="default"/>
          <w:rFonts w:cs="FrankRuehl" w:hint="cs"/>
          <w:rtl/>
        </w:rPr>
      </w:pPr>
      <w:r>
        <w:rPr>
          <w:rStyle w:val="default"/>
          <w:rFonts w:cs="FrankRuehl" w:hint="cs"/>
          <w:rtl/>
        </w:rPr>
        <w:t>(10)</w:t>
      </w:r>
      <w:r>
        <w:rPr>
          <w:rStyle w:val="default"/>
          <w:rFonts w:cs="FrankRuehl" w:hint="cs"/>
          <w:rtl/>
        </w:rPr>
        <w:tab/>
        <w:t>פעילי מערך מל"ח (משק לשעת חירום);</w:t>
      </w:r>
    </w:p>
    <w:p w:rsidR="005F7138" w:rsidRDefault="005F7138">
      <w:pPr>
        <w:pStyle w:val="P00"/>
        <w:spacing w:before="72"/>
        <w:ind w:left="624" w:right="1134"/>
        <w:rPr>
          <w:rStyle w:val="default"/>
          <w:rFonts w:cs="FrankRuehl" w:hint="cs"/>
          <w:rtl/>
        </w:rPr>
      </w:pPr>
      <w:r>
        <w:rPr>
          <w:rStyle w:val="default"/>
          <w:rFonts w:cs="FrankRuehl" w:hint="cs"/>
          <w:rtl/>
        </w:rPr>
        <w:t>(11)</w:t>
      </w:r>
      <w:r>
        <w:rPr>
          <w:rStyle w:val="default"/>
          <w:rFonts w:cs="FrankRuehl" w:hint="cs"/>
          <w:rtl/>
        </w:rPr>
        <w:tab/>
        <w:t>נהגים עובדי חברות תובלה;</w:t>
      </w:r>
    </w:p>
    <w:p w:rsidR="005F7138" w:rsidRDefault="005F7138">
      <w:pPr>
        <w:pStyle w:val="P00"/>
        <w:spacing w:before="72"/>
        <w:ind w:left="624" w:right="1134"/>
        <w:rPr>
          <w:rStyle w:val="default"/>
          <w:rFonts w:cs="FrankRuehl" w:hint="cs"/>
          <w:rtl/>
        </w:rPr>
      </w:pPr>
      <w:r>
        <w:rPr>
          <w:rStyle w:val="default"/>
          <w:rFonts w:cs="FrankRuehl" w:hint="cs"/>
          <w:rtl/>
        </w:rPr>
        <w:t>(12)</w:t>
      </w:r>
      <w:r>
        <w:rPr>
          <w:rStyle w:val="default"/>
          <w:rFonts w:cs="FrankRuehl" w:hint="cs"/>
          <w:rtl/>
        </w:rPr>
        <w:tab/>
        <w:t>נהג שהתנדב לנהוג ברכב שגויס לפי תקנות שעת חירום (רישום ציוד וגיוסו), התשי"ז-1956;</w:t>
      </w:r>
    </w:p>
    <w:p w:rsidR="005F7138" w:rsidRDefault="005F7138">
      <w:pPr>
        <w:pStyle w:val="P00"/>
        <w:spacing w:before="72"/>
        <w:ind w:left="624" w:right="1134"/>
        <w:rPr>
          <w:rStyle w:val="default"/>
          <w:rFonts w:cs="FrankRuehl" w:hint="cs"/>
          <w:rtl/>
        </w:rPr>
      </w:pPr>
      <w:r>
        <w:rPr>
          <w:rStyle w:val="default"/>
          <w:rFonts w:cs="FrankRuehl" w:hint="cs"/>
          <w:rtl/>
        </w:rPr>
        <w:t>(13)</w:t>
      </w:r>
      <w:r>
        <w:rPr>
          <w:rStyle w:val="default"/>
          <w:rFonts w:cs="FrankRuehl" w:hint="cs"/>
          <w:rtl/>
        </w:rPr>
        <w:tab/>
        <w:t>נהגים שסופחו עם רכבם ליחידות צבא הגנה לישראל;</w:t>
      </w:r>
    </w:p>
    <w:p w:rsidR="005F7138" w:rsidRDefault="005F7138">
      <w:pPr>
        <w:pStyle w:val="P00"/>
        <w:spacing w:before="72"/>
        <w:ind w:left="624" w:right="1134"/>
        <w:rPr>
          <w:rStyle w:val="default"/>
          <w:rFonts w:cs="FrankRuehl" w:hint="cs"/>
          <w:rtl/>
        </w:rPr>
      </w:pPr>
      <w:r>
        <w:rPr>
          <w:rStyle w:val="default"/>
          <w:rFonts w:cs="FrankRuehl" w:hint="cs"/>
          <w:rtl/>
        </w:rPr>
        <w:t>(14)</w:t>
      </w:r>
      <w:r>
        <w:rPr>
          <w:rStyle w:val="default"/>
          <w:rFonts w:cs="FrankRuehl" w:hint="cs"/>
          <w:rtl/>
        </w:rPr>
        <w:tab/>
        <w:t>פטור משירות ביטחון לפי חוק שירות ביטחון [נוסח משולב], התשי"ט-1959, שהתנדב לשירות פעיל.</w:t>
      </w:r>
    </w:p>
    <w:p w:rsidR="005F7138" w:rsidRDefault="005F7138">
      <w:pPr>
        <w:pStyle w:val="P00"/>
        <w:spacing w:before="72"/>
        <w:ind w:left="0" w:right="1134"/>
        <w:rPr>
          <w:rStyle w:val="default"/>
          <w:rFonts w:cs="FrankRuehl" w:hint="cs"/>
          <w:rtl/>
        </w:rPr>
      </w:pPr>
      <w:bookmarkStart w:id="2" w:name="Seif2"/>
      <w:bookmarkEnd w:id="2"/>
      <w:r>
        <w:rPr>
          <w:lang w:val="he-IL"/>
        </w:rPr>
        <w:pict>
          <v:rect id="_x0000_s1040" style="position:absolute;left:0;text-align:left;margin-left:464.5pt;margin-top:8.05pt;width:75.05pt;height:16.75pt;z-index:251656704" o:allowincell="f" filled="f" stroked="f" strokecolor="lime" strokeweight=".25pt">
            <v:textbox inset="0,0,0,0">
              <w:txbxContent>
                <w:p w:rsidR="005F7138" w:rsidRDefault="005F7138">
                  <w:pPr>
                    <w:spacing w:line="160" w:lineRule="exact"/>
                    <w:jc w:val="left"/>
                    <w:rPr>
                      <w:rFonts w:cs="Miriam" w:hint="cs"/>
                      <w:noProof/>
                      <w:szCs w:val="18"/>
                      <w:rtl/>
                    </w:rPr>
                  </w:pPr>
                  <w:r>
                    <w:rPr>
                      <w:rFonts w:cs="Miriam" w:hint="cs"/>
                      <w:szCs w:val="18"/>
                      <w:rtl/>
                    </w:rPr>
                    <w:t>אות מערכה אישי לבודדים</w:t>
                  </w:r>
                </w:p>
              </w:txbxContent>
            </v:textbox>
            <w10:anchorlock/>
          </v:rect>
        </w:pict>
      </w:r>
      <w:r>
        <w:rPr>
          <w:rStyle w:val="big-number"/>
          <w:rFonts w:hint="cs"/>
          <w:rtl/>
        </w:rPr>
        <w:t>3</w:t>
      </w:r>
      <w:r>
        <w:rPr>
          <w:rStyle w:val="big-number"/>
          <w:rtl/>
        </w:rPr>
        <w:t>.</w:t>
      </w:r>
      <w:r>
        <w:rPr>
          <w:rStyle w:val="big-number"/>
          <w:rtl/>
        </w:rPr>
        <w:tab/>
      </w:r>
      <w:r>
        <w:rPr>
          <w:rStyle w:val="default"/>
          <w:rFonts w:cs="FrankRuehl" w:hint="cs"/>
          <w:rtl/>
        </w:rPr>
        <w:t>אדם שאינו נמנה עם אחת הקבוצות המנויות בתקנה 2 ובתקופה הקובעת פעל 30 ימים רצופים לפחות בסיוע אישי לדרגי שדה והוכיח זאת להנחת דעתו של מי ששר הביטחון הסמיכו לכך, יוענק לו אות המערכה.</w:t>
      </w:r>
    </w:p>
    <w:p w:rsidR="005F7138" w:rsidRDefault="005F7138">
      <w:pPr>
        <w:pStyle w:val="P00"/>
        <w:spacing w:before="72"/>
        <w:ind w:left="0" w:right="1134"/>
        <w:rPr>
          <w:rStyle w:val="default"/>
          <w:rFonts w:cs="FrankRuehl" w:hint="cs"/>
          <w:rtl/>
        </w:rPr>
      </w:pPr>
      <w:bookmarkStart w:id="3" w:name="Seif3"/>
      <w:bookmarkEnd w:id="3"/>
      <w:r>
        <w:rPr>
          <w:lang w:val="he-IL"/>
        </w:rPr>
        <w:pict>
          <v:rect id="_x0000_s1041" style="position:absolute;left:0;text-align:left;margin-left:464.5pt;margin-top:8.05pt;width:75.05pt;height:6.5pt;z-index:251657728" o:allowincell="f" filled="f" stroked="f" strokecolor="lime" strokeweight=".25pt">
            <v:textbox inset="0,0,0,0">
              <w:txbxContent>
                <w:p w:rsidR="005F7138" w:rsidRDefault="005F7138">
                  <w:pPr>
                    <w:spacing w:line="160" w:lineRule="exact"/>
                    <w:jc w:val="left"/>
                    <w:rPr>
                      <w:rFonts w:cs="Miriam" w:hint="cs"/>
                      <w:noProof/>
                      <w:szCs w:val="18"/>
                      <w:rtl/>
                    </w:rPr>
                  </w:pPr>
                  <w:r>
                    <w:rPr>
                      <w:rFonts w:cs="Miriam" w:hint="cs"/>
                      <w:szCs w:val="18"/>
                      <w:rtl/>
                    </w:rPr>
                    <w:t>אות מערכה לנפגעים</w:t>
                  </w:r>
                </w:p>
              </w:txbxContent>
            </v:textbox>
            <w10:anchorlock/>
          </v:rect>
        </w:pict>
      </w:r>
      <w:r>
        <w:rPr>
          <w:rStyle w:val="big-number"/>
          <w:rFonts w:hint="cs"/>
          <w:rtl/>
        </w:rPr>
        <w:t>4</w:t>
      </w:r>
      <w:r>
        <w:rPr>
          <w:rStyle w:val="big-number"/>
          <w:rtl/>
        </w:rPr>
        <w:t>.</w:t>
      </w:r>
      <w:r>
        <w:rPr>
          <w:rStyle w:val="big-number"/>
          <w:rtl/>
        </w:rPr>
        <w:tab/>
      </w:r>
      <w:r>
        <w:rPr>
          <w:rStyle w:val="default"/>
          <w:rFonts w:cs="FrankRuehl" w:hint="cs"/>
          <w:rtl/>
        </w:rPr>
        <w:t>אדם הנמנה עם אחת הקבוצות המנויות בתקנה 2 או שתקנה 3 חלה עליו, יוענק לו אות המערכה, אם עבודתו הסתיימה עקב פציעה שאירעה לו או מותו במהלך עבודתו בתקופה הקובעת ועקב עבודתו אף אם לא סיים 30 ימי עבודה או פעילות רצופים.</w:t>
      </w:r>
    </w:p>
    <w:p w:rsidR="005F7138" w:rsidRDefault="005F7138">
      <w:pPr>
        <w:pStyle w:val="P00"/>
        <w:spacing w:before="72"/>
        <w:ind w:left="0" w:right="1134"/>
        <w:rPr>
          <w:rStyle w:val="default"/>
          <w:rFonts w:cs="FrankRuehl" w:hint="cs"/>
          <w:rtl/>
        </w:rPr>
      </w:pPr>
      <w:bookmarkStart w:id="4" w:name="Seif4"/>
      <w:bookmarkEnd w:id="4"/>
      <w:r>
        <w:rPr>
          <w:lang w:val="he-IL"/>
        </w:rPr>
        <w:pict>
          <v:rect id="_x0000_s1042" style="position:absolute;left:0;text-align:left;margin-left:464.5pt;margin-top:8.05pt;width:75.05pt;height:6.5pt;z-index:251658752" o:allowincell="f" filled="f" stroked="f" strokecolor="lime" strokeweight=".25pt">
            <v:textbox inset="0,0,0,0">
              <w:txbxContent>
                <w:p w:rsidR="005F7138" w:rsidRDefault="005F7138">
                  <w:pPr>
                    <w:spacing w:line="160" w:lineRule="exact"/>
                    <w:jc w:val="left"/>
                    <w:rPr>
                      <w:rFonts w:cs="Miriam" w:hint="cs"/>
                      <w:noProof/>
                      <w:szCs w:val="18"/>
                      <w:rtl/>
                    </w:rPr>
                  </w:pPr>
                  <w:r>
                    <w:rPr>
                      <w:rFonts w:cs="Miriam" w:hint="cs"/>
                      <w:szCs w:val="18"/>
                      <w:rtl/>
                    </w:rPr>
                    <w:t>זכאי שנפטר</w:t>
                  </w:r>
                </w:p>
              </w:txbxContent>
            </v:textbox>
            <w10:anchorlock/>
          </v:rect>
        </w:pict>
      </w:r>
      <w:r>
        <w:rPr>
          <w:rStyle w:val="big-number"/>
          <w:rFonts w:hint="cs"/>
          <w:rtl/>
        </w:rPr>
        <w:t>5</w:t>
      </w:r>
      <w:r>
        <w:rPr>
          <w:rStyle w:val="big-number"/>
          <w:rtl/>
        </w:rPr>
        <w:t>.</w:t>
      </w:r>
      <w:r>
        <w:rPr>
          <w:rStyle w:val="big-number"/>
          <w:rtl/>
        </w:rPr>
        <w:tab/>
      </w:r>
      <w:r>
        <w:rPr>
          <w:rStyle w:val="default"/>
          <w:rFonts w:cs="FrankRuehl" w:hint="cs"/>
          <w:rtl/>
        </w:rPr>
        <w:t>אדם הזכאי לאות המערכה, אשר נפטר לפני הענקת האות, יימסר האות לשאר בשרו הקרוב ביותר כמפורט בסעיף 6(ב) לחוק.</w:t>
      </w:r>
    </w:p>
    <w:p w:rsidR="005F7138" w:rsidRDefault="005F7138">
      <w:pPr>
        <w:pStyle w:val="P00"/>
        <w:spacing w:before="72"/>
        <w:ind w:left="0" w:right="1134"/>
        <w:rPr>
          <w:rStyle w:val="default"/>
          <w:rFonts w:cs="FrankRuehl" w:hint="cs"/>
          <w:rtl/>
        </w:rPr>
      </w:pPr>
      <w:bookmarkStart w:id="5" w:name="Seif5"/>
      <w:bookmarkEnd w:id="5"/>
      <w:r>
        <w:rPr>
          <w:lang w:val="he-IL"/>
        </w:rPr>
        <w:pict>
          <v:rect id="_x0000_s1043" style="position:absolute;left:0;text-align:left;margin-left:464.5pt;margin-top:8.05pt;width:75.05pt;height:6.5pt;z-index:251659776" o:allowincell="f" filled="f" stroked="f" strokecolor="lime" strokeweight=".25pt">
            <v:textbox inset="0,0,0,0">
              <w:txbxContent>
                <w:p w:rsidR="005F7138" w:rsidRDefault="005F7138">
                  <w:pPr>
                    <w:spacing w:line="160" w:lineRule="exact"/>
                    <w:jc w:val="left"/>
                    <w:rPr>
                      <w:rFonts w:cs="Miriam" w:hint="cs"/>
                      <w:noProof/>
                      <w:szCs w:val="18"/>
                      <w:rtl/>
                    </w:rPr>
                  </w:pPr>
                  <w:r>
                    <w:rPr>
                      <w:rFonts w:cs="Miriam" w:hint="cs"/>
                      <w:szCs w:val="18"/>
                      <w:rtl/>
                    </w:rPr>
                    <w:t>אות מערכה קבוצתי</w:t>
                  </w:r>
                </w:p>
              </w:txbxContent>
            </v:textbox>
            <w10:anchorlock/>
          </v:rect>
        </w:pict>
      </w:r>
      <w:r>
        <w:rPr>
          <w:rStyle w:val="big-number"/>
          <w:rFonts w:hint="cs"/>
          <w:rtl/>
        </w:rPr>
        <w:t>6</w:t>
      </w:r>
      <w:r>
        <w:rPr>
          <w:rStyle w:val="big-number"/>
          <w:rtl/>
        </w:rPr>
        <w:t>.</w:t>
      </w:r>
      <w:r>
        <w:rPr>
          <w:rStyle w:val="big-number"/>
          <w:rtl/>
        </w:rPr>
        <w:tab/>
      </w:r>
      <w:r>
        <w:rPr>
          <w:rStyle w:val="default"/>
          <w:rFonts w:cs="FrankRuehl" w:hint="cs"/>
          <w:rtl/>
        </w:rPr>
        <w:t>קבוצות בני אדם אשר נטלו חלק פעיל במאמץ המלחמתי, יוענק להן אות המערכה באופן קבוצתי, אם המליץ עליהן השר הנוגע בדבר ואושרו בידי שר הביטחון או מי שהוא הסמיכו לכך.</w:t>
      </w:r>
    </w:p>
    <w:p w:rsidR="005F7138" w:rsidRDefault="005F7138">
      <w:pPr>
        <w:pStyle w:val="P00"/>
        <w:spacing w:before="72"/>
        <w:ind w:left="0" w:right="1134"/>
        <w:rPr>
          <w:rStyle w:val="default"/>
          <w:rFonts w:cs="FrankRuehl" w:hint="cs"/>
          <w:rtl/>
        </w:rPr>
      </w:pPr>
      <w:bookmarkStart w:id="6" w:name="Seif6"/>
      <w:bookmarkEnd w:id="6"/>
      <w:r>
        <w:rPr>
          <w:lang w:val="he-IL"/>
        </w:rPr>
        <w:pict>
          <v:rect id="_x0000_s1044" style="position:absolute;left:0;text-align:left;margin-left:464.5pt;margin-top:8.05pt;width:75.05pt;height:15.5pt;z-index:251660800" o:allowincell="f" filled="f" stroked="f" strokecolor="lime" strokeweight=".25pt">
            <v:textbox inset="0,0,0,0">
              <w:txbxContent>
                <w:p w:rsidR="005F7138" w:rsidRDefault="005F7138">
                  <w:pPr>
                    <w:spacing w:line="160" w:lineRule="exact"/>
                    <w:jc w:val="left"/>
                    <w:rPr>
                      <w:rFonts w:cs="Miriam" w:hint="cs"/>
                      <w:noProof/>
                      <w:szCs w:val="18"/>
                      <w:rtl/>
                    </w:rPr>
                  </w:pPr>
                  <w:r>
                    <w:rPr>
                      <w:rFonts w:cs="Miriam" w:hint="cs"/>
                      <w:szCs w:val="18"/>
                      <w:rtl/>
                    </w:rPr>
                    <w:t xml:space="preserve">מקבלי האות </w:t>
                  </w:r>
                  <w:r>
                    <w:rPr>
                      <w:rFonts w:cs="Miriam"/>
                      <w:szCs w:val="18"/>
                      <w:rtl/>
                    </w:rPr>
                    <w:br/>
                  </w:r>
                  <w:r>
                    <w:rPr>
                      <w:rFonts w:cs="Miriam" w:hint="cs"/>
                      <w:szCs w:val="18"/>
                      <w:rtl/>
                    </w:rPr>
                    <w:t>הגשת רשימות</w:t>
                  </w:r>
                </w:p>
              </w:txbxContent>
            </v:textbox>
            <w10:anchorlock/>
          </v:rect>
        </w:pict>
      </w:r>
      <w:r>
        <w:rPr>
          <w:rStyle w:val="big-number"/>
          <w:rFonts w:hint="cs"/>
          <w:rtl/>
        </w:rPr>
        <w:t>7</w:t>
      </w:r>
      <w:r>
        <w:rPr>
          <w:rStyle w:val="big-number"/>
          <w:rtl/>
        </w:rPr>
        <w:t>.</w:t>
      </w:r>
      <w:r>
        <w:rPr>
          <w:rStyle w:val="big-number"/>
          <w:rtl/>
        </w:rPr>
        <w:tab/>
      </w:r>
      <w:r>
        <w:rPr>
          <w:rStyle w:val="default"/>
          <w:rFonts w:cs="FrankRuehl" w:hint="cs"/>
          <w:rtl/>
        </w:rPr>
        <w:t xml:space="preserve">רשימות האנשים שיוענק להם אות המערכה לפי תקנות אלה יגישו לשר הביטחון או למי </w:t>
      </w:r>
      <w:r>
        <w:rPr>
          <w:rStyle w:val="default"/>
          <w:rFonts w:cs="FrankRuehl" w:hint="cs"/>
          <w:rtl/>
        </w:rPr>
        <w:lastRenderedPageBreak/>
        <w:t xml:space="preserve">שהסמיך לכך </w:t>
      </w:r>
      <w:r>
        <w:rPr>
          <w:rStyle w:val="default"/>
          <w:rFonts w:cs="FrankRuehl"/>
          <w:rtl/>
        </w:rPr>
        <w:t>–</w:t>
      </w:r>
    </w:p>
    <w:p w:rsidR="005F7138" w:rsidRDefault="005F7138">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מנהלי המפעלים, המוסדות או השירותים הנוגעים בדבר </w:t>
      </w:r>
      <w:r>
        <w:rPr>
          <w:rStyle w:val="default"/>
          <w:rFonts w:cs="FrankRuehl"/>
          <w:rtl/>
        </w:rPr>
        <w:t>–</w:t>
      </w:r>
      <w:r>
        <w:rPr>
          <w:rStyle w:val="default"/>
          <w:rFonts w:cs="FrankRuehl" w:hint="cs"/>
          <w:rtl/>
        </w:rPr>
        <w:t xml:space="preserve"> לגבי מקבלי האות לפי תקנה 2;</w:t>
      </w:r>
    </w:p>
    <w:p w:rsidR="005F7138" w:rsidRDefault="005F713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מי ששר הביטחון הסמיכו לכך </w:t>
      </w:r>
      <w:r>
        <w:rPr>
          <w:rStyle w:val="default"/>
          <w:rFonts w:cs="FrankRuehl"/>
          <w:rtl/>
        </w:rPr>
        <w:t>–</w:t>
      </w:r>
      <w:r>
        <w:rPr>
          <w:rStyle w:val="default"/>
          <w:rFonts w:cs="FrankRuehl" w:hint="cs"/>
          <w:rtl/>
        </w:rPr>
        <w:t xml:space="preserve"> לגבי מקבלי האות לפי תקנה 3;</w:t>
      </w:r>
    </w:p>
    <w:p w:rsidR="005F7138" w:rsidRDefault="005F7138">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מנהלי המפעלים, המוסדות או השירותים הנוגעים בדבר או מי ששר הביטחון הסמיכו לכך </w:t>
      </w:r>
      <w:r>
        <w:rPr>
          <w:rStyle w:val="default"/>
          <w:rFonts w:cs="FrankRuehl"/>
          <w:rtl/>
        </w:rPr>
        <w:t>–</w:t>
      </w:r>
      <w:r>
        <w:rPr>
          <w:rStyle w:val="default"/>
          <w:rFonts w:cs="FrankRuehl" w:hint="cs"/>
          <w:rtl/>
        </w:rPr>
        <w:t xml:space="preserve"> לגבי מקבלי האות לפי תקנה 4;</w:t>
      </w:r>
    </w:p>
    <w:p w:rsidR="005F7138" w:rsidRDefault="005F7138">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שאר הבשר הקרוב ביותר </w:t>
      </w:r>
      <w:r>
        <w:rPr>
          <w:rStyle w:val="default"/>
          <w:rFonts w:cs="FrankRuehl"/>
          <w:rtl/>
        </w:rPr>
        <w:t>–</w:t>
      </w:r>
      <w:r>
        <w:rPr>
          <w:rStyle w:val="default"/>
          <w:rFonts w:cs="FrankRuehl" w:hint="cs"/>
          <w:rtl/>
        </w:rPr>
        <w:t xml:space="preserve"> לגבי מקבלי האות לפי תקנה 5.</w:t>
      </w:r>
    </w:p>
    <w:p w:rsidR="005F7138" w:rsidRDefault="005F7138">
      <w:pPr>
        <w:pStyle w:val="P00"/>
        <w:spacing w:before="72"/>
        <w:ind w:left="0" w:right="1134"/>
        <w:rPr>
          <w:rStyle w:val="default"/>
          <w:rFonts w:cs="FrankRuehl" w:hint="cs"/>
          <w:sz w:val="26"/>
          <w:rtl/>
        </w:rPr>
      </w:pPr>
    </w:p>
    <w:p w:rsidR="005F7138" w:rsidRDefault="005F7138">
      <w:pPr>
        <w:pStyle w:val="P00"/>
        <w:spacing w:before="72"/>
        <w:ind w:left="0" w:right="1134"/>
        <w:rPr>
          <w:rStyle w:val="default"/>
          <w:rFonts w:cs="FrankRuehl" w:hint="cs"/>
          <w:rtl/>
        </w:rPr>
      </w:pPr>
    </w:p>
    <w:p w:rsidR="005F7138" w:rsidRDefault="005F7138">
      <w:pPr>
        <w:pStyle w:val="sig-0"/>
        <w:ind w:left="0" w:right="1134"/>
        <w:rPr>
          <w:rtl/>
        </w:rPr>
      </w:pPr>
      <w:r>
        <w:rPr>
          <w:rFonts w:hint="cs"/>
          <w:rtl/>
        </w:rPr>
        <w:t>י"ב באב התשס"ג (17 באוגוסט 2003)</w:t>
      </w:r>
      <w:r>
        <w:rPr>
          <w:rtl/>
        </w:rPr>
        <w:tab/>
      </w:r>
      <w:r>
        <w:rPr>
          <w:rFonts w:hint="cs"/>
          <w:rtl/>
        </w:rPr>
        <w:t>שאול מופז</w:t>
      </w:r>
    </w:p>
    <w:p w:rsidR="005F7138" w:rsidRDefault="005F7138">
      <w:pPr>
        <w:pStyle w:val="sig-1"/>
        <w:widowControl/>
        <w:ind w:left="0" w:right="1134"/>
        <w:rPr>
          <w:rFonts w:hint="cs"/>
          <w:sz w:val="22"/>
          <w:rtl/>
        </w:rPr>
      </w:pPr>
      <w:r>
        <w:rPr>
          <w:sz w:val="22"/>
          <w:rtl/>
        </w:rPr>
        <w:tab/>
      </w:r>
      <w:r>
        <w:rPr>
          <w:sz w:val="22"/>
          <w:rtl/>
        </w:rPr>
        <w:tab/>
      </w:r>
      <w:r>
        <w:rPr>
          <w:sz w:val="22"/>
          <w:rtl/>
        </w:rPr>
        <w:tab/>
      </w:r>
      <w:r>
        <w:rPr>
          <w:rFonts w:hint="cs"/>
          <w:sz w:val="22"/>
          <w:rtl/>
        </w:rPr>
        <w:t>שר הביטחון</w:t>
      </w:r>
    </w:p>
    <w:p w:rsidR="005F7138" w:rsidRDefault="005F7138">
      <w:pPr>
        <w:pStyle w:val="P00"/>
        <w:spacing w:before="72"/>
        <w:ind w:left="0" w:right="1134"/>
        <w:rPr>
          <w:rStyle w:val="default"/>
          <w:rFonts w:cs="FrankRuehl" w:hint="cs"/>
          <w:rtl/>
        </w:rPr>
      </w:pPr>
    </w:p>
    <w:p w:rsidR="005F7138" w:rsidRDefault="005F7138">
      <w:pPr>
        <w:pStyle w:val="P00"/>
        <w:spacing w:before="72"/>
        <w:ind w:left="0" w:right="1134"/>
        <w:rPr>
          <w:rStyle w:val="default"/>
          <w:rFonts w:cs="FrankRuehl" w:hint="cs"/>
          <w:rtl/>
        </w:rPr>
      </w:pPr>
    </w:p>
    <w:p w:rsidR="005F7138" w:rsidRDefault="005F7138">
      <w:pPr>
        <w:pStyle w:val="P00"/>
        <w:spacing w:before="72"/>
        <w:ind w:left="0" w:right="1134"/>
        <w:rPr>
          <w:rStyle w:val="default"/>
          <w:rFonts w:cs="FrankRuehl"/>
          <w:rtl/>
        </w:rPr>
      </w:pPr>
      <w:bookmarkStart w:id="7" w:name="LawPartEnd"/>
    </w:p>
    <w:bookmarkEnd w:id="7"/>
    <w:p w:rsidR="005F7138" w:rsidRDefault="005F7138">
      <w:pPr>
        <w:pStyle w:val="P00"/>
        <w:spacing w:before="72"/>
        <w:ind w:left="0" w:right="1134"/>
        <w:rPr>
          <w:rStyle w:val="default"/>
          <w:rFonts w:cs="FrankRuehl"/>
          <w:rtl/>
        </w:rPr>
      </w:pPr>
    </w:p>
    <w:sectPr w:rsidR="005F7138">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925A1" w:rsidRDefault="004925A1">
      <w:r>
        <w:separator/>
      </w:r>
    </w:p>
  </w:endnote>
  <w:endnote w:type="continuationSeparator" w:id="0">
    <w:p w:rsidR="004925A1" w:rsidRDefault="00492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7138" w:rsidRDefault="005F713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5F7138" w:rsidRDefault="005F713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5F7138" w:rsidRDefault="005F713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Z:\000000000000-law\yael\07-11-06\new\01\999_201.doc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7138" w:rsidRDefault="005F713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E1236">
      <w:rPr>
        <w:rFonts w:hAnsi="FrankRuehl" w:cs="FrankRuehl"/>
        <w:noProof/>
        <w:sz w:val="24"/>
        <w:szCs w:val="24"/>
        <w:rtl/>
      </w:rPr>
      <w:t>2</w:t>
    </w:r>
    <w:r>
      <w:rPr>
        <w:rFonts w:hAnsi="FrankRuehl" w:cs="FrankRuehl"/>
        <w:sz w:val="24"/>
        <w:szCs w:val="24"/>
        <w:rtl/>
      </w:rPr>
      <w:fldChar w:fldCharType="end"/>
    </w:r>
  </w:p>
  <w:p w:rsidR="005F7138" w:rsidRDefault="005F713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5F7138" w:rsidRDefault="005F713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Z:\000000000000-law\yael\07-11-06\new\01\999_201.doc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925A1" w:rsidRDefault="004925A1">
      <w:pPr>
        <w:spacing w:before="60" w:line="240" w:lineRule="auto"/>
        <w:ind w:right="1134"/>
      </w:pPr>
      <w:r>
        <w:separator/>
      </w:r>
    </w:p>
  </w:footnote>
  <w:footnote w:type="continuationSeparator" w:id="0">
    <w:p w:rsidR="004925A1" w:rsidRDefault="004925A1">
      <w:r>
        <w:continuationSeparator/>
      </w:r>
    </w:p>
  </w:footnote>
  <w:footnote w:id="1">
    <w:p w:rsidR="005F7138" w:rsidRDefault="005F713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פורסמו </w:t>
      </w:r>
      <w:hyperlink r:id="rId1" w:history="1">
        <w:r>
          <w:rPr>
            <w:rStyle w:val="Hyperlink"/>
            <w:rFonts w:hint="cs"/>
            <w:sz w:val="20"/>
            <w:rtl/>
          </w:rPr>
          <w:t>ק"ת תשס"ג מס' 6263</w:t>
        </w:r>
      </w:hyperlink>
      <w:r>
        <w:rPr>
          <w:rFonts w:hint="cs"/>
          <w:sz w:val="20"/>
          <w:rtl/>
        </w:rPr>
        <w:t xml:space="preserve"> מיום 8.9.2003 עמ' 1108.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7138" w:rsidRDefault="005F713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התקשורת (בזק ושידורים) (חישוב תשלומים בעד שירותי בזק והצמדתם), תשנ"ט- 1999</w:t>
    </w:r>
  </w:p>
  <w:p w:rsidR="005F7138" w:rsidRDefault="005F713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F7138" w:rsidRDefault="005F7138">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7138" w:rsidRDefault="005F7138">
    <w:pPr>
      <w:pStyle w:val="a3"/>
      <w:spacing w:line="220" w:lineRule="exact"/>
      <w:ind w:right="1134"/>
      <w:jc w:val="center"/>
      <w:rPr>
        <w:rFonts w:hAnsi="FrankRuehl" w:cs="FrankRuehl" w:hint="cs"/>
        <w:color w:val="000000"/>
        <w:sz w:val="24"/>
        <w:szCs w:val="26"/>
        <w:rtl/>
      </w:rPr>
    </w:pPr>
    <w:r>
      <w:rPr>
        <w:rFonts w:hAnsi="FrankRuehl" w:cs="FrankRuehl" w:hint="cs"/>
        <w:color w:val="000000"/>
        <w:sz w:val="24"/>
        <w:szCs w:val="26"/>
        <w:rtl/>
      </w:rPr>
      <w:t xml:space="preserve">תקנות העיטורים בצבא הגנה לישראל (אות מלחמת ההתשה </w:t>
    </w:r>
    <w:r>
      <w:rPr>
        <w:rFonts w:hAnsi="FrankRuehl" w:cs="FrankRuehl"/>
        <w:color w:val="000000"/>
        <w:sz w:val="24"/>
        <w:szCs w:val="26"/>
        <w:rtl/>
      </w:rPr>
      <w:t>–</w:t>
    </w:r>
    <w:r>
      <w:rPr>
        <w:rFonts w:hAnsi="FrankRuehl" w:cs="FrankRuehl" w:hint="cs"/>
        <w:color w:val="000000"/>
        <w:sz w:val="24"/>
        <w:szCs w:val="26"/>
        <w:rtl/>
      </w:rPr>
      <w:t xml:space="preserve"> קביעת אזרחים זכאים)</w:t>
    </w:r>
    <w:r>
      <w:rPr>
        <w:rFonts w:hAnsi="FrankRuehl" w:cs="FrankRuehl"/>
        <w:color w:val="000000"/>
        <w:sz w:val="24"/>
        <w:szCs w:val="26"/>
        <w:rtl/>
      </w:rPr>
      <w:t xml:space="preserve">, </w:t>
    </w:r>
    <w:r>
      <w:rPr>
        <w:rFonts w:hAnsi="FrankRuehl" w:cs="FrankRuehl" w:hint="cs"/>
        <w:color w:val="000000"/>
        <w:sz w:val="24"/>
        <w:szCs w:val="26"/>
        <w:rtl/>
      </w:rPr>
      <w:br/>
      <w:t>תשס"ג-2003</w:t>
    </w:r>
  </w:p>
  <w:p w:rsidR="005F7138" w:rsidRDefault="005F713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F7138" w:rsidRDefault="005F7138">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32B6"/>
    <w:rsid w:val="003D32B6"/>
    <w:rsid w:val="00427643"/>
    <w:rsid w:val="004925A1"/>
    <w:rsid w:val="004A0B1C"/>
    <w:rsid w:val="00525D20"/>
    <w:rsid w:val="005F7138"/>
    <w:rsid w:val="0091237B"/>
    <w:rsid w:val="00FE123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5:chartTrackingRefBased/>
  <w15:docId w15:val="{643A6AA5-C274-4543-B213-42379C5A5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26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פרק 32</vt:lpstr>
    </vt:vector>
  </TitlesOfParts>
  <Company/>
  <LinksUpToDate>false</LinksUpToDate>
  <CharactersWithSpaces>3173</CharactersWithSpaces>
  <SharedDoc>false</SharedDoc>
  <HLinks>
    <vt:vector size="48" baseType="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7929865</vt:i4>
      </vt:variant>
      <vt:variant>
        <vt:i4>0</vt:i4>
      </vt:variant>
      <vt:variant>
        <vt:i4>0</vt:i4>
      </vt:variant>
      <vt:variant>
        <vt:i4>5</vt:i4>
      </vt:variant>
      <vt:variant>
        <vt:lpwstr>http://www.nevo.co.il/Law_word/law06/TAK-6263.pdf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32</dc:title>
  <dc:subject/>
  <dc:creator>eli</dc:creator>
  <cp:keywords/>
  <dc:description/>
  <cp:lastModifiedBy>Shimon Doodkin</cp:lastModifiedBy>
  <cp:revision>2</cp:revision>
  <dcterms:created xsi:type="dcterms:W3CDTF">2023-06-05T20:24:00Z</dcterms:created>
  <dcterms:modified xsi:type="dcterms:W3CDTF">2023-06-05T20:24:00Z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צבא הגנה לישראל</vt:lpwstr>
  </property>
  <property fmtid="{D5CDD505-2E9C-101B-9397-08002B2CF9AE}" pid="4" name="LAWNAME">
    <vt:lpwstr>תקנות העיטורים בצבא הגנה לישראל (אות מלחמת ההתשה - קביעת אזרחים זכאים), תשס"ג-2003</vt:lpwstr>
  </property>
  <property fmtid="{D5CDD505-2E9C-101B-9397-08002B2CF9AE}" pid="5" name="LAWNUMBER">
    <vt:lpwstr>0201</vt:lpwstr>
  </property>
  <property fmtid="{D5CDD505-2E9C-101B-9397-08002B2CF9AE}" pid="6" name="TYPE">
    <vt:lpwstr>01</vt:lpwstr>
  </property>
  <property fmtid="{D5CDD505-2E9C-101B-9397-08002B2CF9AE}" pid="7" name="NOSE11">
    <vt:lpwstr>בטחון</vt:lpwstr>
  </property>
  <property fmtid="{D5CDD505-2E9C-101B-9397-08002B2CF9AE}" pid="8" name="NOSE21">
    <vt:lpwstr>צה"ל</vt:lpwstr>
  </property>
  <property fmtid="{D5CDD505-2E9C-101B-9397-08002B2CF9AE}" pid="9" name="NOSE31">
    <vt:lpwstr>עיטורים</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העיטורים בצבא הגנה לישראל</vt:lpwstr>
  </property>
  <property fmtid="{D5CDD505-2E9C-101B-9397-08002B2CF9AE}" pid="48" name="MEKOR_SAIF1">
    <vt:lpwstr>7אX;21X</vt:lpwstr>
  </property>
</Properties>
</file>