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EA5B" w14:textId="77777777" w:rsidR="008E2536" w:rsidRDefault="008E2536">
      <w:pPr>
        <w:pStyle w:val="big-header"/>
        <w:ind w:left="0" w:right="1134"/>
        <w:rPr>
          <w:rFonts w:hint="cs"/>
          <w:sz w:val="32"/>
          <w:rtl/>
        </w:rPr>
      </w:pPr>
      <w:r>
        <w:rPr>
          <w:rFonts w:hint="cs"/>
          <w:sz w:val="32"/>
          <w:rtl/>
        </w:rPr>
        <w:t xml:space="preserve">תקנות העיטורים בצבא הגנה לישראל (אות מלחמת ההתשה </w:t>
      </w:r>
      <w:r>
        <w:rPr>
          <w:sz w:val="32"/>
          <w:rtl/>
        </w:rPr>
        <w:t>–</w:t>
      </w:r>
      <w:r>
        <w:rPr>
          <w:rFonts w:hint="cs"/>
          <w:sz w:val="32"/>
          <w:rtl/>
        </w:rPr>
        <w:t xml:space="preserve"> קביעת זכאים), תשס"ג-2003</w:t>
      </w:r>
    </w:p>
    <w:p w14:paraId="37516EB7" w14:textId="77777777" w:rsidR="00355FE7" w:rsidRDefault="00355FE7" w:rsidP="00355FE7">
      <w:pPr>
        <w:spacing w:line="320" w:lineRule="auto"/>
        <w:jc w:val="left"/>
        <w:rPr>
          <w:rFonts w:hint="cs"/>
          <w:rtl/>
        </w:rPr>
      </w:pPr>
    </w:p>
    <w:p w14:paraId="4A112B29" w14:textId="77777777" w:rsidR="00C309D7" w:rsidRDefault="00C309D7" w:rsidP="00355FE7">
      <w:pPr>
        <w:spacing w:line="320" w:lineRule="auto"/>
        <w:jc w:val="left"/>
        <w:rPr>
          <w:rFonts w:hint="cs"/>
          <w:rtl/>
        </w:rPr>
      </w:pPr>
    </w:p>
    <w:p w14:paraId="0FB1A514" w14:textId="77777777" w:rsidR="00355FE7" w:rsidRPr="00355FE7" w:rsidRDefault="00355FE7" w:rsidP="00355FE7">
      <w:pPr>
        <w:spacing w:line="320" w:lineRule="auto"/>
        <w:jc w:val="left"/>
        <w:rPr>
          <w:rFonts w:cs="Miriam" w:hint="cs"/>
          <w:szCs w:val="22"/>
          <w:rtl/>
        </w:rPr>
      </w:pPr>
      <w:r w:rsidRPr="00355FE7">
        <w:rPr>
          <w:rFonts w:cs="Miriam"/>
          <w:szCs w:val="22"/>
          <w:rtl/>
        </w:rPr>
        <w:t>בטחון</w:t>
      </w:r>
      <w:r w:rsidRPr="00355FE7">
        <w:rPr>
          <w:rFonts w:cs="FrankRuehl"/>
          <w:szCs w:val="26"/>
          <w:rtl/>
        </w:rPr>
        <w:t xml:space="preserve"> – צה"ל – עיטורים</w:t>
      </w:r>
    </w:p>
    <w:p w14:paraId="2D16BA4C" w14:textId="77777777" w:rsidR="008E2536" w:rsidRDefault="008E2536">
      <w:pPr>
        <w:pStyle w:val="big-header"/>
        <w:ind w:left="0" w:right="1134"/>
        <w:rPr>
          <w:rFonts w:hint="cs"/>
          <w:sz w:val="32"/>
          <w:rtl/>
        </w:rPr>
      </w:pPr>
      <w:r>
        <w:rPr>
          <w:rFonts w:hint="cs"/>
          <w:sz w:val="32"/>
          <w:rtl/>
        </w:rPr>
        <w:t>תוכן ענינים</w:t>
      </w:r>
    </w:p>
    <w:p w14:paraId="5BF5BAC4" w14:textId="77777777" w:rsidR="008E2536" w:rsidRDefault="008E2536">
      <w:pPr>
        <w:pStyle w:val="big-header"/>
        <w:spacing w:before="0" w:after="0"/>
        <w:ind w:left="0" w:right="1134"/>
        <w:jc w:val="left"/>
        <w:rPr>
          <w:rFonts w:hint="cs"/>
          <w:szCs w:val="26"/>
          <w:rtl/>
        </w:rPr>
      </w:pPr>
    </w:p>
    <w:tbl>
      <w:tblPr>
        <w:bidiVisual/>
        <w:tblW w:w="8333" w:type="dxa"/>
        <w:tblLayout w:type="fixed"/>
        <w:tblLook w:val="0000" w:firstRow="0" w:lastRow="0" w:firstColumn="0" w:lastColumn="0" w:noHBand="0" w:noVBand="0"/>
      </w:tblPr>
      <w:tblGrid>
        <w:gridCol w:w="1247"/>
        <w:gridCol w:w="5669"/>
        <w:gridCol w:w="567"/>
        <w:gridCol w:w="850"/>
      </w:tblGrid>
      <w:tr w:rsidR="00D34410" w:rsidRPr="00D34410" w14:paraId="1775BE2F" w14:textId="77777777" w:rsidTr="00D34410">
        <w:tblPrEx>
          <w:tblCellMar>
            <w:top w:w="0" w:type="dxa"/>
            <w:bottom w:w="0" w:type="dxa"/>
          </w:tblCellMar>
        </w:tblPrEx>
        <w:tc>
          <w:tcPr>
            <w:tcW w:w="1247" w:type="dxa"/>
          </w:tcPr>
          <w:p w14:paraId="7D0AE424" w14:textId="77777777" w:rsidR="00D34410" w:rsidRPr="00D34410" w:rsidRDefault="00D34410" w:rsidP="00D34410">
            <w:pPr>
              <w:spacing w:line="240" w:lineRule="auto"/>
              <w:jc w:val="left"/>
              <w:rPr>
                <w:rFonts w:cs="Frankruhel" w:hint="cs"/>
                <w:sz w:val="24"/>
                <w:rtl/>
              </w:rPr>
            </w:pPr>
            <w:r>
              <w:rPr>
                <w:rFonts w:cs="Times New Roman"/>
                <w:sz w:val="24"/>
                <w:rtl/>
              </w:rPr>
              <w:t xml:space="preserve">סעיף 1 </w:t>
            </w:r>
          </w:p>
        </w:tc>
        <w:tc>
          <w:tcPr>
            <w:tcW w:w="5669" w:type="dxa"/>
          </w:tcPr>
          <w:p w14:paraId="25DF2B58" w14:textId="77777777" w:rsidR="00D34410" w:rsidRPr="00D34410" w:rsidRDefault="00D34410" w:rsidP="00D34410">
            <w:pPr>
              <w:spacing w:line="240" w:lineRule="auto"/>
              <w:jc w:val="left"/>
              <w:rPr>
                <w:rFonts w:cs="Frankruhel" w:hint="cs"/>
                <w:sz w:val="24"/>
                <w:rtl/>
              </w:rPr>
            </w:pPr>
            <w:r>
              <w:rPr>
                <w:rFonts w:cs="Times New Roman"/>
                <w:sz w:val="24"/>
                <w:rtl/>
              </w:rPr>
              <w:t>הגדרות</w:t>
            </w:r>
          </w:p>
        </w:tc>
        <w:tc>
          <w:tcPr>
            <w:tcW w:w="567" w:type="dxa"/>
          </w:tcPr>
          <w:p w14:paraId="7D8EA8F4" w14:textId="77777777" w:rsidR="00D34410" w:rsidRPr="00D34410" w:rsidRDefault="00D34410" w:rsidP="00D34410">
            <w:pPr>
              <w:spacing w:line="240" w:lineRule="auto"/>
              <w:jc w:val="left"/>
              <w:rPr>
                <w:rStyle w:val="Hyperlink"/>
                <w:rFonts w:hint="cs"/>
                <w:rtl/>
              </w:rPr>
            </w:pPr>
            <w:hyperlink w:anchor="Seif1" w:tooltip="הגדרות" w:history="1">
              <w:r w:rsidRPr="00D34410">
                <w:rPr>
                  <w:rStyle w:val="Hyperlink"/>
                </w:rPr>
                <w:t>Go</w:t>
              </w:r>
            </w:hyperlink>
          </w:p>
        </w:tc>
        <w:tc>
          <w:tcPr>
            <w:tcW w:w="850" w:type="dxa"/>
          </w:tcPr>
          <w:p w14:paraId="64F49E9C" w14:textId="77777777" w:rsidR="00D34410" w:rsidRPr="00D34410" w:rsidRDefault="00D34410" w:rsidP="00D344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34410" w:rsidRPr="00D34410" w14:paraId="515B413B" w14:textId="77777777" w:rsidTr="00D34410">
        <w:tblPrEx>
          <w:tblCellMar>
            <w:top w:w="0" w:type="dxa"/>
            <w:bottom w:w="0" w:type="dxa"/>
          </w:tblCellMar>
        </w:tblPrEx>
        <w:tc>
          <w:tcPr>
            <w:tcW w:w="1247" w:type="dxa"/>
          </w:tcPr>
          <w:p w14:paraId="1B0DE00D" w14:textId="77777777" w:rsidR="00D34410" w:rsidRPr="00D34410" w:rsidRDefault="00D34410" w:rsidP="00D34410">
            <w:pPr>
              <w:spacing w:line="240" w:lineRule="auto"/>
              <w:jc w:val="left"/>
              <w:rPr>
                <w:rFonts w:cs="Frankruhel" w:hint="cs"/>
                <w:sz w:val="24"/>
                <w:rtl/>
              </w:rPr>
            </w:pPr>
            <w:r>
              <w:rPr>
                <w:rFonts w:cs="Times New Roman"/>
                <w:sz w:val="24"/>
                <w:rtl/>
              </w:rPr>
              <w:t xml:space="preserve">סעיף 2 </w:t>
            </w:r>
          </w:p>
        </w:tc>
        <w:tc>
          <w:tcPr>
            <w:tcW w:w="5669" w:type="dxa"/>
          </w:tcPr>
          <w:p w14:paraId="7E59176E" w14:textId="77777777" w:rsidR="00D34410" w:rsidRPr="00D34410" w:rsidRDefault="00D34410" w:rsidP="00D34410">
            <w:pPr>
              <w:spacing w:line="240" w:lineRule="auto"/>
              <w:jc w:val="left"/>
              <w:rPr>
                <w:rFonts w:cs="Frankruhel" w:hint="cs"/>
                <w:sz w:val="24"/>
                <w:rtl/>
              </w:rPr>
            </w:pPr>
            <w:r>
              <w:rPr>
                <w:rFonts w:cs="Times New Roman"/>
                <w:sz w:val="24"/>
                <w:rtl/>
              </w:rPr>
              <w:t>אות מלחמת ההתשה</w:t>
            </w:r>
          </w:p>
        </w:tc>
        <w:tc>
          <w:tcPr>
            <w:tcW w:w="567" w:type="dxa"/>
          </w:tcPr>
          <w:p w14:paraId="3AE4C674" w14:textId="77777777" w:rsidR="00D34410" w:rsidRPr="00D34410" w:rsidRDefault="00D34410" w:rsidP="00D34410">
            <w:pPr>
              <w:spacing w:line="240" w:lineRule="auto"/>
              <w:jc w:val="left"/>
              <w:rPr>
                <w:rStyle w:val="Hyperlink"/>
                <w:rFonts w:hint="cs"/>
                <w:rtl/>
              </w:rPr>
            </w:pPr>
            <w:hyperlink w:anchor="Seif2" w:tooltip="אות מלחמת ההתשה" w:history="1">
              <w:r w:rsidRPr="00D34410">
                <w:rPr>
                  <w:rStyle w:val="Hyperlink"/>
                </w:rPr>
                <w:t>Go</w:t>
              </w:r>
            </w:hyperlink>
          </w:p>
        </w:tc>
        <w:tc>
          <w:tcPr>
            <w:tcW w:w="850" w:type="dxa"/>
          </w:tcPr>
          <w:p w14:paraId="759E34C4" w14:textId="77777777" w:rsidR="00D34410" w:rsidRPr="00D34410" w:rsidRDefault="00D34410" w:rsidP="00D344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34410" w:rsidRPr="00D34410" w14:paraId="46B8B69C" w14:textId="77777777" w:rsidTr="00D34410">
        <w:tblPrEx>
          <w:tblCellMar>
            <w:top w:w="0" w:type="dxa"/>
            <w:bottom w:w="0" w:type="dxa"/>
          </w:tblCellMar>
        </w:tblPrEx>
        <w:tc>
          <w:tcPr>
            <w:tcW w:w="1247" w:type="dxa"/>
          </w:tcPr>
          <w:p w14:paraId="34E2625B" w14:textId="77777777" w:rsidR="00D34410" w:rsidRPr="00D34410" w:rsidRDefault="00D34410" w:rsidP="00D34410">
            <w:pPr>
              <w:spacing w:line="240" w:lineRule="auto"/>
              <w:jc w:val="left"/>
              <w:rPr>
                <w:rFonts w:cs="Frankruhel" w:hint="cs"/>
                <w:sz w:val="24"/>
                <w:rtl/>
              </w:rPr>
            </w:pPr>
            <w:r>
              <w:rPr>
                <w:rFonts w:cs="Times New Roman"/>
                <w:sz w:val="24"/>
                <w:rtl/>
              </w:rPr>
              <w:t xml:space="preserve">סעיף 3 </w:t>
            </w:r>
          </w:p>
        </w:tc>
        <w:tc>
          <w:tcPr>
            <w:tcW w:w="5669" w:type="dxa"/>
          </w:tcPr>
          <w:p w14:paraId="6BE40271" w14:textId="77777777" w:rsidR="00D34410" w:rsidRPr="00D34410" w:rsidRDefault="00D34410" w:rsidP="00D34410">
            <w:pPr>
              <w:spacing w:line="240" w:lineRule="auto"/>
              <w:jc w:val="left"/>
              <w:rPr>
                <w:rFonts w:cs="Frankruhel" w:hint="cs"/>
                <w:sz w:val="24"/>
                <w:rtl/>
              </w:rPr>
            </w:pPr>
            <w:r>
              <w:rPr>
                <w:rFonts w:cs="Times New Roman"/>
                <w:sz w:val="24"/>
                <w:rtl/>
              </w:rPr>
              <w:t>זכאים לקבלת האות</w:t>
            </w:r>
          </w:p>
        </w:tc>
        <w:tc>
          <w:tcPr>
            <w:tcW w:w="567" w:type="dxa"/>
          </w:tcPr>
          <w:p w14:paraId="253E8A89" w14:textId="77777777" w:rsidR="00D34410" w:rsidRPr="00D34410" w:rsidRDefault="00D34410" w:rsidP="00D34410">
            <w:pPr>
              <w:spacing w:line="240" w:lineRule="auto"/>
              <w:jc w:val="left"/>
              <w:rPr>
                <w:rStyle w:val="Hyperlink"/>
                <w:rFonts w:hint="cs"/>
                <w:rtl/>
              </w:rPr>
            </w:pPr>
            <w:hyperlink w:anchor="Seif3" w:tooltip="זכאים לקבלת האות" w:history="1">
              <w:r w:rsidRPr="00D34410">
                <w:rPr>
                  <w:rStyle w:val="Hyperlink"/>
                </w:rPr>
                <w:t>Go</w:t>
              </w:r>
            </w:hyperlink>
          </w:p>
        </w:tc>
        <w:tc>
          <w:tcPr>
            <w:tcW w:w="850" w:type="dxa"/>
          </w:tcPr>
          <w:p w14:paraId="6B556962" w14:textId="77777777" w:rsidR="00D34410" w:rsidRPr="00D34410" w:rsidRDefault="00D34410" w:rsidP="00D344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34410" w:rsidRPr="00D34410" w14:paraId="0BC8EC6C" w14:textId="77777777" w:rsidTr="00D34410">
        <w:tblPrEx>
          <w:tblCellMar>
            <w:top w:w="0" w:type="dxa"/>
            <w:bottom w:w="0" w:type="dxa"/>
          </w:tblCellMar>
        </w:tblPrEx>
        <w:tc>
          <w:tcPr>
            <w:tcW w:w="1247" w:type="dxa"/>
          </w:tcPr>
          <w:p w14:paraId="374248A1" w14:textId="77777777" w:rsidR="00D34410" w:rsidRPr="00D34410" w:rsidRDefault="00D34410" w:rsidP="00D34410">
            <w:pPr>
              <w:spacing w:line="240" w:lineRule="auto"/>
              <w:jc w:val="left"/>
              <w:rPr>
                <w:rFonts w:cs="Frankruhel" w:hint="cs"/>
                <w:sz w:val="24"/>
                <w:rtl/>
              </w:rPr>
            </w:pPr>
            <w:r>
              <w:rPr>
                <w:rFonts w:cs="Times New Roman"/>
                <w:sz w:val="24"/>
                <w:rtl/>
              </w:rPr>
              <w:t xml:space="preserve">סעיף 4 </w:t>
            </w:r>
          </w:p>
        </w:tc>
        <w:tc>
          <w:tcPr>
            <w:tcW w:w="5669" w:type="dxa"/>
          </w:tcPr>
          <w:p w14:paraId="04E906AF" w14:textId="77777777" w:rsidR="00D34410" w:rsidRPr="00D34410" w:rsidRDefault="00D34410" w:rsidP="00D34410">
            <w:pPr>
              <w:spacing w:line="240" w:lineRule="auto"/>
              <w:jc w:val="left"/>
              <w:rPr>
                <w:rFonts w:cs="Frankruhel" w:hint="cs"/>
                <w:sz w:val="24"/>
                <w:rtl/>
              </w:rPr>
            </w:pPr>
            <w:r>
              <w:rPr>
                <w:rFonts w:cs="Times New Roman"/>
                <w:sz w:val="24"/>
                <w:rtl/>
              </w:rPr>
              <w:t>זכאי שנפטר</w:t>
            </w:r>
          </w:p>
        </w:tc>
        <w:tc>
          <w:tcPr>
            <w:tcW w:w="567" w:type="dxa"/>
          </w:tcPr>
          <w:p w14:paraId="7AB211E8" w14:textId="77777777" w:rsidR="00D34410" w:rsidRPr="00D34410" w:rsidRDefault="00D34410" w:rsidP="00D34410">
            <w:pPr>
              <w:spacing w:line="240" w:lineRule="auto"/>
              <w:jc w:val="left"/>
              <w:rPr>
                <w:rStyle w:val="Hyperlink"/>
                <w:rFonts w:hint="cs"/>
                <w:rtl/>
              </w:rPr>
            </w:pPr>
            <w:hyperlink w:anchor="Seif4" w:tooltip="זכאי שנפטר" w:history="1">
              <w:r w:rsidRPr="00D34410">
                <w:rPr>
                  <w:rStyle w:val="Hyperlink"/>
                </w:rPr>
                <w:t>Go</w:t>
              </w:r>
            </w:hyperlink>
          </w:p>
        </w:tc>
        <w:tc>
          <w:tcPr>
            <w:tcW w:w="850" w:type="dxa"/>
          </w:tcPr>
          <w:p w14:paraId="1C65E32D" w14:textId="77777777" w:rsidR="00D34410" w:rsidRPr="00D34410" w:rsidRDefault="00D34410" w:rsidP="00D344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34410" w:rsidRPr="00D34410" w14:paraId="36ECFFEE" w14:textId="77777777" w:rsidTr="00D34410">
        <w:tblPrEx>
          <w:tblCellMar>
            <w:top w:w="0" w:type="dxa"/>
            <w:bottom w:w="0" w:type="dxa"/>
          </w:tblCellMar>
        </w:tblPrEx>
        <w:tc>
          <w:tcPr>
            <w:tcW w:w="1247" w:type="dxa"/>
          </w:tcPr>
          <w:p w14:paraId="3622B21E" w14:textId="77777777" w:rsidR="00D34410" w:rsidRPr="00D34410" w:rsidRDefault="00D34410" w:rsidP="00D34410">
            <w:pPr>
              <w:spacing w:line="240" w:lineRule="auto"/>
              <w:jc w:val="left"/>
              <w:rPr>
                <w:rFonts w:cs="Frankruhel" w:hint="cs"/>
                <w:sz w:val="24"/>
                <w:rtl/>
              </w:rPr>
            </w:pPr>
            <w:r>
              <w:rPr>
                <w:rFonts w:cs="Times New Roman"/>
                <w:sz w:val="24"/>
                <w:rtl/>
              </w:rPr>
              <w:t xml:space="preserve">סעיף 5 </w:t>
            </w:r>
          </w:p>
        </w:tc>
        <w:tc>
          <w:tcPr>
            <w:tcW w:w="5669" w:type="dxa"/>
          </w:tcPr>
          <w:p w14:paraId="6C17FC4B" w14:textId="77777777" w:rsidR="00D34410" w:rsidRPr="00D34410" w:rsidRDefault="00D34410" w:rsidP="00D34410">
            <w:pPr>
              <w:spacing w:line="240" w:lineRule="auto"/>
              <w:jc w:val="left"/>
              <w:rPr>
                <w:rFonts w:cs="Frankruhel" w:hint="cs"/>
                <w:sz w:val="24"/>
                <w:rtl/>
              </w:rPr>
            </w:pPr>
            <w:r>
              <w:rPr>
                <w:rFonts w:cs="Times New Roman"/>
                <w:sz w:val="24"/>
                <w:rtl/>
              </w:rPr>
              <w:t>מי שאינם זכאים לאות</w:t>
            </w:r>
          </w:p>
        </w:tc>
        <w:tc>
          <w:tcPr>
            <w:tcW w:w="567" w:type="dxa"/>
          </w:tcPr>
          <w:p w14:paraId="6F36A974" w14:textId="77777777" w:rsidR="00D34410" w:rsidRPr="00D34410" w:rsidRDefault="00D34410" w:rsidP="00D34410">
            <w:pPr>
              <w:spacing w:line="240" w:lineRule="auto"/>
              <w:jc w:val="left"/>
              <w:rPr>
                <w:rStyle w:val="Hyperlink"/>
                <w:rFonts w:hint="cs"/>
                <w:rtl/>
              </w:rPr>
            </w:pPr>
            <w:hyperlink w:anchor="Seif5" w:tooltip="מי שאינם זכאים לאות" w:history="1">
              <w:r w:rsidRPr="00D34410">
                <w:rPr>
                  <w:rStyle w:val="Hyperlink"/>
                </w:rPr>
                <w:t>Go</w:t>
              </w:r>
            </w:hyperlink>
          </w:p>
        </w:tc>
        <w:tc>
          <w:tcPr>
            <w:tcW w:w="850" w:type="dxa"/>
          </w:tcPr>
          <w:p w14:paraId="1F0FA9AC" w14:textId="77777777" w:rsidR="00D34410" w:rsidRPr="00D34410" w:rsidRDefault="00D34410" w:rsidP="00D34410">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3D231C23" w14:textId="77777777" w:rsidR="008E2536" w:rsidRDefault="008E2536">
      <w:pPr>
        <w:pStyle w:val="big-header"/>
        <w:ind w:left="0" w:right="1134"/>
        <w:rPr>
          <w:rFonts w:hint="cs"/>
          <w:sz w:val="32"/>
          <w:rtl/>
        </w:rPr>
      </w:pPr>
    </w:p>
    <w:p w14:paraId="06FB39EB" w14:textId="77777777" w:rsidR="008E2536" w:rsidRDefault="008E2536" w:rsidP="00355FE7">
      <w:pPr>
        <w:pStyle w:val="big-header"/>
        <w:ind w:left="0" w:right="1134"/>
        <w:rPr>
          <w:rFonts w:hint="cs"/>
          <w:sz w:val="32"/>
          <w:rtl/>
        </w:rPr>
      </w:pPr>
      <w:r>
        <w:rPr>
          <w:sz w:val="32"/>
          <w:rtl/>
        </w:rPr>
        <w:br w:type="page"/>
      </w:r>
      <w:r>
        <w:rPr>
          <w:rFonts w:hint="cs"/>
          <w:sz w:val="32"/>
          <w:rtl/>
        </w:rPr>
        <w:lastRenderedPageBreak/>
        <w:t xml:space="preserve">תקנות העיטורים בצבא הגנה לישראל (אות מלחמת ההתשה </w:t>
      </w:r>
      <w:r>
        <w:rPr>
          <w:sz w:val="32"/>
          <w:rtl/>
        </w:rPr>
        <w:t>–</w:t>
      </w:r>
      <w:r>
        <w:rPr>
          <w:rFonts w:hint="cs"/>
          <w:sz w:val="32"/>
          <w:rtl/>
        </w:rPr>
        <w:t xml:space="preserve"> קביעת זכאים), תשס"ג-2003</w:t>
      </w:r>
      <w:r>
        <w:rPr>
          <w:rStyle w:val="default"/>
          <w:rtl/>
        </w:rPr>
        <w:footnoteReference w:customMarkFollows="1" w:id="1"/>
        <w:t>*</w:t>
      </w:r>
    </w:p>
    <w:p w14:paraId="6EE99F9F" w14:textId="77777777" w:rsidR="008E2536" w:rsidRDefault="008E2536">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7(א) ו-21 לחוק העיטורים בצבא הגנה לישראל, התש"ל-1970 (להלן </w:t>
      </w:r>
      <w:r>
        <w:rPr>
          <w:rStyle w:val="default"/>
          <w:rFonts w:cs="FrankRuehl"/>
          <w:rtl/>
        </w:rPr>
        <w:t>–</w:t>
      </w:r>
      <w:r>
        <w:rPr>
          <w:rStyle w:val="default"/>
          <w:rFonts w:cs="FrankRuehl" w:hint="cs"/>
          <w:rtl/>
        </w:rPr>
        <w:t xml:space="preserve"> החוק), ובאישור הממשלה, אני מתקין תקנות אלה:</w:t>
      </w:r>
    </w:p>
    <w:p w14:paraId="139D79E5" w14:textId="77777777" w:rsidR="008E2536" w:rsidRDefault="008E2536">
      <w:pPr>
        <w:pStyle w:val="P00"/>
        <w:spacing w:before="72"/>
        <w:ind w:left="0" w:right="1134"/>
        <w:rPr>
          <w:rStyle w:val="default"/>
          <w:rFonts w:cs="FrankRuehl" w:hint="cs"/>
          <w:rtl/>
        </w:rPr>
      </w:pPr>
      <w:bookmarkStart w:id="0" w:name="Seif1"/>
      <w:bookmarkEnd w:id="0"/>
      <w:r>
        <w:rPr>
          <w:lang w:val="he-IL"/>
        </w:rPr>
        <w:pict w14:anchorId="238CA075">
          <v:rect id="_x0000_s1026" style="position:absolute;left:0;text-align:left;margin-left:470.25pt;margin-top:8.05pt;width:69.3pt;height:10.4pt;z-index:251655168" o:allowincell="f" filled="f" stroked="f" strokecolor="lime" strokeweight=".25pt">
            <v:textbox inset="0,0,0,0">
              <w:txbxContent>
                <w:p w14:paraId="21AD0A63" w14:textId="77777777" w:rsidR="008E2536" w:rsidRDefault="008E253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1B5A05A9" w14:textId="77777777" w:rsidR="008E2536" w:rsidRDefault="008E2536">
      <w:pPr>
        <w:pStyle w:val="P00"/>
        <w:spacing w:before="72"/>
        <w:ind w:left="0" w:right="1134"/>
        <w:rPr>
          <w:rStyle w:val="default"/>
          <w:rFonts w:cs="FrankRuehl" w:hint="cs"/>
          <w:rtl/>
        </w:rPr>
      </w:pPr>
      <w:r>
        <w:rPr>
          <w:rStyle w:val="default"/>
          <w:rFonts w:cs="FrankRuehl" w:hint="cs"/>
          <w:rtl/>
        </w:rPr>
        <w:tab/>
        <w:t xml:space="preserve">"שירות סדיר" </w:t>
      </w:r>
      <w:r>
        <w:rPr>
          <w:rStyle w:val="default"/>
          <w:rFonts w:cs="FrankRuehl"/>
          <w:rtl/>
        </w:rPr>
        <w:t>–</w:t>
      </w:r>
      <w:r>
        <w:rPr>
          <w:rStyle w:val="default"/>
          <w:rFonts w:cs="FrankRuehl" w:hint="cs"/>
          <w:rtl/>
        </w:rPr>
        <w:t xml:space="preserve"> כמשמעו בחוק שירות ביטחון [נוסח משולב], התשמ"ו-1986 (להלן </w:t>
      </w:r>
      <w:r>
        <w:rPr>
          <w:rStyle w:val="default"/>
          <w:rFonts w:cs="FrankRuehl"/>
          <w:rtl/>
        </w:rPr>
        <w:t>–</w:t>
      </w:r>
      <w:r>
        <w:rPr>
          <w:rStyle w:val="default"/>
          <w:rFonts w:cs="FrankRuehl" w:hint="cs"/>
          <w:rtl/>
        </w:rPr>
        <w:t xml:space="preserve"> חוק שירות ביטחון), לרבות שירות קבע כמשמעו בחוק שירות הקבע בצבא הגנה לישראל (גמלאות) [נוסח משולב], התשמ"ה-1985;</w:t>
      </w:r>
    </w:p>
    <w:p w14:paraId="6797D219" w14:textId="77777777" w:rsidR="008E2536" w:rsidRDefault="008E2536">
      <w:pPr>
        <w:pStyle w:val="P00"/>
        <w:spacing w:before="72"/>
        <w:ind w:left="0" w:right="1134"/>
        <w:rPr>
          <w:rStyle w:val="default"/>
          <w:rFonts w:cs="FrankRuehl" w:hint="cs"/>
          <w:rtl/>
        </w:rPr>
      </w:pPr>
      <w:r>
        <w:rPr>
          <w:rStyle w:val="default"/>
          <w:rFonts w:cs="FrankRuehl" w:hint="cs"/>
          <w:rtl/>
        </w:rPr>
        <w:tab/>
        <w:t xml:space="preserve">"שירות מילואים" </w:t>
      </w:r>
      <w:r>
        <w:rPr>
          <w:rStyle w:val="default"/>
          <w:rFonts w:cs="FrankRuehl"/>
          <w:rtl/>
        </w:rPr>
        <w:t>–</w:t>
      </w:r>
      <w:r>
        <w:rPr>
          <w:rStyle w:val="default"/>
          <w:rFonts w:cs="FrankRuehl" w:hint="cs"/>
          <w:rtl/>
        </w:rPr>
        <w:t xml:space="preserve"> כמשמעו בחוק שירות ביטחון;</w:t>
      </w:r>
    </w:p>
    <w:p w14:paraId="466401A4" w14:textId="77777777" w:rsidR="008E2536" w:rsidRDefault="008E2536">
      <w:pPr>
        <w:pStyle w:val="P00"/>
        <w:spacing w:before="72"/>
        <w:ind w:left="0" w:right="1134"/>
        <w:rPr>
          <w:rStyle w:val="default"/>
          <w:rFonts w:cs="FrankRuehl" w:hint="cs"/>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ג' בסיון התשכ"ז (11 ביוני 1967) עד יום ו' באב התש"ל (8 באוגוסט 1970).</w:t>
      </w:r>
    </w:p>
    <w:p w14:paraId="059FD463" w14:textId="77777777" w:rsidR="008E2536" w:rsidRDefault="008E2536">
      <w:pPr>
        <w:pStyle w:val="P00"/>
        <w:spacing w:before="72"/>
        <w:ind w:left="0" w:right="1134"/>
        <w:rPr>
          <w:rStyle w:val="default"/>
          <w:rFonts w:cs="FrankRuehl" w:hint="cs"/>
          <w:rtl/>
        </w:rPr>
      </w:pPr>
      <w:bookmarkStart w:id="1" w:name="Seif2"/>
      <w:bookmarkEnd w:id="1"/>
      <w:r>
        <w:rPr>
          <w:lang w:val="he-IL"/>
        </w:rPr>
        <w:pict w14:anchorId="64F465CB">
          <v:rect id="_x0000_s1027" style="position:absolute;left:0;text-align:left;margin-left:470.25pt;margin-top:8.05pt;width:69.3pt;height:20.1pt;z-index:251656192" o:allowincell="f" filled="f" stroked="f" strokecolor="lime" strokeweight=".25pt">
            <v:textbox inset="0,0,0,0">
              <w:txbxContent>
                <w:p w14:paraId="31ECDD23" w14:textId="77777777" w:rsidR="008E2536" w:rsidRDefault="008E2536">
                  <w:pPr>
                    <w:spacing w:line="160" w:lineRule="exact"/>
                    <w:jc w:val="left"/>
                    <w:rPr>
                      <w:rFonts w:cs="Miriam" w:hint="cs"/>
                      <w:noProof/>
                      <w:szCs w:val="18"/>
                      <w:rtl/>
                    </w:rPr>
                  </w:pPr>
                  <w:r>
                    <w:rPr>
                      <w:rFonts w:cs="Miriam" w:hint="cs"/>
                      <w:szCs w:val="18"/>
                      <w:rtl/>
                    </w:rPr>
                    <w:t>אות מלחמת ההתשה</w:t>
                  </w:r>
                </w:p>
              </w:txbxContent>
            </v:textbox>
            <w10:anchorlock/>
          </v:rect>
        </w:pict>
      </w:r>
      <w:r>
        <w:rPr>
          <w:rStyle w:val="big-number"/>
          <w:rtl/>
        </w:rPr>
        <w:t>2.</w:t>
      </w:r>
      <w:r>
        <w:rPr>
          <w:rStyle w:val="big-number"/>
          <w:rtl/>
        </w:rPr>
        <w:tab/>
      </w:r>
      <w:r>
        <w:rPr>
          <w:rStyle w:val="default"/>
          <w:rFonts w:cs="FrankRuehl" w:hint="cs"/>
          <w:rtl/>
        </w:rPr>
        <w:t>האות המציין השתתפות במלחמת ההתשה יהא אות מערכה לענין החוק.</w:t>
      </w:r>
    </w:p>
    <w:p w14:paraId="5FA38B57" w14:textId="77777777" w:rsidR="008E2536" w:rsidRDefault="008E2536">
      <w:pPr>
        <w:pStyle w:val="P00"/>
        <w:spacing w:before="72"/>
        <w:ind w:left="0" w:right="1134"/>
        <w:rPr>
          <w:rStyle w:val="default"/>
          <w:rFonts w:cs="FrankRuehl" w:hint="cs"/>
          <w:rtl/>
        </w:rPr>
      </w:pPr>
      <w:bookmarkStart w:id="2" w:name="Seif3"/>
      <w:bookmarkEnd w:id="2"/>
      <w:r>
        <w:rPr>
          <w:rFonts w:cs="Miriam"/>
          <w:szCs w:val="32"/>
          <w:rtl/>
          <w:lang w:val="he-IL"/>
        </w:rPr>
        <w:pict w14:anchorId="0EF20CEB">
          <v:shapetype id="_x0000_t202" coordsize="21600,21600" o:spt="202" path="m,l,21600r21600,l21600,xe">
            <v:stroke joinstyle="miter"/>
            <v:path gradientshapeok="t" o:connecttype="rect"/>
          </v:shapetype>
          <v:shape id="_x0000_s1056" type="#_x0000_t202" style="position:absolute;left:0;text-align:left;margin-left:470.25pt;margin-top:7.1pt;width:1in;height:23.5pt;z-index:251657216" filled="f" stroked="f">
            <v:textbox style="mso-next-textbox:#_x0000_s1056" inset="1mm,0,1mm,0">
              <w:txbxContent>
                <w:p w14:paraId="147BA0DE" w14:textId="77777777" w:rsidR="008E2536" w:rsidRDefault="008E2536">
                  <w:pPr>
                    <w:spacing w:line="160" w:lineRule="exact"/>
                    <w:jc w:val="left"/>
                    <w:rPr>
                      <w:rFonts w:cs="Miriam" w:hint="cs"/>
                      <w:szCs w:val="18"/>
                      <w:rtl/>
                    </w:rPr>
                  </w:pPr>
                  <w:r>
                    <w:rPr>
                      <w:rFonts w:cs="Miriam" w:hint="cs"/>
                      <w:szCs w:val="18"/>
                      <w:rtl/>
                    </w:rPr>
                    <w:t>זכאים לקבלת האות</w:t>
                  </w:r>
                </w:p>
                <w:p w14:paraId="65D71054" w14:textId="77777777" w:rsidR="008E2536" w:rsidRDefault="008E2536">
                  <w:pPr>
                    <w:spacing w:line="160" w:lineRule="exact"/>
                    <w:jc w:val="left"/>
                    <w:rPr>
                      <w:rFonts w:cs="Miriam" w:hint="cs"/>
                      <w:szCs w:val="18"/>
                      <w:rtl/>
                    </w:rPr>
                  </w:pPr>
                  <w:r>
                    <w:rPr>
                      <w:rFonts w:cs="Miriam" w:hint="cs"/>
                      <w:szCs w:val="18"/>
                      <w:rtl/>
                    </w:rPr>
                    <w:t>תק' תשס"ה-2005</w:t>
                  </w:r>
                </w:p>
              </w:txbxContent>
            </v:textbox>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זכאי לקבלת אות מלחמת ההתשה יהיה חייל שבתקופה הקובעת נתקיים בו אחד מאלה:</w:t>
      </w:r>
    </w:p>
    <w:p w14:paraId="20257D59" w14:textId="77777777" w:rsidR="008E2536" w:rsidRDefault="008E25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שירת בשירות סדיר שלושים ימים רצופים לפחות;</w:t>
      </w:r>
    </w:p>
    <w:p w14:paraId="594672A8" w14:textId="77777777" w:rsidR="008E2536" w:rsidRDefault="008E25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שירות בשירות מילואים שלושים ימי שירות פעיל בסך הכל;</w:t>
      </w:r>
    </w:p>
    <w:p w14:paraId="7EA98120" w14:textId="77777777" w:rsidR="008E2536" w:rsidRDefault="008E25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שירת בשירות סדיר או בשירות מילואים פחות משלושים ימים רצופים, ואולם </w:t>
      </w:r>
      <w:r>
        <w:rPr>
          <w:rStyle w:val="default"/>
          <w:rFonts w:cs="FrankRuehl"/>
          <w:rtl/>
        </w:rPr>
        <w:t>–</w:t>
      </w:r>
    </w:p>
    <w:p w14:paraId="47CBB09F" w14:textId="77777777" w:rsidR="008E2536" w:rsidRDefault="008E253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נעדר בתקופת שירותו ומאז לא נודעו עקבותיו;</w:t>
      </w:r>
    </w:p>
    <w:p w14:paraId="6C43914F" w14:textId="77777777" w:rsidR="008E2536" w:rsidRDefault="008E253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נפל, נשבה או נפצע בשירותו;</w:t>
      </w:r>
    </w:p>
    <w:p w14:paraId="772A83D3" w14:textId="77777777" w:rsidR="008E2536" w:rsidRDefault="008E253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נחבל או חלה בתקופה הקובעת בתקופת שירותו ועקב שירותו, או מחלתו הוחמרה בתקופת שירותו ועקב שירותו.</w:t>
      </w:r>
    </w:p>
    <w:p w14:paraId="351026DF" w14:textId="77777777" w:rsidR="008E2536" w:rsidRDefault="008E2536">
      <w:pPr>
        <w:pStyle w:val="P00"/>
        <w:spacing w:before="72"/>
        <w:ind w:left="0" w:right="1134"/>
        <w:rPr>
          <w:rStyle w:val="default"/>
          <w:rFonts w:cs="FrankRuehl" w:hint="cs"/>
          <w:rtl/>
        </w:rPr>
      </w:pPr>
      <w:r>
        <w:rPr>
          <w:rtl/>
          <w:lang w:val="he-IL"/>
        </w:rPr>
        <w:pict w14:anchorId="76E6439F">
          <v:shape id="_x0000_s1075" type="#_x0000_t202" style="position:absolute;left:0;text-align:left;margin-left:470.25pt;margin-top:7.1pt;width:1in;height:12.4pt;z-index:251660288" filled="f" stroked="f">
            <v:textbox inset="1mm,0,1mm,0">
              <w:txbxContent>
                <w:p w14:paraId="01B27C52" w14:textId="77777777" w:rsidR="008E2536" w:rsidRDefault="008E2536">
                  <w:pPr>
                    <w:spacing w:line="160" w:lineRule="exact"/>
                    <w:jc w:val="left"/>
                    <w:rPr>
                      <w:rFonts w:cs="Miriam" w:hint="cs"/>
                      <w:szCs w:val="18"/>
                      <w:rtl/>
                    </w:rPr>
                  </w:pPr>
                  <w:r>
                    <w:rPr>
                      <w:rFonts w:cs="Miriam" w:hint="cs"/>
                      <w:szCs w:val="18"/>
                      <w:rtl/>
                    </w:rPr>
                    <w:t>תק' תשס"ה-2005</w:t>
                  </w:r>
                </w:p>
              </w:txbxContent>
            </v:textbox>
          </v:shape>
        </w:pict>
      </w:r>
      <w:r>
        <w:rPr>
          <w:rStyle w:val="default"/>
          <w:rFonts w:cs="FrankRuehl" w:hint="cs"/>
          <w:rtl/>
        </w:rPr>
        <w:tab/>
        <w:t>(ב)</w:t>
      </w:r>
      <w:r>
        <w:rPr>
          <w:rStyle w:val="default"/>
          <w:rFonts w:cs="FrankRuehl" w:hint="cs"/>
          <w:rtl/>
        </w:rPr>
        <w:tab/>
        <w:t>שוטר או סוהר, כמשמעותם בסעיף 7(א) לחוק, יהיה זכאי לקבלת אות מלחמת ההתשה בתנאי ששירת ביחידתו, בתקופה הקובעת, שלושים ימים רצופים לפחות או ששירותו הסתיים עקב פציעה או מוות שאירעו לו בתקופת שירותו ועקב שירותו בתקופה הקובעת.</w:t>
      </w:r>
    </w:p>
    <w:p w14:paraId="47AFFE2C" w14:textId="77777777" w:rsidR="008E2536" w:rsidRDefault="008E2536">
      <w:pPr>
        <w:pStyle w:val="P00"/>
        <w:spacing w:before="0"/>
        <w:ind w:left="0" w:right="1134"/>
        <w:rPr>
          <w:rFonts w:hint="cs"/>
          <w:b/>
          <w:bCs/>
          <w:vanish/>
          <w:szCs w:val="20"/>
          <w:shd w:val="clear" w:color="auto" w:fill="FFFF99"/>
          <w:rtl/>
        </w:rPr>
      </w:pPr>
      <w:bookmarkStart w:id="3" w:name="Rov6"/>
      <w:r>
        <w:rPr>
          <w:rFonts w:hint="cs"/>
          <w:vanish/>
          <w:color w:val="FF0000"/>
          <w:szCs w:val="20"/>
          <w:shd w:val="clear" w:color="auto" w:fill="FFFF99"/>
          <w:rtl/>
        </w:rPr>
        <w:t>מיום 17.1.2005</w:t>
      </w:r>
    </w:p>
    <w:p w14:paraId="45B6AA90" w14:textId="77777777" w:rsidR="008E2536" w:rsidRDefault="008E2536">
      <w:pPr>
        <w:pStyle w:val="P00"/>
        <w:spacing w:before="0"/>
        <w:ind w:left="0" w:right="1134"/>
        <w:rPr>
          <w:rFonts w:hint="cs"/>
          <w:b/>
          <w:bCs/>
          <w:vanish/>
          <w:szCs w:val="20"/>
          <w:shd w:val="clear" w:color="auto" w:fill="FFFF99"/>
          <w:rtl/>
        </w:rPr>
      </w:pPr>
      <w:r>
        <w:rPr>
          <w:rFonts w:hint="cs"/>
          <w:b/>
          <w:bCs/>
          <w:vanish/>
          <w:szCs w:val="20"/>
          <w:shd w:val="clear" w:color="auto" w:fill="FFFF99"/>
          <w:rtl/>
        </w:rPr>
        <w:t>תק' תשס"ה-2005</w:t>
      </w:r>
    </w:p>
    <w:p w14:paraId="0BBA2238" w14:textId="77777777" w:rsidR="008E2536" w:rsidRDefault="008E2536">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תשס"ה מס' 6361</w:t>
        </w:r>
      </w:hyperlink>
      <w:r>
        <w:rPr>
          <w:rFonts w:hint="cs"/>
          <w:vanish/>
          <w:szCs w:val="20"/>
          <w:shd w:val="clear" w:color="auto" w:fill="FFFF99"/>
          <w:rtl/>
        </w:rPr>
        <w:t xml:space="preserve"> מיום 17.1.2005 עמ' 316</w:t>
      </w:r>
    </w:p>
    <w:p w14:paraId="7EBF71E4" w14:textId="77777777" w:rsidR="008E2536" w:rsidRDefault="008E2536">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(א)</w:t>
      </w:r>
      <w:r>
        <w:rPr>
          <w:rStyle w:val="default"/>
          <w:rFonts w:cs="FrankRuehl" w:hint="cs"/>
          <w:vanish/>
          <w:sz w:val="22"/>
          <w:szCs w:val="22"/>
          <w:shd w:val="clear" w:color="auto" w:fill="FFFF99"/>
          <w:rtl/>
        </w:rPr>
        <w:tab/>
        <w:t>זכאי לקבלת אות מלחמת ההתשה יהיה חייל שבתקופה הקובעת נתקיים בו אחד מאלה:</w:t>
      </w:r>
    </w:p>
    <w:p w14:paraId="118136D6" w14:textId="77777777" w:rsidR="008E2536" w:rsidRDefault="008E2536">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w:t>
      </w:r>
      <w:r>
        <w:rPr>
          <w:rStyle w:val="default"/>
          <w:rFonts w:cs="FrankRuehl" w:hint="cs"/>
          <w:vanish/>
          <w:sz w:val="22"/>
          <w:szCs w:val="22"/>
          <w:shd w:val="clear" w:color="auto" w:fill="FFFF99"/>
          <w:rtl/>
        </w:rPr>
        <w:tab/>
        <w:t>שירת בשירות סדיר שלושים ימים רצופים לפחות;</w:t>
      </w:r>
    </w:p>
    <w:p w14:paraId="25215EB9" w14:textId="77777777" w:rsidR="008E2536" w:rsidRDefault="008E2536">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hint="cs"/>
          <w:vanish/>
          <w:sz w:val="22"/>
          <w:szCs w:val="22"/>
          <w:shd w:val="clear" w:color="auto" w:fill="FFFF99"/>
          <w:rtl/>
        </w:rPr>
        <w:tab/>
        <w:t>שירות בשירות מילואים שלושים ימי שירות פעיל בסך הכל;</w:t>
      </w:r>
    </w:p>
    <w:p w14:paraId="0C3BB4C7" w14:textId="77777777" w:rsidR="008E2536" w:rsidRDefault="008E2536">
      <w:pPr>
        <w:pStyle w:val="P00"/>
        <w:spacing w:before="0"/>
        <w:ind w:left="1021"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(3)</w:t>
      </w:r>
      <w:r>
        <w:rPr>
          <w:rStyle w:val="default"/>
          <w:rFonts w:cs="FrankRuehl" w:hint="cs"/>
          <w:vanish/>
          <w:sz w:val="22"/>
          <w:szCs w:val="22"/>
          <w:shd w:val="clear" w:color="auto" w:fill="FFFF99"/>
          <w:rtl/>
        </w:rPr>
        <w:tab/>
        <w:t xml:space="preserve">שירת בשירות סדיר או בשירות מילואים פחות משלושים ימים רצופים, ואולם </w:t>
      </w:r>
      <w:r>
        <w:rPr>
          <w:rStyle w:val="default"/>
          <w:rFonts w:cs="FrankRuehl"/>
          <w:vanish/>
          <w:sz w:val="22"/>
          <w:szCs w:val="22"/>
          <w:shd w:val="clear" w:color="auto" w:fill="FFFF99"/>
          <w:rtl/>
        </w:rPr>
        <w:t>–</w:t>
      </w:r>
    </w:p>
    <w:p w14:paraId="6992FA67" w14:textId="77777777" w:rsidR="008E2536" w:rsidRDefault="008E2536">
      <w:pPr>
        <w:pStyle w:val="P00"/>
        <w:spacing w:before="0"/>
        <w:ind w:left="1474"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(א)</w:t>
      </w:r>
      <w:r>
        <w:rPr>
          <w:rStyle w:val="default"/>
          <w:rFonts w:cs="FrankRuehl" w:hint="cs"/>
          <w:vanish/>
          <w:sz w:val="22"/>
          <w:szCs w:val="22"/>
          <w:shd w:val="clear" w:color="auto" w:fill="FFFF99"/>
          <w:rtl/>
        </w:rPr>
        <w:tab/>
        <w:t>נעדר בתקופת שירותו ומאז לא נודעו עקבותיו;</w:t>
      </w:r>
    </w:p>
    <w:p w14:paraId="469D1F87" w14:textId="77777777" w:rsidR="008E2536" w:rsidRDefault="008E2536">
      <w:pPr>
        <w:pStyle w:val="P00"/>
        <w:spacing w:before="0"/>
        <w:ind w:left="1474"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(ב)</w:t>
      </w:r>
      <w:r>
        <w:rPr>
          <w:rStyle w:val="default"/>
          <w:rFonts w:cs="FrankRuehl" w:hint="cs"/>
          <w:vanish/>
          <w:sz w:val="22"/>
          <w:szCs w:val="22"/>
          <w:shd w:val="clear" w:color="auto" w:fill="FFFF99"/>
          <w:rtl/>
        </w:rPr>
        <w:tab/>
        <w:t>נפל, נשבה או נפצע בשירותו;</w:t>
      </w:r>
    </w:p>
    <w:p w14:paraId="14CF5D48" w14:textId="77777777" w:rsidR="008E2536" w:rsidRDefault="008E2536">
      <w:pPr>
        <w:pStyle w:val="P00"/>
        <w:spacing w:before="0"/>
        <w:ind w:left="1474"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(ג)</w:t>
      </w:r>
      <w:r>
        <w:rPr>
          <w:rStyle w:val="default"/>
          <w:rFonts w:cs="FrankRuehl" w:hint="cs"/>
          <w:vanish/>
          <w:sz w:val="22"/>
          <w:szCs w:val="22"/>
          <w:shd w:val="clear" w:color="auto" w:fill="FFFF99"/>
          <w:rtl/>
        </w:rPr>
        <w:tab/>
        <w:t>נחבל או חלה בתקופה הקובעת בתקופת שירותו ועקב שירותו, או מחלתו הוחמרה בתקופת שירותו ועקב שירותו.</w:t>
      </w:r>
    </w:p>
    <w:p w14:paraId="723A4176" w14:textId="77777777" w:rsidR="008E2536" w:rsidRDefault="008E2536">
      <w:pPr>
        <w:pStyle w:val="P00"/>
        <w:spacing w:before="0"/>
        <w:ind w:left="0" w:right="1134"/>
        <w:rPr>
          <w:rStyle w:val="default"/>
          <w:rFonts w:cs="FrankRuehl" w:hint="cs"/>
          <w:sz w:val="2"/>
          <w:szCs w:val="2"/>
          <w:u w:val="single"/>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(ב)</w:t>
      </w:r>
      <w:r>
        <w:rPr>
          <w:rStyle w:val="default"/>
          <w:rFonts w:cs="FrankRuehl" w:hint="cs"/>
          <w:vanish/>
          <w:sz w:val="22"/>
          <w:szCs w:val="22"/>
          <w:u w:val="single"/>
          <w:shd w:val="clear" w:color="auto" w:fill="FFFF99"/>
          <w:rtl/>
        </w:rPr>
        <w:tab/>
        <w:t>שוטר או סוהר, כמשמעותם בסעיף 7(א) לחוק, יהיה זכאי לקבלת אות מלחמת ההתשה בתנאי ששירת ביחידתו, בתקופה הקובעת, שלושים ימים רצופים לפחות או ששירותו הסתיים עקב פציעה או מוות שאירעו לו בתקופת שירותו ועקב שירותו בתקופה הקובעת.</w:t>
      </w:r>
      <w:bookmarkEnd w:id="3"/>
    </w:p>
    <w:p w14:paraId="3FEE2F72" w14:textId="77777777" w:rsidR="008E2536" w:rsidRDefault="008E2536">
      <w:pPr>
        <w:pStyle w:val="P00"/>
        <w:spacing w:before="72"/>
        <w:ind w:left="0" w:right="1134"/>
        <w:rPr>
          <w:rStyle w:val="default"/>
          <w:rFonts w:cs="FrankRuehl" w:hint="cs"/>
          <w:rtl/>
        </w:rPr>
      </w:pPr>
      <w:bookmarkStart w:id="4" w:name="Seif4"/>
      <w:bookmarkEnd w:id="4"/>
      <w:r>
        <w:rPr>
          <w:rFonts w:cs="Miriam"/>
          <w:szCs w:val="32"/>
          <w:rtl/>
          <w:lang w:val="he-IL"/>
        </w:rPr>
        <w:pict w14:anchorId="7ABD2A10">
          <v:shape id="_x0000_s1057" type="#_x0000_t202" style="position:absolute;left:0;text-align:left;margin-left:470.25pt;margin-top:2.5pt;width:1in;height:16.75pt;z-index:251658240" filled="f" stroked="f">
            <v:textbox inset="1mm,,1mm">
              <w:txbxContent>
                <w:p w14:paraId="508FAEC7" w14:textId="77777777" w:rsidR="008E2536" w:rsidRDefault="008E2536">
                  <w:pPr>
                    <w:spacing w:line="160" w:lineRule="exact"/>
                    <w:jc w:val="left"/>
                    <w:rPr>
                      <w:rFonts w:cs="Miriam" w:hint="cs"/>
                      <w:szCs w:val="18"/>
                      <w:rtl/>
                    </w:rPr>
                  </w:pPr>
                  <w:r>
                    <w:rPr>
                      <w:rFonts w:cs="Miriam" w:hint="cs"/>
                      <w:szCs w:val="18"/>
                      <w:rtl/>
                    </w:rPr>
                    <w:t>זכאי שנפטר</w:t>
                  </w:r>
                </w:p>
              </w:txbxContent>
            </v:textbox>
          </v:shape>
        </w:pict>
      </w:r>
      <w:r>
        <w:rPr>
          <w:rStyle w:val="default"/>
          <w:rFonts w:cs="Miriam" w:hint="cs"/>
          <w:sz w:val="32"/>
          <w:szCs w:val="32"/>
          <w:rtl/>
        </w:rPr>
        <w:t>4</w:t>
      </w:r>
      <w:r>
        <w:rPr>
          <w:rStyle w:val="default"/>
          <w:rFonts w:cs="FrankRuehl" w:hint="cs"/>
          <w:rtl/>
        </w:rPr>
        <w:t>.</w:t>
      </w:r>
      <w:r>
        <w:rPr>
          <w:rStyle w:val="default"/>
          <w:rFonts w:cs="FrankRuehl" w:hint="cs"/>
          <w:rtl/>
        </w:rPr>
        <w:tab/>
        <w:t>חייל הזכאי לאות מלחמת ההתשה, ונפטר לפני הענקת האות, יימסר האות לשאר בשרו הקרוב ביותר, כהגדרתו בסעיף 6(ב) לחוק.</w:t>
      </w:r>
    </w:p>
    <w:p w14:paraId="2F9F11B1" w14:textId="77777777" w:rsidR="008E2536" w:rsidRDefault="008E2536">
      <w:pPr>
        <w:pStyle w:val="P00"/>
        <w:spacing w:before="72"/>
        <w:ind w:left="0" w:right="1134"/>
        <w:rPr>
          <w:rStyle w:val="default"/>
          <w:rFonts w:cs="FrankRuehl" w:hint="cs"/>
          <w:rtl/>
        </w:rPr>
      </w:pPr>
      <w:bookmarkStart w:id="5" w:name="Seif5"/>
      <w:bookmarkEnd w:id="5"/>
      <w:r>
        <w:rPr>
          <w:rFonts w:cs="Miriam"/>
          <w:szCs w:val="32"/>
          <w:rtl/>
          <w:lang w:val="he-IL"/>
        </w:rPr>
        <w:pict w14:anchorId="46039907">
          <v:shape id="_x0000_s1059" type="#_x0000_t202" style="position:absolute;left:0;text-align:left;margin-left:470.25pt;margin-top:5.2pt;width:1in;height:22.4pt;z-index:251659264" filled="f" stroked="f">
            <v:textbox inset="1mm,,1mm">
              <w:txbxContent>
                <w:p w14:paraId="47376993" w14:textId="77777777" w:rsidR="008E2536" w:rsidRDefault="008E2536">
                  <w:pPr>
                    <w:spacing w:line="160" w:lineRule="exact"/>
                    <w:jc w:val="left"/>
                    <w:rPr>
                      <w:rFonts w:cs="Miriam" w:hint="cs"/>
                      <w:szCs w:val="18"/>
                      <w:rtl/>
                    </w:rPr>
                  </w:pPr>
                  <w:r>
                    <w:rPr>
                      <w:rFonts w:cs="Miriam" w:hint="cs"/>
                      <w:szCs w:val="18"/>
                      <w:rtl/>
                    </w:rPr>
                    <w:t>מי שאינם זכאים לאות</w:t>
                  </w:r>
                </w:p>
              </w:txbxContent>
            </v:textbox>
          </v:shape>
        </w:pict>
      </w:r>
      <w:r>
        <w:rPr>
          <w:rStyle w:val="default"/>
          <w:rFonts w:cs="Miriam" w:hint="cs"/>
          <w:sz w:val="32"/>
          <w:szCs w:val="32"/>
          <w:rtl/>
        </w:rPr>
        <w:t>5</w:t>
      </w:r>
      <w:r>
        <w:rPr>
          <w:rStyle w:val="default"/>
          <w:rFonts w:cs="FrankRuehl" w:hint="cs"/>
          <w:rtl/>
        </w:rPr>
        <w:t>.</w:t>
      </w:r>
      <w:r>
        <w:rPr>
          <w:rStyle w:val="default"/>
          <w:rFonts w:cs="FrankRuehl" w:hint="cs"/>
          <w:rtl/>
        </w:rPr>
        <w:tab/>
        <w:t xml:space="preserve">על אף האמור בתקנה 3 לא יהיה זכאי לאות מי </w:t>
      </w:r>
      <w:r>
        <w:rPr>
          <w:rStyle w:val="default"/>
          <w:rFonts w:cs="FrankRuehl"/>
          <w:rtl/>
        </w:rPr>
        <w:t>–</w:t>
      </w:r>
    </w:p>
    <w:p w14:paraId="04766EA6" w14:textId="77777777" w:rsidR="008E2536" w:rsidRDefault="008E25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שטרם מלאו לו 18 שנים, אלא כם כן הורה ראש אגף כוח אדם בצבא הגנה לישראל (להלן </w:t>
      </w:r>
      <w:r>
        <w:rPr>
          <w:rStyle w:val="default"/>
          <w:rFonts w:cs="FrankRuehl"/>
          <w:rtl/>
        </w:rPr>
        <w:t>–</w:t>
      </w:r>
      <w:r>
        <w:rPr>
          <w:rStyle w:val="default"/>
          <w:rFonts w:cs="FrankRuehl" w:hint="cs"/>
          <w:rtl/>
        </w:rPr>
        <w:t xml:space="preserve"> ראש אכ"א) אחרת;</w:t>
      </w:r>
    </w:p>
    <w:p w14:paraId="4E7F8463" w14:textId="77777777" w:rsidR="008E2536" w:rsidRDefault="008E25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שבמשך התקופה הקובעת נעדר שלא ברשות לתקופה כלשהי מן השירות ונענש על כך כדין.</w:t>
      </w:r>
    </w:p>
    <w:p w14:paraId="0D0698A5" w14:textId="77777777" w:rsidR="008E2536" w:rsidRDefault="008E2536">
      <w:pPr>
        <w:pStyle w:val="P00"/>
        <w:spacing w:before="72"/>
        <w:ind w:left="0" w:right="1134"/>
        <w:rPr>
          <w:rStyle w:val="default"/>
          <w:rFonts w:cs="FrankRuehl" w:hint="cs"/>
          <w:rtl/>
        </w:rPr>
      </w:pPr>
    </w:p>
    <w:p w14:paraId="511A9AC7" w14:textId="77777777" w:rsidR="00C309D7" w:rsidRDefault="00C309D7">
      <w:pPr>
        <w:pStyle w:val="P00"/>
        <w:spacing w:before="72"/>
        <w:ind w:left="0" w:right="1134"/>
        <w:rPr>
          <w:rStyle w:val="default"/>
          <w:rFonts w:cs="FrankRuehl" w:hint="cs"/>
          <w:rtl/>
        </w:rPr>
      </w:pPr>
    </w:p>
    <w:p w14:paraId="04B09DE9" w14:textId="77777777" w:rsidR="008E2536" w:rsidRDefault="008E2536" w:rsidP="00C309D7">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י"א בסיון התשס"ג (11 ביוני 2003)</w:t>
      </w:r>
      <w:r>
        <w:rPr>
          <w:rStyle w:val="default"/>
          <w:rFonts w:cs="FrankRuehl" w:hint="cs"/>
          <w:rtl/>
        </w:rPr>
        <w:tab/>
        <w:t>שאול מופז</w:t>
      </w:r>
    </w:p>
    <w:p w14:paraId="06A6B06A" w14:textId="77777777" w:rsidR="008E2536" w:rsidRDefault="008E2536" w:rsidP="00C309D7">
      <w:pPr>
        <w:pStyle w:val="sig-1"/>
        <w:tabs>
          <w:tab w:val="clear" w:pos="851"/>
          <w:tab w:val="clear" w:pos="2835"/>
          <w:tab w:val="clear" w:pos="4820"/>
          <w:tab w:val="center" w:pos="5670"/>
        </w:tabs>
        <w:ind w:left="0" w:right="1134"/>
        <w:rPr>
          <w:rStyle w:val="default"/>
          <w:rFonts w:cs="FrankRuehl" w:hint="cs"/>
          <w:sz w:val="22"/>
          <w:szCs w:val="22"/>
          <w:rtl/>
        </w:rPr>
      </w:pPr>
      <w:r>
        <w:rPr>
          <w:rStyle w:val="default"/>
          <w:rFonts w:cs="FrankRuehl" w:hint="cs"/>
          <w:sz w:val="22"/>
          <w:szCs w:val="22"/>
          <w:rtl/>
        </w:rPr>
        <w:tab/>
        <w:t>שר הביטחון</w:t>
      </w:r>
    </w:p>
    <w:p w14:paraId="43CA91E6" w14:textId="77777777" w:rsidR="008E2536" w:rsidRDefault="008E2536">
      <w:pPr>
        <w:pStyle w:val="P00"/>
        <w:spacing w:before="72"/>
        <w:ind w:left="0" w:right="1134"/>
        <w:rPr>
          <w:rStyle w:val="default"/>
          <w:rFonts w:cs="FrankRuehl" w:hint="cs"/>
          <w:rtl/>
        </w:rPr>
      </w:pPr>
    </w:p>
    <w:p w14:paraId="4D4BF1A8" w14:textId="77777777" w:rsidR="00C309D7" w:rsidRDefault="00C309D7">
      <w:pPr>
        <w:pStyle w:val="P00"/>
        <w:spacing w:before="72"/>
        <w:ind w:left="0" w:right="1134"/>
        <w:rPr>
          <w:rStyle w:val="default"/>
          <w:rFonts w:cs="FrankRuehl" w:hint="cs"/>
          <w:rtl/>
        </w:rPr>
      </w:pPr>
    </w:p>
    <w:p w14:paraId="75829058" w14:textId="77777777" w:rsidR="00D34410" w:rsidRDefault="00D34410">
      <w:pPr>
        <w:pStyle w:val="P00"/>
        <w:spacing w:before="72"/>
        <w:ind w:left="0" w:right="1134"/>
        <w:rPr>
          <w:rStyle w:val="default"/>
          <w:rFonts w:cs="FrankRuehl"/>
          <w:rtl/>
        </w:rPr>
      </w:pPr>
    </w:p>
    <w:p w14:paraId="2CE889C3" w14:textId="77777777" w:rsidR="00D34410" w:rsidRDefault="00D34410">
      <w:pPr>
        <w:pStyle w:val="P00"/>
        <w:spacing w:before="72"/>
        <w:ind w:left="0" w:right="1134"/>
        <w:rPr>
          <w:rStyle w:val="default"/>
          <w:rFonts w:cs="FrankRuehl"/>
          <w:rtl/>
        </w:rPr>
      </w:pPr>
    </w:p>
    <w:p w14:paraId="6FF9D92D" w14:textId="77777777" w:rsidR="00D34410" w:rsidRDefault="00D34410" w:rsidP="00D34410">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5F0D7D4B" w14:textId="77777777" w:rsidR="008E2536" w:rsidRPr="00D34410" w:rsidRDefault="008E2536" w:rsidP="00D34410">
      <w:pPr>
        <w:pStyle w:val="P00"/>
        <w:spacing w:before="72"/>
        <w:ind w:left="0" w:right="1134"/>
        <w:jc w:val="center"/>
        <w:rPr>
          <w:rStyle w:val="default"/>
          <w:rFonts w:cs="David" w:hint="cs"/>
          <w:color w:val="0000FF"/>
          <w:szCs w:val="24"/>
          <w:u w:val="single"/>
          <w:rtl/>
        </w:rPr>
      </w:pPr>
    </w:p>
    <w:sectPr w:rsidR="008E2536" w:rsidRPr="00D3441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602CB" w14:textId="77777777" w:rsidR="00CD2D83" w:rsidRDefault="00CD2D83">
      <w:r>
        <w:separator/>
      </w:r>
    </w:p>
  </w:endnote>
  <w:endnote w:type="continuationSeparator" w:id="0">
    <w:p w14:paraId="35EEB924" w14:textId="77777777" w:rsidR="00CD2D83" w:rsidRDefault="00CD2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3ABEB" w14:textId="77777777" w:rsidR="008E2536" w:rsidRDefault="008E25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475659" w14:textId="77777777" w:rsidR="008E2536" w:rsidRDefault="008E25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AC87776" w14:textId="77777777" w:rsidR="008E2536" w:rsidRDefault="008E25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C:\Yael\hakika\Revadim\999_165.doc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D3DC" w14:textId="77777777" w:rsidR="008E2536" w:rsidRDefault="008E25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34410">
      <w:rPr>
        <w:rFonts w:hAnsi="FrankRuehl" w:cs="FrankRuehl"/>
        <w:noProof/>
        <w:sz w:val="24"/>
        <w:szCs w:val="24"/>
        <w:rtl/>
      </w:rPr>
      <w:t>2</w:t>
    </w:r>
    <w:r>
      <w:rPr>
        <w:rFonts w:hAnsi="FrankRuehl" w:cs="FrankRuehl"/>
        <w:sz w:val="24"/>
        <w:szCs w:val="24"/>
        <w:rtl/>
      </w:rPr>
      <w:fldChar w:fldCharType="end"/>
    </w:r>
  </w:p>
  <w:p w14:paraId="09649B9B" w14:textId="77777777" w:rsidR="008E2536" w:rsidRDefault="008E25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3B2465F" w14:textId="77777777" w:rsidR="008E2536" w:rsidRDefault="008E25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C:\Yael\hakika\Revadim\999_165.doc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8D11" w14:textId="77777777" w:rsidR="00CD2D83" w:rsidRDefault="00CD2D83">
      <w:pPr>
        <w:spacing w:before="60" w:line="240" w:lineRule="auto"/>
        <w:ind w:right="1134"/>
      </w:pPr>
      <w:r>
        <w:separator/>
      </w:r>
    </w:p>
  </w:footnote>
  <w:footnote w:type="continuationSeparator" w:id="0">
    <w:p w14:paraId="15766505" w14:textId="77777777" w:rsidR="00CD2D83" w:rsidRDefault="00CD2D83">
      <w:r>
        <w:continuationSeparator/>
      </w:r>
    </w:p>
  </w:footnote>
  <w:footnote w:id="1">
    <w:p w14:paraId="03FE4D3A" w14:textId="77777777" w:rsidR="008E2536" w:rsidRDefault="008E25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תשס"ג מס' 6247</w:t>
        </w:r>
      </w:hyperlink>
      <w:r>
        <w:rPr>
          <w:rFonts w:hint="cs"/>
          <w:sz w:val="20"/>
          <w:rtl/>
        </w:rPr>
        <w:t xml:space="preserve"> מיום 30.6.2003 עמ' 812.</w:t>
      </w:r>
    </w:p>
    <w:p w14:paraId="4DE550CF" w14:textId="77777777" w:rsidR="008E2536" w:rsidRDefault="008E2536" w:rsidP="00C309D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Pr>
            <w:rStyle w:val="Hyperlink"/>
            <w:rFonts w:hint="cs"/>
            <w:sz w:val="20"/>
            <w:rtl/>
          </w:rPr>
          <w:t>ק"ת תשס"ה מס' 6361</w:t>
        </w:r>
      </w:hyperlink>
      <w:r>
        <w:rPr>
          <w:rFonts w:hint="cs"/>
          <w:sz w:val="20"/>
          <w:rtl/>
        </w:rPr>
        <w:t xml:space="preserve"> מיום 17.1.2005 עמ' 316 </w:t>
      </w:r>
      <w:r>
        <w:rPr>
          <w:sz w:val="20"/>
          <w:rtl/>
        </w:rPr>
        <w:t>–</w:t>
      </w:r>
      <w:r>
        <w:rPr>
          <w:rFonts w:hint="cs"/>
          <w:sz w:val="20"/>
          <w:rtl/>
        </w:rPr>
        <w:t xml:space="preserve"> תק' תשס"ה-2005.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7358C" w14:textId="77777777" w:rsidR="008E2536" w:rsidRDefault="008E25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355E1B18" w14:textId="77777777" w:rsidR="008E2536" w:rsidRDefault="008E25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423C62" w14:textId="77777777" w:rsidR="008E2536" w:rsidRDefault="008E253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0EC6" w14:textId="77777777" w:rsidR="008E2536" w:rsidRDefault="008E253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העיטורים בצבא הגנה לישראל (אות מלחמת ההתשה </w:t>
    </w:r>
    <w:r>
      <w:rPr>
        <w:rFonts w:hAnsi="FrankRuehl" w:cs="FrankRuehl"/>
        <w:color w:val="000000"/>
        <w:sz w:val="28"/>
        <w:szCs w:val="28"/>
        <w:rtl/>
      </w:rPr>
      <w:t>–</w:t>
    </w:r>
    <w:r>
      <w:rPr>
        <w:rFonts w:hAnsi="FrankRuehl" w:cs="FrankRuehl" w:hint="cs"/>
        <w:color w:val="000000"/>
        <w:sz w:val="28"/>
        <w:szCs w:val="28"/>
        <w:rtl/>
      </w:rPr>
      <w:t xml:space="preserve"> קביעת זכאים)</w:t>
    </w:r>
    <w:r>
      <w:rPr>
        <w:rFonts w:hAnsi="FrankRuehl" w:cs="FrankRuehl"/>
        <w:color w:val="000000"/>
        <w:sz w:val="28"/>
        <w:szCs w:val="28"/>
        <w:rtl/>
      </w:rPr>
      <w:t xml:space="preserve">, </w:t>
    </w:r>
    <w:r>
      <w:rPr>
        <w:rFonts w:hAnsi="FrankRuehl" w:cs="FrankRuehl" w:hint="cs"/>
        <w:color w:val="000000"/>
        <w:sz w:val="28"/>
        <w:szCs w:val="28"/>
        <w:rtl/>
      </w:rPr>
      <w:br/>
    </w:r>
    <w:r>
      <w:rPr>
        <w:rFonts w:hAnsi="FrankRuehl" w:cs="FrankRuehl"/>
        <w:color w:val="000000"/>
        <w:sz w:val="28"/>
        <w:szCs w:val="28"/>
        <w:rtl/>
      </w:rPr>
      <w:t>תשס"</w:t>
    </w:r>
    <w:r>
      <w:rPr>
        <w:rFonts w:hAnsi="FrankRuehl" w:cs="FrankRuehl" w:hint="cs"/>
        <w:color w:val="000000"/>
        <w:sz w:val="28"/>
        <w:szCs w:val="28"/>
        <w:rtl/>
      </w:rPr>
      <w:t>ג-</w:t>
    </w:r>
    <w:r>
      <w:rPr>
        <w:rFonts w:hAnsi="FrankRuehl" w:cs="FrankRuehl"/>
        <w:color w:val="000000"/>
        <w:sz w:val="28"/>
        <w:szCs w:val="28"/>
        <w:rtl/>
      </w:rPr>
      <w:t>200</w:t>
    </w:r>
    <w:r>
      <w:rPr>
        <w:rFonts w:hAnsi="FrankRuehl" w:cs="FrankRuehl" w:hint="cs"/>
        <w:color w:val="000000"/>
        <w:sz w:val="28"/>
        <w:szCs w:val="28"/>
        <w:rtl/>
      </w:rPr>
      <w:t>3</w:t>
    </w:r>
  </w:p>
  <w:p w14:paraId="41FE7D46" w14:textId="77777777" w:rsidR="008E2536" w:rsidRDefault="008E25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18BADF" w14:textId="77777777" w:rsidR="008E2536" w:rsidRDefault="008E253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5FE7"/>
    <w:rsid w:val="00102B98"/>
    <w:rsid w:val="00355FE7"/>
    <w:rsid w:val="00465A98"/>
    <w:rsid w:val="008E2536"/>
    <w:rsid w:val="009171F3"/>
    <w:rsid w:val="00C309D7"/>
    <w:rsid w:val="00C877C9"/>
    <w:rsid w:val="00CD2D83"/>
    <w:rsid w:val="00D344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B9CACA4"/>
  <w15:chartTrackingRefBased/>
  <w15:docId w15:val="{712A947D-A4FF-47ED-9643-DA8C28B7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361.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361.pdf" TargetMode="External"/><Relationship Id="rId1" Type="http://schemas.openxmlformats.org/officeDocument/2006/relationships/hyperlink" Target="http://www.nevo.co.il/Law_word/law06/TAK-62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3192</CharactersWithSpaces>
  <SharedDoc>false</SharedDoc>
  <HLinks>
    <vt:vector size="54" baseType="variant">
      <vt:variant>
        <vt:i4>393283</vt:i4>
      </vt:variant>
      <vt:variant>
        <vt:i4>33</vt:i4>
      </vt:variant>
      <vt:variant>
        <vt:i4>0</vt:i4>
      </vt:variant>
      <vt:variant>
        <vt:i4>5</vt:i4>
      </vt:variant>
      <vt:variant>
        <vt:lpwstr>http://www.nevo.co.il/advertisements/nevo-100.doc</vt:lpwstr>
      </vt:variant>
      <vt:variant>
        <vt:lpwstr/>
      </vt:variant>
      <vt:variant>
        <vt:i4>7929866</vt:i4>
      </vt:variant>
      <vt:variant>
        <vt:i4>30</vt:i4>
      </vt:variant>
      <vt:variant>
        <vt:i4>0</vt:i4>
      </vt:variant>
      <vt:variant>
        <vt:i4>5</vt:i4>
      </vt:variant>
      <vt:variant>
        <vt:lpwstr>http://www.nevo.co.il/Law_word/law06/TAK-6361.pdf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7929866</vt:i4>
      </vt:variant>
      <vt:variant>
        <vt:i4>3</vt:i4>
      </vt:variant>
      <vt:variant>
        <vt:i4>0</vt:i4>
      </vt:variant>
      <vt:variant>
        <vt:i4>5</vt:i4>
      </vt:variant>
      <vt:variant>
        <vt:lpwstr>http://www.nevo.co.il/Law_word/law06/tak-6361.pdf</vt:lpwstr>
      </vt:variant>
      <vt:variant>
        <vt:lpwstr/>
      </vt:variant>
      <vt:variant>
        <vt:i4>8060941</vt:i4>
      </vt:variant>
      <vt:variant>
        <vt:i4>0</vt:i4>
      </vt:variant>
      <vt:variant>
        <vt:i4>0</vt:i4>
      </vt:variant>
      <vt:variant>
        <vt:i4>5</vt:i4>
      </vt:variant>
      <vt:variant>
        <vt:lpwstr>http://www.nevo.co.il/Law_word/law06/TAK-6247.pdf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העיטורים בצבא הגנה לישראל (אות מלחמת ההתשה - קביעת זכאים), תשס"ג-2003</vt:lpwstr>
  </property>
  <property fmtid="{D5CDD505-2E9C-101B-9397-08002B2CF9AE}" pid="4" name="LAWNUMBER">
    <vt:lpwstr>0165</vt:lpwstr>
  </property>
  <property fmtid="{D5CDD505-2E9C-101B-9397-08002B2CF9AE}" pid="5" name="TYPE">
    <vt:lpwstr>01</vt:lpwstr>
  </property>
  <property fmtid="{D5CDD505-2E9C-101B-9397-08002B2CF9AE}" pid="6" name="CHNAME">
    <vt:lpwstr>צבא הגנה לישראל</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עיטורים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LINKK1">
    <vt:lpwstr>http://www.nevo.co.il/Law_word/law06/tak-6361.pdf;רשומות - תקנות כלליות# ק"ת תשס"ה מס' 6361#מיום 17.1.2005#עמ' 316 #תק' תשס"ה-2005</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MEKOR_NAME1">
    <vt:lpwstr>חוק העיטורים בצבא הגנה לישראל</vt:lpwstr>
  </property>
  <property fmtid="{D5CDD505-2E9C-101B-9397-08002B2CF9AE}" pid="58" name="MEKOR_SAIF1">
    <vt:lpwstr>7XאX;21X</vt:lpwstr>
  </property>
</Properties>
</file>