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A0E8" w14:textId="77777777" w:rsidR="00D75C28" w:rsidRDefault="00D75C28">
      <w:pPr>
        <w:pStyle w:val="big-header"/>
        <w:ind w:left="0" w:right="1134"/>
        <w:rPr>
          <w:rFonts w:cs="FrankRuehl" w:hint="cs"/>
          <w:sz w:val="32"/>
          <w:rtl/>
        </w:rPr>
      </w:pPr>
      <w:r>
        <w:rPr>
          <w:rFonts w:cs="FrankRuehl" w:hint="cs"/>
          <w:sz w:val="32"/>
          <w:rtl/>
        </w:rPr>
        <w:t xml:space="preserve">תקנות העיטורים בצבא הגנה לישראל (אות מלחמת לבנון השניה </w:t>
      </w:r>
      <w:r>
        <w:rPr>
          <w:rFonts w:cs="FrankRuehl"/>
          <w:sz w:val="32"/>
          <w:rtl/>
        </w:rPr>
        <w:t>–</w:t>
      </w:r>
      <w:r>
        <w:rPr>
          <w:rFonts w:cs="FrankRuehl" w:hint="cs"/>
          <w:sz w:val="32"/>
          <w:rtl/>
        </w:rPr>
        <w:t xml:space="preserve"> קביעת זכאים), תשס"ח-2007</w:t>
      </w:r>
    </w:p>
    <w:p w14:paraId="7DA8D798" w14:textId="77777777" w:rsidR="00EF7639" w:rsidRDefault="00EF7639" w:rsidP="00EF7639">
      <w:pPr>
        <w:spacing w:line="320" w:lineRule="auto"/>
        <w:rPr>
          <w:rFonts w:hint="cs"/>
          <w:rtl/>
        </w:rPr>
      </w:pPr>
    </w:p>
    <w:p w14:paraId="5163D109" w14:textId="77777777" w:rsidR="00744FAB" w:rsidRDefault="00744FAB" w:rsidP="00EF7639">
      <w:pPr>
        <w:spacing w:line="320" w:lineRule="auto"/>
        <w:rPr>
          <w:rFonts w:hint="cs"/>
          <w:rtl/>
        </w:rPr>
      </w:pPr>
    </w:p>
    <w:p w14:paraId="7D5738FB" w14:textId="77777777" w:rsidR="00EF7639" w:rsidRPr="00EF7639" w:rsidRDefault="00EF7639" w:rsidP="00EF7639">
      <w:pPr>
        <w:spacing w:line="320" w:lineRule="auto"/>
        <w:rPr>
          <w:rFonts w:cs="Miriam"/>
          <w:szCs w:val="22"/>
          <w:rtl/>
        </w:rPr>
      </w:pPr>
      <w:r w:rsidRPr="00EF7639">
        <w:rPr>
          <w:rFonts w:cs="Miriam"/>
          <w:szCs w:val="22"/>
          <w:rtl/>
        </w:rPr>
        <w:t>בטחון</w:t>
      </w:r>
      <w:r w:rsidRPr="00EF7639">
        <w:rPr>
          <w:rFonts w:cs="FrankRuehl"/>
          <w:szCs w:val="26"/>
          <w:rtl/>
        </w:rPr>
        <w:t xml:space="preserve"> – צה"ל – עיטורים</w:t>
      </w:r>
    </w:p>
    <w:p w14:paraId="1631F8E9" w14:textId="77777777" w:rsidR="00D75C28" w:rsidRDefault="00D75C2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D1258" w:rsidRPr="006D1258" w14:paraId="5E22CCFF" w14:textId="77777777" w:rsidTr="006D1258">
        <w:tblPrEx>
          <w:tblCellMar>
            <w:top w:w="0" w:type="dxa"/>
            <w:bottom w:w="0" w:type="dxa"/>
          </w:tblCellMar>
        </w:tblPrEx>
        <w:tc>
          <w:tcPr>
            <w:tcW w:w="1247" w:type="dxa"/>
          </w:tcPr>
          <w:p w14:paraId="1626C2B6" w14:textId="77777777" w:rsidR="006D1258" w:rsidRPr="006D1258" w:rsidRDefault="006D1258" w:rsidP="006D1258">
            <w:pPr>
              <w:rPr>
                <w:rFonts w:cs="Frankruhel" w:hint="cs"/>
                <w:rtl/>
              </w:rPr>
            </w:pPr>
            <w:r>
              <w:rPr>
                <w:rtl/>
              </w:rPr>
              <w:t xml:space="preserve">סעיף 1 </w:t>
            </w:r>
          </w:p>
        </w:tc>
        <w:tc>
          <w:tcPr>
            <w:tcW w:w="5669" w:type="dxa"/>
          </w:tcPr>
          <w:p w14:paraId="68087F34" w14:textId="77777777" w:rsidR="006D1258" w:rsidRPr="006D1258" w:rsidRDefault="006D1258" w:rsidP="006D1258">
            <w:pPr>
              <w:rPr>
                <w:rFonts w:cs="Frankruhel" w:hint="cs"/>
                <w:rtl/>
              </w:rPr>
            </w:pPr>
            <w:r>
              <w:rPr>
                <w:rtl/>
              </w:rPr>
              <w:t>הגדרות</w:t>
            </w:r>
          </w:p>
        </w:tc>
        <w:tc>
          <w:tcPr>
            <w:tcW w:w="567" w:type="dxa"/>
          </w:tcPr>
          <w:p w14:paraId="2904EBD9" w14:textId="77777777" w:rsidR="006D1258" w:rsidRPr="006D1258" w:rsidRDefault="006D1258" w:rsidP="006D1258">
            <w:pPr>
              <w:rPr>
                <w:rStyle w:val="Hyperlink"/>
                <w:rFonts w:hint="cs"/>
                <w:rtl/>
              </w:rPr>
            </w:pPr>
            <w:hyperlink w:anchor="Seif1" w:tooltip="הגדרות" w:history="1">
              <w:r w:rsidRPr="006D1258">
                <w:rPr>
                  <w:rStyle w:val="Hyperlink"/>
                </w:rPr>
                <w:t>Go</w:t>
              </w:r>
            </w:hyperlink>
          </w:p>
        </w:tc>
        <w:tc>
          <w:tcPr>
            <w:tcW w:w="850" w:type="dxa"/>
          </w:tcPr>
          <w:p w14:paraId="3CD8A445" w14:textId="77777777" w:rsidR="006D1258" w:rsidRPr="006D1258" w:rsidRDefault="006D1258" w:rsidP="006D12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D1258" w:rsidRPr="006D1258" w14:paraId="43414393" w14:textId="77777777" w:rsidTr="006D1258">
        <w:tblPrEx>
          <w:tblCellMar>
            <w:top w:w="0" w:type="dxa"/>
            <w:bottom w:w="0" w:type="dxa"/>
          </w:tblCellMar>
        </w:tblPrEx>
        <w:tc>
          <w:tcPr>
            <w:tcW w:w="1247" w:type="dxa"/>
          </w:tcPr>
          <w:p w14:paraId="781F3BFC" w14:textId="77777777" w:rsidR="006D1258" w:rsidRPr="006D1258" w:rsidRDefault="006D1258" w:rsidP="006D1258">
            <w:pPr>
              <w:rPr>
                <w:rFonts w:cs="Frankruhel" w:hint="cs"/>
                <w:rtl/>
              </w:rPr>
            </w:pPr>
            <w:r>
              <w:rPr>
                <w:rtl/>
              </w:rPr>
              <w:t xml:space="preserve">סעיף 2 </w:t>
            </w:r>
          </w:p>
        </w:tc>
        <w:tc>
          <w:tcPr>
            <w:tcW w:w="5669" w:type="dxa"/>
          </w:tcPr>
          <w:p w14:paraId="614D1B38" w14:textId="77777777" w:rsidR="006D1258" w:rsidRPr="006D1258" w:rsidRDefault="006D1258" w:rsidP="006D1258">
            <w:pPr>
              <w:rPr>
                <w:rFonts w:cs="Frankruhel" w:hint="cs"/>
                <w:rtl/>
              </w:rPr>
            </w:pPr>
            <w:r>
              <w:rPr>
                <w:rtl/>
              </w:rPr>
              <w:t>אות מלחמת לבנון השניה</w:t>
            </w:r>
          </w:p>
        </w:tc>
        <w:tc>
          <w:tcPr>
            <w:tcW w:w="567" w:type="dxa"/>
          </w:tcPr>
          <w:p w14:paraId="661A2A1A" w14:textId="77777777" w:rsidR="006D1258" w:rsidRPr="006D1258" w:rsidRDefault="006D1258" w:rsidP="006D1258">
            <w:pPr>
              <w:rPr>
                <w:rStyle w:val="Hyperlink"/>
                <w:rFonts w:hint="cs"/>
                <w:rtl/>
              </w:rPr>
            </w:pPr>
            <w:hyperlink w:anchor="Seif2" w:tooltip="אות מלחמת לבנון השניה" w:history="1">
              <w:r w:rsidRPr="006D1258">
                <w:rPr>
                  <w:rStyle w:val="Hyperlink"/>
                </w:rPr>
                <w:t>Go</w:t>
              </w:r>
            </w:hyperlink>
          </w:p>
        </w:tc>
        <w:tc>
          <w:tcPr>
            <w:tcW w:w="850" w:type="dxa"/>
          </w:tcPr>
          <w:p w14:paraId="14CE23D4" w14:textId="77777777" w:rsidR="006D1258" w:rsidRPr="006D1258" w:rsidRDefault="006D1258" w:rsidP="006D12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D1258" w:rsidRPr="006D1258" w14:paraId="10477F95" w14:textId="77777777" w:rsidTr="006D1258">
        <w:tblPrEx>
          <w:tblCellMar>
            <w:top w:w="0" w:type="dxa"/>
            <w:bottom w:w="0" w:type="dxa"/>
          </w:tblCellMar>
        </w:tblPrEx>
        <w:tc>
          <w:tcPr>
            <w:tcW w:w="1247" w:type="dxa"/>
          </w:tcPr>
          <w:p w14:paraId="39CA23C9" w14:textId="77777777" w:rsidR="006D1258" w:rsidRPr="006D1258" w:rsidRDefault="006D1258" w:rsidP="006D1258">
            <w:pPr>
              <w:rPr>
                <w:rFonts w:cs="Frankruhel" w:hint="cs"/>
                <w:rtl/>
              </w:rPr>
            </w:pPr>
            <w:r>
              <w:rPr>
                <w:rtl/>
              </w:rPr>
              <w:t xml:space="preserve">סעיף 3 </w:t>
            </w:r>
          </w:p>
        </w:tc>
        <w:tc>
          <w:tcPr>
            <w:tcW w:w="5669" w:type="dxa"/>
          </w:tcPr>
          <w:p w14:paraId="1ACBB781" w14:textId="77777777" w:rsidR="006D1258" w:rsidRPr="006D1258" w:rsidRDefault="006D1258" w:rsidP="006D1258">
            <w:pPr>
              <w:rPr>
                <w:rFonts w:cs="Frankruhel" w:hint="cs"/>
                <w:rtl/>
              </w:rPr>
            </w:pPr>
            <w:r>
              <w:rPr>
                <w:rtl/>
              </w:rPr>
              <w:t>זכאים לקבלת האות</w:t>
            </w:r>
          </w:p>
        </w:tc>
        <w:tc>
          <w:tcPr>
            <w:tcW w:w="567" w:type="dxa"/>
          </w:tcPr>
          <w:p w14:paraId="144B8F68" w14:textId="77777777" w:rsidR="006D1258" w:rsidRPr="006D1258" w:rsidRDefault="006D1258" w:rsidP="006D1258">
            <w:pPr>
              <w:rPr>
                <w:rStyle w:val="Hyperlink"/>
                <w:rFonts w:hint="cs"/>
                <w:rtl/>
              </w:rPr>
            </w:pPr>
            <w:hyperlink w:anchor="Seif3" w:tooltip="זכאים לקבלת האות" w:history="1">
              <w:r w:rsidRPr="006D1258">
                <w:rPr>
                  <w:rStyle w:val="Hyperlink"/>
                </w:rPr>
                <w:t>Go</w:t>
              </w:r>
            </w:hyperlink>
          </w:p>
        </w:tc>
        <w:tc>
          <w:tcPr>
            <w:tcW w:w="850" w:type="dxa"/>
          </w:tcPr>
          <w:p w14:paraId="31C93D75" w14:textId="77777777" w:rsidR="006D1258" w:rsidRPr="006D1258" w:rsidRDefault="006D1258" w:rsidP="006D12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D1258" w:rsidRPr="006D1258" w14:paraId="21086D09" w14:textId="77777777" w:rsidTr="006D1258">
        <w:tblPrEx>
          <w:tblCellMar>
            <w:top w:w="0" w:type="dxa"/>
            <w:bottom w:w="0" w:type="dxa"/>
          </w:tblCellMar>
        </w:tblPrEx>
        <w:tc>
          <w:tcPr>
            <w:tcW w:w="1247" w:type="dxa"/>
          </w:tcPr>
          <w:p w14:paraId="21F634F2" w14:textId="77777777" w:rsidR="006D1258" w:rsidRPr="006D1258" w:rsidRDefault="006D1258" w:rsidP="006D1258">
            <w:pPr>
              <w:rPr>
                <w:rFonts w:cs="Frankruhel" w:hint="cs"/>
                <w:rtl/>
              </w:rPr>
            </w:pPr>
            <w:r>
              <w:rPr>
                <w:rtl/>
              </w:rPr>
              <w:t xml:space="preserve">סעיף 4 </w:t>
            </w:r>
          </w:p>
        </w:tc>
        <w:tc>
          <w:tcPr>
            <w:tcW w:w="5669" w:type="dxa"/>
          </w:tcPr>
          <w:p w14:paraId="7D59FC21" w14:textId="77777777" w:rsidR="006D1258" w:rsidRPr="006D1258" w:rsidRDefault="006D1258" w:rsidP="006D1258">
            <w:pPr>
              <w:rPr>
                <w:rFonts w:cs="Frankruhel" w:hint="cs"/>
                <w:rtl/>
              </w:rPr>
            </w:pPr>
            <w:r>
              <w:rPr>
                <w:rtl/>
              </w:rPr>
              <w:t>זכאי שנפטר</w:t>
            </w:r>
          </w:p>
        </w:tc>
        <w:tc>
          <w:tcPr>
            <w:tcW w:w="567" w:type="dxa"/>
          </w:tcPr>
          <w:p w14:paraId="002A847D" w14:textId="77777777" w:rsidR="006D1258" w:rsidRPr="006D1258" w:rsidRDefault="006D1258" w:rsidP="006D1258">
            <w:pPr>
              <w:rPr>
                <w:rStyle w:val="Hyperlink"/>
                <w:rFonts w:hint="cs"/>
                <w:rtl/>
              </w:rPr>
            </w:pPr>
            <w:hyperlink w:anchor="Seif4" w:tooltip="זכאי שנפטר" w:history="1">
              <w:r w:rsidRPr="006D1258">
                <w:rPr>
                  <w:rStyle w:val="Hyperlink"/>
                </w:rPr>
                <w:t>Go</w:t>
              </w:r>
            </w:hyperlink>
          </w:p>
        </w:tc>
        <w:tc>
          <w:tcPr>
            <w:tcW w:w="850" w:type="dxa"/>
          </w:tcPr>
          <w:p w14:paraId="7A2964AE" w14:textId="77777777" w:rsidR="006D1258" w:rsidRPr="006D1258" w:rsidRDefault="006D1258" w:rsidP="006D12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D1258" w:rsidRPr="006D1258" w14:paraId="00B8AB1F" w14:textId="77777777" w:rsidTr="006D1258">
        <w:tblPrEx>
          <w:tblCellMar>
            <w:top w:w="0" w:type="dxa"/>
            <w:bottom w:w="0" w:type="dxa"/>
          </w:tblCellMar>
        </w:tblPrEx>
        <w:tc>
          <w:tcPr>
            <w:tcW w:w="1247" w:type="dxa"/>
          </w:tcPr>
          <w:p w14:paraId="5B4BC3DD" w14:textId="77777777" w:rsidR="006D1258" w:rsidRPr="006D1258" w:rsidRDefault="006D1258" w:rsidP="006D1258">
            <w:pPr>
              <w:rPr>
                <w:rFonts w:cs="Frankruhel" w:hint="cs"/>
                <w:rtl/>
              </w:rPr>
            </w:pPr>
            <w:r>
              <w:rPr>
                <w:rtl/>
              </w:rPr>
              <w:t xml:space="preserve">סעיף 5 </w:t>
            </w:r>
          </w:p>
        </w:tc>
        <w:tc>
          <w:tcPr>
            <w:tcW w:w="5669" w:type="dxa"/>
          </w:tcPr>
          <w:p w14:paraId="04A5EE13" w14:textId="77777777" w:rsidR="006D1258" w:rsidRPr="006D1258" w:rsidRDefault="006D1258" w:rsidP="006D1258">
            <w:pPr>
              <w:rPr>
                <w:rFonts w:cs="Frankruhel" w:hint="cs"/>
                <w:rtl/>
              </w:rPr>
            </w:pPr>
            <w:r>
              <w:rPr>
                <w:rtl/>
              </w:rPr>
              <w:t>מי שאינם זכאים לאות</w:t>
            </w:r>
          </w:p>
        </w:tc>
        <w:tc>
          <w:tcPr>
            <w:tcW w:w="567" w:type="dxa"/>
          </w:tcPr>
          <w:p w14:paraId="6CAAFAE2" w14:textId="77777777" w:rsidR="006D1258" w:rsidRPr="006D1258" w:rsidRDefault="006D1258" w:rsidP="006D1258">
            <w:pPr>
              <w:rPr>
                <w:rStyle w:val="Hyperlink"/>
                <w:rFonts w:hint="cs"/>
                <w:rtl/>
              </w:rPr>
            </w:pPr>
            <w:hyperlink w:anchor="Seif5" w:tooltip="מי שאינם זכאים לאות" w:history="1">
              <w:r w:rsidRPr="006D1258">
                <w:rPr>
                  <w:rStyle w:val="Hyperlink"/>
                </w:rPr>
                <w:t>Go</w:t>
              </w:r>
            </w:hyperlink>
          </w:p>
        </w:tc>
        <w:tc>
          <w:tcPr>
            <w:tcW w:w="850" w:type="dxa"/>
          </w:tcPr>
          <w:p w14:paraId="7667A1D7" w14:textId="77777777" w:rsidR="006D1258" w:rsidRPr="006D1258" w:rsidRDefault="006D1258" w:rsidP="006D12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7897B09" w14:textId="77777777" w:rsidR="00D75C28" w:rsidRDefault="00D75C28">
      <w:pPr>
        <w:pStyle w:val="big-header"/>
        <w:ind w:left="0" w:right="1134"/>
        <w:rPr>
          <w:rFonts w:cs="FrankRuehl" w:hint="cs"/>
          <w:sz w:val="32"/>
          <w:rtl/>
        </w:rPr>
      </w:pPr>
    </w:p>
    <w:p w14:paraId="0041D9A6" w14:textId="77777777" w:rsidR="00D75C28" w:rsidRDefault="00D75C28" w:rsidP="00EF7639">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 xml:space="preserve">תקנות העיטורים בצבא הגנה לישראל (אות מלחמת לבנון השניה </w:t>
      </w:r>
      <w:r>
        <w:rPr>
          <w:rFonts w:cs="FrankRuehl"/>
          <w:sz w:val="32"/>
          <w:rtl/>
        </w:rPr>
        <w:t>–</w:t>
      </w:r>
      <w:r>
        <w:rPr>
          <w:rFonts w:cs="FrankRuehl" w:hint="cs"/>
          <w:sz w:val="32"/>
          <w:rtl/>
        </w:rPr>
        <w:t xml:space="preserve"> קביעת זכאים), תשס"ח-2007</w:t>
      </w:r>
      <w:r>
        <w:rPr>
          <w:rStyle w:val="default"/>
          <w:sz w:val="22"/>
          <w:szCs w:val="22"/>
          <w:rtl/>
        </w:rPr>
        <w:footnoteReference w:customMarkFollows="1" w:id="1"/>
        <w:t>*</w:t>
      </w:r>
    </w:p>
    <w:p w14:paraId="794757EB" w14:textId="77777777" w:rsidR="00D75C28" w:rsidRDefault="00D75C28">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7א ו</w:t>
      </w:r>
      <w:r>
        <w:rPr>
          <w:rStyle w:val="default"/>
          <w:rFonts w:cs="FrankRuehl" w:hint="cs"/>
          <w:rtl/>
        </w:rPr>
        <w:t>-</w:t>
      </w:r>
      <w:r>
        <w:rPr>
          <w:rStyle w:val="default"/>
          <w:rFonts w:cs="FrankRuehl"/>
          <w:rtl/>
        </w:rPr>
        <w:t>21 לחוק העיטורים בצבא הגנה לישראל, התש"ל</w:t>
      </w:r>
      <w:r>
        <w:rPr>
          <w:rStyle w:val="default"/>
          <w:rFonts w:cs="FrankRuehl" w:hint="cs"/>
          <w:rtl/>
        </w:rPr>
        <w:t>-1970</w:t>
      </w:r>
      <w:r>
        <w:rPr>
          <w:rStyle w:val="default"/>
          <w:rFonts w:cs="FrankRuehl"/>
          <w:rtl/>
        </w:rPr>
        <w:t>, ובאישור ועדת החוץ והביטחון של הכנסת, אני מתקין תקנות אלה:</w:t>
      </w:r>
    </w:p>
    <w:p w14:paraId="4104CF6E" w14:textId="77777777" w:rsidR="00D75C28" w:rsidRDefault="00D75C28">
      <w:pPr>
        <w:pStyle w:val="P00"/>
        <w:spacing w:before="72"/>
        <w:ind w:left="0" w:right="1134"/>
        <w:rPr>
          <w:rStyle w:val="default"/>
          <w:rFonts w:cs="FrankRuehl" w:hint="cs"/>
          <w:rtl/>
        </w:rPr>
      </w:pPr>
      <w:bookmarkStart w:id="0" w:name="Seif1"/>
      <w:bookmarkEnd w:id="0"/>
      <w:r>
        <w:rPr>
          <w:rFonts w:cs="Miriam"/>
          <w:lang w:val="he-IL"/>
        </w:rPr>
        <w:pict w14:anchorId="22AF8F9A">
          <v:rect id="_x0000_s1026" style="position:absolute;left:0;text-align:left;margin-left:464.35pt;margin-top:7.1pt;width:75.05pt;height:16.95pt;z-index:251654656" o:allowincell="f" filled="f" stroked="f" strokecolor="lime" strokeweight=".25pt">
            <v:textbox style="mso-next-textbox:#_x0000_s1026" inset="0,0,0,0">
              <w:txbxContent>
                <w:p w14:paraId="55B3DAEB" w14:textId="77777777" w:rsidR="00D75C28" w:rsidRDefault="00D75C2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709676F7" w14:textId="77777777" w:rsidR="00D75C28" w:rsidRDefault="00D75C28">
      <w:pPr>
        <w:pStyle w:val="P00"/>
        <w:spacing w:before="72"/>
        <w:ind w:left="0" w:right="1134"/>
        <w:rPr>
          <w:rStyle w:val="default"/>
          <w:rFonts w:cs="FrankRuehl" w:hint="cs"/>
          <w:rtl/>
        </w:rPr>
      </w:pPr>
      <w:r>
        <w:rPr>
          <w:rStyle w:val="default"/>
          <w:rFonts w:cs="FrankRuehl" w:hint="cs"/>
          <w:rtl/>
        </w:rPr>
        <w:tab/>
      </w:r>
      <w:r>
        <w:rPr>
          <w:rStyle w:val="default"/>
          <w:rFonts w:cs="FrankRuehl"/>
          <w:rtl/>
        </w:rPr>
        <w:t>"התקופה הקובעת" – התקופה שמיום ט"ז בתמוז התשס"ו (12 ביולי 2006), עד יום כ' באלול התשס"ו (14 באוגוסט 2006), מועד כניסתה לתוקף של הפסקת האש;</w:t>
      </w:r>
    </w:p>
    <w:p w14:paraId="575ED0EC" w14:textId="77777777" w:rsidR="00D75C28" w:rsidRDefault="00D75C28">
      <w:pPr>
        <w:pStyle w:val="P00"/>
        <w:spacing w:before="72"/>
        <w:ind w:left="0" w:right="1134"/>
        <w:rPr>
          <w:rStyle w:val="default"/>
          <w:rFonts w:cs="FrankRuehl" w:hint="cs"/>
          <w:rtl/>
        </w:rPr>
      </w:pPr>
      <w:r>
        <w:rPr>
          <w:rStyle w:val="default"/>
          <w:rFonts w:cs="FrankRuehl" w:hint="cs"/>
          <w:rtl/>
        </w:rPr>
        <w:tab/>
      </w:r>
      <w:r>
        <w:rPr>
          <w:rStyle w:val="default"/>
          <w:rFonts w:cs="FrankRuehl"/>
          <w:rtl/>
        </w:rPr>
        <w:t>"שירות מילואים" – כמשמעו בחוק שירות ביטחון;</w:t>
      </w:r>
    </w:p>
    <w:p w14:paraId="6B81DCDA" w14:textId="77777777" w:rsidR="00D75C28" w:rsidRDefault="00D75C28">
      <w:pPr>
        <w:pStyle w:val="P00"/>
        <w:spacing w:before="72"/>
        <w:ind w:left="0" w:right="1134"/>
        <w:rPr>
          <w:rStyle w:val="default"/>
          <w:rFonts w:cs="FrankRuehl" w:hint="cs"/>
          <w:rtl/>
        </w:rPr>
      </w:pPr>
      <w:r>
        <w:rPr>
          <w:rStyle w:val="default"/>
          <w:rFonts w:cs="FrankRuehl" w:hint="cs"/>
          <w:rtl/>
        </w:rPr>
        <w:tab/>
      </w:r>
      <w:r>
        <w:rPr>
          <w:rStyle w:val="default"/>
          <w:rFonts w:cs="FrankRuehl"/>
          <w:rtl/>
        </w:rPr>
        <w:t>"שירות סדיר" – כמשמעו בחוק שירות ביטחון [נוסח משולב], התשמ"ו</w:t>
      </w:r>
      <w:r>
        <w:rPr>
          <w:rStyle w:val="default"/>
          <w:rFonts w:cs="FrankRuehl" w:hint="cs"/>
          <w:rtl/>
        </w:rPr>
        <w:t>-1986</w:t>
      </w:r>
      <w:r>
        <w:rPr>
          <w:rStyle w:val="default"/>
          <w:rFonts w:cs="FrankRuehl"/>
          <w:rtl/>
        </w:rPr>
        <w:t xml:space="preserve"> (להלן – חוק שירות ביטחון), לרבות שירות קבע כמשמעו בחוק שירות הקבע בצבא הגנה לישראל (גמלאות) [נוסח משולב], התשמ"ה</w:t>
      </w:r>
      <w:r>
        <w:rPr>
          <w:rStyle w:val="default"/>
          <w:rFonts w:cs="FrankRuehl" w:hint="cs"/>
          <w:rtl/>
        </w:rPr>
        <w:t>-1985</w:t>
      </w:r>
      <w:r>
        <w:rPr>
          <w:rStyle w:val="default"/>
          <w:rFonts w:cs="FrankRuehl"/>
          <w:rtl/>
        </w:rPr>
        <w:t>;</w:t>
      </w:r>
    </w:p>
    <w:p w14:paraId="70027F58" w14:textId="77777777" w:rsidR="00D75C28" w:rsidRDefault="004127E8">
      <w:pPr>
        <w:pStyle w:val="P00"/>
        <w:spacing w:before="72"/>
        <w:ind w:left="0" w:right="1134"/>
        <w:rPr>
          <w:rStyle w:val="default"/>
          <w:rFonts w:cs="FrankRuehl" w:hint="cs"/>
          <w:rtl/>
        </w:rPr>
      </w:pPr>
      <w:r>
        <w:rPr>
          <w:rFonts w:cs="FrankRuehl" w:hint="cs"/>
          <w:sz w:val="26"/>
          <w:rtl/>
          <w:lang w:eastAsia="en-US"/>
        </w:rPr>
        <w:pict w14:anchorId="4424BE9E">
          <v:shapetype id="_x0000_t202" coordsize="21600,21600" o:spt="202" path="m,l,21600r21600,l21600,xe">
            <v:stroke joinstyle="miter"/>
            <v:path gradientshapeok="t" o:connecttype="rect"/>
          </v:shapetype>
          <v:shape id="_x0000_s1265" type="#_x0000_t202" style="position:absolute;left:0;text-align:left;margin-left:470.35pt;margin-top:7.1pt;width:1in;height:18pt;z-index:251659776" filled="f" stroked="f">
            <v:textbox inset="1mm,0,1mm,0">
              <w:txbxContent>
                <w:p w14:paraId="0CE34AC4" w14:textId="77777777" w:rsidR="004127E8" w:rsidRDefault="004127E8" w:rsidP="004127E8">
                  <w:pPr>
                    <w:spacing w:line="160" w:lineRule="exact"/>
                    <w:rPr>
                      <w:rFonts w:cs="Miriam" w:hint="cs"/>
                      <w:noProof/>
                      <w:sz w:val="18"/>
                      <w:szCs w:val="18"/>
                      <w:rtl/>
                    </w:rPr>
                  </w:pPr>
                  <w:r>
                    <w:rPr>
                      <w:rFonts w:cs="Miriam" w:hint="cs"/>
                      <w:sz w:val="18"/>
                      <w:szCs w:val="18"/>
                      <w:rtl/>
                    </w:rPr>
                    <w:t>תק' תשס"ט-2008</w:t>
                  </w:r>
                </w:p>
              </w:txbxContent>
            </v:textbox>
          </v:shape>
        </w:pict>
      </w:r>
      <w:r w:rsidR="00D75C28">
        <w:rPr>
          <w:rStyle w:val="default"/>
          <w:rFonts w:cs="FrankRuehl" w:hint="cs"/>
          <w:rtl/>
        </w:rPr>
        <w:tab/>
      </w:r>
      <w:r w:rsidR="00D75C28">
        <w:rPr>
          <w:rStyle w:val="default"/>
          <w:rFonts w:cs="FrankRuehl"/>
          <w:rtl/>
        </w:rPr>
        <w:t>"ראש אמ"ש" – ראש אגף משאבי אנוש בצבא הגנה לישראל</w:t>
      </w:r>
      <w:r>
        <w:rPr>
          <w:rStyle w:val="default"/>
          <w:rFonts w:cs="FrankRuehl" w:hint="cs"/>
          <w:rtl/>
        </w:rPr>
        <w:t xml:space="preserve"> או במשטרת ישראל, לפי העניין</w:t>
      </w:r>
      <w:r w:rsidR="00D75C28">
        <w:rPr>
          <w:rStyle w:val="default"/>
          <w:rFonts w:cs="FrankRuehl"/>
          <w:rtl/>
        </w:rPr>
        <w:t>;</w:t>
      </w:r>
    </w:p>
    <w:p w14:paraId="2ADC3F64" w14:textId="77777777" w:rsidR="004127E8" w:rsidRPr="0061414F" w:rsidRDefault="004127E8" w:rsidP="004127E8">
      <w:pPr>
        <w:pStyle w:val="P00"/>
        <w:spacing w:before="0"/>
        <w:ind w:left="0" w:right="1134"/>
        <w:rPr>
          <w:rStyle w:val="default"/>
          <w:rFonts w:cs="FrankRuehl" w:hint="cs"/>
          <w:vanish/>
          <w:color w:val="FF0000"/>
          <w:sz w:val="20"/>
          <w:szCs w:val="20"/>
          <w:shd w:val="clear" w:color="auto" w:fill="FFFF99"/>
          <w:rtl/>
        </w:rPr>
      </w:pPr>
      <w:bookmarkStart w:id="1" w:name="Rov6"/>
      <w:r w:rsidRPr="0061414F">
        <w:rPr>
          <w:rStyle w:val="default"/>
          <w:rFonts w:cs="FrankRuehl" w:hint="cs"/>
          <w:vanish/>
          <w:color w:val="FF0000"/>
          <w:sz w:val="20"/>
          <w:szCs w:val="20"/>
          <w:shd w:val="clear" w:color="auto" w:fill="FFFF99"/>
          <w:rtl/>
        </w:rPr>
        <w:t>מיום 4.12.2008</w:t>
      </w:r>
    </w:p>
    <w:p w14:paraId="5E78B2DF" w14:textId="77777777" w:rsidR="004127E8" w:rsidRPr="0061414F" w:rsidRDefault="004127E8" w:rsidP="004127E8">
      <w:pPr>
        <w:pStyle w:val="P00"/>
        <w:spacing w:before="0"/>
        <w:ind w:left="0" w:right="1134"/>
        <w:rPr>
          <w:rStyle w:val="default"/>
          <w:rFonts w:cs="FrankRuehl" w:hint="cs"/>
          <w:vanish/>
          <w:sz w:val="20"/>
          <w:szCs w:val="20"/>
          <w:shd w:val="clear" w:color="auto" w:fill="FFFF99"/>
          <w:rtl/>
        </w:rPr>
      </w:pPr>
      <w:r w:rsidRPr="0061414F">
        <w:rPr>
          <w:rStyle w:val="default"/>
          <w:rFonts w:cs="FrankRuehl" w:hint="cs"/>
          <w:b/>
          <w:bCs/>
          <w:vanish/>
          <w:sz w:val="20"/>
          <w:szCs w:val="20"/>
          <w:shd w:val="clear" w:color="auto" w:fill="FFFF99"/>
          <w:rtl/>
        </w:rPr>
        <w:t>תק' תשס"ט-2008</w:t>
      </w:r>
    </w:p>
    <w:p w14:paraId="57730328" w14:textId="77777777" w:rsidR="004127E8" w:rsidRPr="0061414F" w:rsidRDefault="004127E8" w:rsidP="004127E8">
      <w:pPr>
        <w:pStyle w:val="P00"/>
        <w:spacing w:before="0"/>
        <w:ind w:left="0" w:right="1134"/>
        <w:rPr>
          <w:rStyle w:val="default"/>
          <w:rFonts w:cs="FrankRuehl" w:hint="cs"/>
          <w:vanish/>
          <w:sz w:val="20"/>
          <w:szCs w:val="20"/>
          <w:shd w:val="clear" w:color="auto" w:fill="FFFF99"/>
          <w:rtl/>
        </w:rPr>
      </w:pPr>
      <w:hyperlink r:id="rId7" w:history="1">
        <w:r w:rsidRPr="0061414F">
          <w:rPr>
            <w:rStyle w:val="Hyperlink"/>
            <w:rFonts w:cs="FrankRuehl" w:hint="cs"/>
            <w:vanish/>
            <w:szCs w:val="20"/>
            <w:shd w:val="clear" w:color="auto" w:fill="FFFF99"/>
            <w:rtl/>
          </w:rPr>
          <w:t>ק"ת תשס"ט מס' 6728</w:t>
        </w:r>
      </w:hyperlink>
      <w:r w:rsidRPr="0061414F">
        <w:rPr>
          <w:rStyle w:val="default"/>
          <w:rFonts w:cs="FrankRuehl" w:hint="cs"/>
          <w:vanish/>
          <w:sz w:val="20"/>
          <w:szCs w:val="20"/>
          <w:shd w:val="clear" w:color="auto" w:fill="FFFF99"/>
          <w:rtl/>
        </w:rPr>
        <w:t xml:space="preserve"> מיום 4.12.2008 עמ' 190</w:t>
      </w:r>
    </w:p>
    <w:p w14:paraId="724CEFD1" w14:textId="77777777" w:rsidR="004127E8" w:rsidRPr="00486B5B" w:rsidRDefault="004127E8" w:rsidP="00486B5B">
      <w:pPr>
        <w:pStyle w:val="P00"/>
        <w:ind w:left="0" w:right="1134"/>
        <w:rPr>
          <w:rStyle w:val="default"/>
          <w:rFonts w:cs="FrankRuehl" w:hint="cs"/>
          <w:sz w:val="2"/>
          <w:szCs w:val="2"/>
          <w:rtl/>
        </w:rPr>
      </w:pPr>
      <w:r w:rsidRPr="0061414F">
        <w:rPr>
          <w:rStyle w:val="default"/>
          <w:rFonts w:cs="FrankRuehl" w:hint="cs"/>
          <w:vanish/>
          <w:sz w:val="22"/>
          <w:szCs w:val="22"/>
          <w:shd w:val="clear" w:color="auto" w:fill="FFFF99"/>
          <w:rtl/>
        </w:rPr>
        <w:tab/>
      </w:r>
      <w:r w:rsidRPr="0061414F">
        <w:rPr>
          <w:rStyle w:val="default"/>
          <w:rFonts w:cs="FrankRuehl"/>
          <w:vanish/>
          <w:sz w:val="22"/>
          <w:szCs w:val="22"/>
          <w:shd w:val="clear" w:color="auto" w:fill="FFFF99"/>
          <w:rtl/>
        </w:rPr>
        <w:t>"ראש אמ"ש" – ראש אגף משאבי אנוש בצבא הגנה לישראל</w:t>
      </w:r>
      <w:r w:rsidRPr="0061414F">
        <w:rPr>
          <w:rStyle w:val="default"/>
          <w:rFonts w:cs="FrankRuehl" w:hint="cs"/>
          <w:vanish/>
          <w:sz w:val="22"/>
          <w:szCs w:val="22"/>
          <w:shd w:val="clear" w:color="auto" w:fill="FFFF99"/>
          <w:rtl/>
        </w:rPr>
        <w:t xml:space="preserve"> </w:t>
      </w:r>
      <w:r w:rsidRPr="0061414F">
        <w:rPr>
          <w:rStyle w:val="default"/>
          <w:rFonts w:cs="FrankRuehl" w:hint="cs"/>
          <w:vanish/>
          <w:sz w:val="22"/>
          <w:szCs w:val="22"/>
          <w:u w:val="single"/>
          <w:shd w:val="clear" w:color="auto" w:fill="FFFF99"/>
          <w:rtl/>
        </w:rPr>
        <w:t>או במשטרת ישראל, לפי העניין</w:t>
      </w:r>
      <w:r w:rsidRPr="0061414F">
        <w:rPr>
          <w:rStyle w:val="default"/>
          <w:rFonts w:cs="FrankRuehl"/>
          <w:vanish/>
          <w:sz w:val="22"/>
          <w:szCs w:val="22"/>
          <w:shd w:val="clear" w:color="auto" w:fill="FFFF99"/>
          <w:rtl/>
        </w:rPr>
        <w:t>;</w:t>
      </w:r>
      <w:bookmarkEnd w:id="1"/>
    </w:p>
    <w:p w14:paraId="0C992069" w14:textId="77777777" w:rsidR="00D75C28" w:rsidRDefault="00D75C28">
      <w:pPr>
        <w:pStyle w:val="P00"/>
        <w:spacing w:before="72"/>
        <w:ind w:left="0" w:right="1134"/>
        <w:rPr>
          <w:rStyle w:val="default"/>
          <w:rFonts w:cs="FrankRuehl" w:hint="cs"/>
          <w:rtl/>
        </w:rPr>
      </w:pPr>
      <w:r>
        <w:rPr>
          <w:rStyle w:val="default"/>
          <w:rFonts w:cs="FrankRuehl" w:hint="cs"/>
          <w:rtl/>
        </w:rPr>
        <w:tab/>
      </w:r>
      <w:r>
        <w:rPr>
          <w:rStyle w:val="default"/>
          <w:rFonts w:cs="FrankRuehl"/>
          <w:rtl/>
        </w:rPr>
        <w:t>"תקופת שירות מזכה" – תקופה מן המפורטות בתקנה 3(א)(1) עד (4), לפי העניין.</w:t>
      </w:r>
    </w:p>
    <w:p w14:paraId="697D1CCE" w14:textId="77777777" w:rsidR="00D75C28" w:rsidRDefault="00D75C28">
      <w:pPr>
        <w:pStyle w:val="P00"/>
        <w:spacing w:before="72"/>
        <w:ind w:left="0" w:right="1134"/>
        <w:rPr>
          <w:rStyle w:val="default"/>
          <w:rFonts w:cs="FrankRuehl" w:hint="cs"/>
          <w:rtl/>
        </w:rPr>
      </w:pPr>
      <w:bookmarkStart w:id="2" w:name="Seif2"/>
      <w:bookmarkEnd w:id="2"/>
      <w:r>
        <w:rPr>
          <w:rFonts w:cs="Miriam"/>
          <w:lang w:val="he-IL"/>
        </w:rPr>
        <w:pict w14:anchorId="50B18BAA">
          <v:rect id="_x0000_s1250" style="position:absolute;left:0;text-align:left;margin-left:464.35pt;margin-top:7.1pt;width:75.05pt;height:16.95pt;z-index:251655680" o:allowincell="f" filled="f" stroked="f" strokecolor="lime" strokeweight=".25pt">
            <v:textbox style="mso-next-textbox:#_x0000_s1250" inset="0,0,0,0">
              <w:txbxContent>
                <w:p w14:paraId="79AE1425" w14:textId="77777777" w:rsidR="00D75C28" w:rsidRDefault="00D75C28">
                  <w:pPr>
                    <w:spacing w:line="160" w:lineRule="exact"/>
                    <w:rPr>
                      <w:rFonts w:cs="Miriam" w:hint="cs"/>
                      <w:noProof/>
                      <w:sz w:val="18"/>
                      <w:szCs w:val="18"/>
                      <w:rtl/>
                    </w:rPr>
                  </w:pPr>
                  <w:r>
                    <w:rPr>
                      <w:rFonts w:cs="Miriam" w:hint="cs"/>
                      <w:sz w:val="18"/>
                      <w:szCs w:val="18"/>
                      <w:rtl/>
                    </w:rPr>
                    <w:t>אות מלחמת לבנון השניה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אות מלחמת לבנון השניה יהיה אות מערכה לעניין החוק.</w:t>
      </w:r>
    </w:p>
    <w:p w14:paraId="7FC701AB" w14:textId="77777777" w:rsidR="00D75C28" w:rsidRDefault="00D75C28">
      <w:pPr>
        <w:pStyle w:val="P00"/>
        <w:spacing w:before="72"/>
        <w:ind w:left="0" w:right="1134"/>
        <w:rPr>
          <w:rStyle w:val="default"/>
          <w:rFonts w:cs="FrankRuehl" w:hint="cs"/>
          <w:rtl/>
        </w:rPr>
      </w:pPr>
      <w:bookmarkStart w:id="3" w:name="Seif3"/>
      <w:bookmarkEnd w:id="3"/>
      <w:r>
        <w:rPr>
          <w:rFonts w:cs="Miriam"/>
          <w:lang w:val="he-IL"/>
        </w:rPr>
        <w:pict w14:anchorId="4647D18C">
          <v:rect id="_x0000_s1255" style="position:absolute;left:0;text-align:left;margin-left:464.35pt;margin-top:7.1pt;width:75.05pt;height:17.1pt;z-index:251656704" o:allowincell="f" filled="f" stroked="f" strokecolor="lime" strokeweight=".25pt">
            <v:textbox style="mso-next-textbox:#_x0000_s1255" inset="0,0,0,0">
              <w:txbxContent>
                <w:p w14:paraId="59766FE5" w14:textId="77777777" w:rsidR="00D75C28" w:rsidRDefault="00D75C28">
                  <w:pPr>
                    <w:spacing w:line="160" w:lineRule="exact"/>
                    <w:rPr>
                      <w:rFonts w:cs="Miriam" w:hint="cs"/>
                      <w:noProof/>
                      <w:sz w:val="18"/>
                      <w:szCs w:val="18"/>
                      <w:rtl/>
                    </w:rPr>
                  </w:pPr>
                  <w:r>
                    <w:rPr>
                      <w:rFonts w:cs="Miriam" w:hint="cs"/>
                      <w:sz w:val="18"/>
                      <w:szCs w:val="18"/>
                      <w:rtl/>
                    </w:rPr>
                    <w:t>זכאים לקבלת האות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זכאי לקבלת אות מלחמת לבנון השניה יהיה חייל שבתקופה הקובעת שירת שירות סדיר או שירות מילואים אחד מאלה:</w:t>
      </w:r>
    </w:p>
    <w:p w14:paraId="10980079" w14:textId="77777777" w:rsidR="00D75C28" w:rsidRDefault="00D75C2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שירות סדיר של שלושה ימים רצופים לפחות, של שירות תקין;</w:t>
      </w:r>
    </w:p>
    <w:p w14:paraId="3256E578" w14:textId="77777777" w:rsidR="00D75C28" w:rsidRDefault="00D75C2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שירות מילואים של שלושה ימי שירות פעיל במצטבר;</w:t>
      </w:r>
    </w:p>
    <w:p w14:paraId="4AADF952" w14:textId="77777777" w:rsidR="00D75C28" w:rsidRDefault="00D75C28">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שירות סדיר או שירות מילואים הפחות משלושה ימים כאמור בפסקאות (1) ו</w:t>
      </w:r>
      <w:r>
        <w:rPr>
          <w:rStyle w:val="default"/>
          <w:rFonts w:cs="FrankRuehl" w:hint="cs"/>
          <w:rtl/>
        </w:rPr>
        <w:t>-</w:t>
      </w:r>
      <w:r>
        <w:rPr>
          <w:rStyle w:val="default"/>
          <w:rFonts w:cs="FrankRuehl"/>
          <w:rtl/>
        </w:rPr>
        <w:t>(2), ואולם –</w:t>
      </w:r>
    </w:p>
    <w:p w14:paraId="0F4298A2" w14:textId="77777777" w:rsidR="00D75C28" w:rsidRDefault="00D75C28">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נעדר בתקופת שירותו ומאז לא נודעו עקבותיו;</w:t>
      </w:r>
    </w:p>
    <w:p w14:paraId="08E62A2A" w14:textId="77777777" w:rsidR="00D75C28" w:rsidRDefault="00D75C28">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נפל, נשבה או נפצע בתקופת שירותו;</w:t>
      </w:r>
    </w:p>
    <w:p w14:paraId="00EC404A" w14:textId="77777777" w:rsidR="00D75C28" w:rsidRDefault="00D75C28">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נחבל או חלה בתקופה הקובעת תוך ועקב שירותו, או שמחלתו הוחמרה תוך ועקב שירותו;</w:t>
      </w:r>
    </w:p>
    <w:p w14:paraId="026AFEC0" w14:textId="77777777" w:rsidR="00D75C28" w:rsidRDefault="00D75C28">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שירת בגזרת לבנון אחרי תום התקופה הקובעת, וראש אמ"ש או מי שהוא</w:t>
      </w:r>
      <w:r>
        <w:rPr>
          <w:rStyle w:val="default"/>
          <w:rFonts w:cs="FrankRuehl" w:hint="cs"/>
          <w:rtl/>
        </w:rPr>
        <w:t xml:space="preserve"> </w:t>
      </w:r>
      <w:r>
        <w:rPr>
          <w:rStyle w:val="default"/>
          <w:rFonts w:cs="FrankRuehl"/>
          <w:rtl/>
        </w:rPr>
        <w:t>הסמיכו לכך, הורה כי הוא זכאי לאות מלחמת לבנון השניה, לאחר ששוכנע כי נתקיימו לגביו נסיבות מיוחדות המצדיקות הענקת האות.</w:t>
      </w:r>
    </w:p>
    <w:p w14:paraId="5DBBB124" w14:textId="77777777" w:rsidR="00D75C28" w:rsidRDefault="00D75C2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שוטר במשטרת ישראל, סוהר בשירות בתי הסוהר או עובד שירות הביטחון הכללי או של המוסד למודיעין ולתפקידים מיוחדים (שניהם להלן – שירותי הביטחון הממלכתיים), זכאי לקבל אות מלחמת לבנון השניה אם שירת או עבד בתקופת השירות המזכה.</w:t>
      </w:r>
    </w:p>
    <w:p w14:paraId="0487898F" w14:textId="77777777" w:rsidR="00D75C28" w:rsidRDefault="00D75C28">
      <w:pPr>
        <w:pStyle w:val="P00"/>
        <w:spacing w:before="72"/>
        <w:ind w:left="0" w:right="1134"/>
        <w:rPr>
          <w:rStyle w:val="default"/>
          <w:rFonts w:cs="FrankRuehl" w:hint="cs"/>
          <w:rtl/>
        </w:rPr>
      </w:pPr>
      <w:bookmarkStart w:id="4" w:name="Seif4"/>
      <w:bookmarkEnd w:id="4"/>
      <w:r>
        <w:rPr>
          <w:rFonts w:cs="Miriam"/>
          <w:lang w:val="he-IL"/>
        </w:rPr>
        <w:pict w14:anchorId="4C3ECB10">
          <v:rect id="_x0000_s1256" style="position:absolute;left:0;text-align:left;margin-left:464.35pt;margin-top:7.1pt;width:75.05pt;height:16.95pt;z-index:251657728" o:allowincell="f" filled="f" stroked="f" strokecolor="lime" strokeweight=".25pt">
            <v:textbox style="mso-next-textbox:#_x0000_s1256" inset="0,0,0,0">
              <w:txbxContent>
                <w:p w14:paraId="1DCEABC7" w14:textId="77777777" w:rsidR="00D75C28" w:rsidRDefault="00D75C28">
                  <w:pPr>
                    <w:spacing w:line="160" w:lineRule="exact"/>
                    <w:rPr>
                      <w:rFonts w:cs="Miriam" w:hint="cs"/>
                      <w:noProof/>
                      <w:sz w:val="18"/>
                      <w:szCs w:val="18"/>
                      <w:rtl/>
                    </w:rPr>
                  </w:pPr>
                  <w:r>
                    <w:rPr>
                      <w:rFonts w:cs="Miriam" w:hint="cs"/>
                      <w:sz w:val="18"/>
                      <w:szCs w:val="18"/>
                      <w:rtl/>
                    </w:rPr>
                    <w:t>זכאי שנפטר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נפטר חייל, שוטר או עובד שירותי הביטחון הממלכתיים הזכאי לאות מלחמת לבנון</w:t>
      </w:r>
      <w:r>
        <w:rPr>
          <w:rStyle w:val="default"/>
          <w:rFonts w:cs="FrankRuehl" w:hint="cs"/>
          <w:rtl/>
        </w:rPr>
        <w:t xml:space="preserve"> </w:t>
      </w:r>
      <w:r>
        <w:rPr>
          <w:rStyle w:val="default"/>
          <w:rFonts w:cs="FrankRuehl"/>
          <w:rtl/>
        </w:rPr>
        <w:t>השניה לפני הענקת האות, יימסר האות לשאר בשרו הקרוב ביותר, כהגדרתו בסעיף 6(ב) לחוק.</w:t>
      </w:r>
    </w:p>
    <w:p w14:paraId="5EB4E526" w14:textId="77777777" w:rsidR="00D75C28" w:rsidRDefault="00D75C28">
      <w:pPr>
        <w:pStyle w:val="P00"/>
        <w:spacing w:before="72"/>
        <w:ind w:left="0" w:right="1134"/>
        <w:rPr>
          <w:rStyle w:val="default"/>
          <w:rFonts w:cs="FrankRuehl" w:hint="cs"/>
          <w:rtl/>
        </w:rPr>
      </w:pPr>
      <w:bookmarkStart w:id="5" w:name="Seif5"/>
      <w:bookmarkEnd w:id="5"/>
      <w:r>
        <w:rPr>
          <w:rFonts w:cs="Miriam"/>
          <w:lang w:val="he-IL"/>
        </w:rPr>
        <w:pict w14:anchorId="20011189">
          <v:rect id="_x0000_s1257" style="position:absolute;left:0;text-align:left;margin-left:464.35pt;margin-top:7.1pt;width:75.05pt;height:16.95pt;z-index:251658752" o:allowincell="f" filled="f" stroked="f" strokecolor="lime" strokeweight=".25pt">
            <v:textbox style="mso-next-textbox:#_x0000_s1257" inset="0,0,0,0">
              <w:txbxContent>
                <w:p w14:paraId="5D5764AC" w14:textId="77777777" w:rsidR="00D75C28" w:rsidRDefault="00D75C28">
                  <w:pPr>
                    <w:spacing w:line="160" w:lineRule="exact"/>
                    <w:rPr>
                      <w:rFonts w:cs="Miriam" w:hint="cs"/>
                      <w:noProof/>
                      <w:sz w:val="18"/>
                      <w:szCs w:val="18"/>
                      <w:rtl/>
                    </w:rPr>
                  </w:pPr>
                  <w:r>
                    <w:rPr>
                      <w:rFonts w:cs="Miriam" w:hint="cs"/>
                      <w:sz w:val="18"/>
                      <w:szCs w:val="18"/>
                      <w:rtl/>
                    </w:rPr>
                    <w:t>מי שאינם זכאים לאות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על אף האמור בתקנה 3 לא יהיה זכאי לאות מי שבמשך התקופה הקובעת –</w:t>
      </w:r>
    </w:p>
    <w:p w14:paraId="5CC7D777" w14:textId="77777777" w:rsidR="00D75C28" w:rsidRDefault="00D75C28">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נשא עונש מחבוש לתקופה העולה על 14 ימים;</w:t>
      </w:r>
    </w:p>
    <w:p w14:paraId="79A1E950" w14:textId="77777777" w:rsidR="00D75C28" w:rsidRDefault="00D75C28">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נעדר לתקופה כלשהי מהשירות ונענש על כך כדין;</w:t>
      </w:r>
    </w:p>
    <w:p w14:paraId="53809048" w14:textId="77777777" w:rsidR="00D75C28" w:rsidRDefault="00D75C28">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ראש אמ"ש הורה כך לגביו, אם הורשע בבית דין צבאי או בבית משפט אזרחי</w:t>
      </w:r>
      <w:r>
        <w:rPr>
          <w:rStyle w:val="default"/>
          <w:rFonts w:cs="FrankRuehl" w:hint="cs"/>
          <w:rtl/>
        </w:rPr>
        <w:t xml:space="preserve"> </w:t>
      </w:r>
      <w:r>
        <w:rPr>
          <w:rStyle w:val="default"/>
          <w:rFonts w:cs="FrankRuehl"/>
          <w:rtl/>
        </w:rPr>
        <w:t>בעבירה שיש עמה קלון על מעשה שעשה בתקופה הקובעת, או התנהג בתקופה</w:t>
      </w:r>
      <w:r>
        <w:rPr>
          <w:rStyle w:val="default"/>
          <w:rFonts w:cs="FrankRuehl" w:hint="cs"/>
          <w:rtl/>
        </w:rPr>
        <w:t xml:space="preserve"> </w:t>
      </w:r>
      <w:r>
        <w:rPr>
          <w:rStyle w:val="default"/>
          <w:rFonts w:cs="FrankRuehl"/>
          <w:rtl/>
        </w:rPr>
        <w:t xml:space="preserve">הקובעת באופן </w:t>
      </w:r>
      <w:r>
        <w:rPr>
          <w:rStyle w:val="default"/>
          <w:rFonts w:cs="FrankRuehl"/>
          <w:rtl/>
        </w:rPr>
        <w:lastRenderedPageBreak/>
        <w:t>החורג מאמות המידה הנדרשות מחייל, וניתנה על כך חוות דעת של הפרקליט הצבאי הראשי;</w:t>
      </w:r>
    </w:p>
    <w:p w14:paraId="062BFB7E" w14:textId="77777777" w:rsidR="00D75C28" w:rsidRDefault="00D75C28">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היה מוצב או מסופח לתקופה העולה על 14 ימים באחת הרשימות המקובצות כמשמען בפקודות הצבא כמפורט להלן: ר"ם 3א, ר"ם 3ב, ר"ם 6א, ר"ם</w:t>
      </w:r>
      <w:r w:rsidR="00486B5B">
        <w:rPr>
          <w:rStyle w:val="default"/>
          <w:rFonts w:cs="FrankRuehl"/>
          <w:rtl/>
        </w:rPr>
        <w:t xml:space="preserve"> 6ב, למעט אם הורה ראש אמ"ש אחרת</w:t>
      </w:r>
      <w:r w:rsidR="00486B5B">
        <w:rPr>
          <w:rStyle w:val="default"/>
          <w:rFonts w:cs="FrankRuehl" w:hint="cs"/>
          <w:rtl/>
        </w:rPr>
        <w:t>;</w:t>
      </w:r>
    </w:p>
    <w:p w14:paraId="605BC260" w14:textId="77777777" w:rsidR="00486B5B" w:rsidRDefault="0061414F">
      <w:pPr>
        <w:pStyle w:val="P00"/>
        <w:spacing w:before="72"/>
        <w:ind w:left="624" w:right="1134"/>
        <w:rPr>
          <w:rStyle w:val="default"/>
          <w:rFonts w:cs="FrankRuehl" w:hint="cs"/>
          <w:rtl/>
        </w:rPr>
      </w:pPr>
      <w:r>
        <w:rPr>
          <w:rFonts w:cs="FrankRuehl" w:hint="cs"/>
          <w:sz w:val="26"/>
          <w:rtl/>
          <w:lang w:eastAsia="en-US"/>
        </w:rPr>
        <w:pict w14:anchorId="640A7DBF">
          <v:shape id="_x0000_s1266" type="#_x0000_t202" style="position:absolute;left:0;text-align:left;margin-left:470.35pt;margin-top:7.1pt;width:1in;height:9pt;z-index:251660800" filled="f" stroked="f">
            <v:textbox inset="1mm,0,1mm,0">
              <w:txbxContent>
                <w:p w14:paraId="1B754948" w14:textId="77777777" w:rsidR="0061414F" w:rsidRDefault="0061414F" w:rsidP="0061414F">
                  <w:pPr>
                    <w:spacing w:line="160" w:lineRule="exact"/>
                    <w:rPr>
                      <w:rFonts w:cs="Miriam" w:hint="cs"/>
                      <w:noProof/>
                      <w:sz w:val="18"/>
                      <w:szCs w:val="18"/>
                      <w:rtl/>
                    </w:rPr>
                  </w:pPr>
                  <w:r>
                    <w:rPr>
                      <w:rFonts w:cs="Miriam" w:hint="cs"/>
                      <w:sz w:val="18"/>
                      <w:szCs w:val="18"/>
                      <w:rtl/>
                    </w:rPr>
                    <w:t>תק' תשס"ט-2008</w:t>
                  </w:r>
                </w:p>
              </w:txbxContent>
            </v:textbox>
          </v:shape>
        </w:pict>
      </w:r>
      <w:r w:rsidR="00486B5B">
        <w:rPr>
          <w:rStyle w:val="default"/>
          <w:rFonts w:cs="FrankRuehl" w:hint="cs"/>
          <w:rtl/>
        </w:rPr>
        <w:t>(5)</w:t>
      </w:r>
      <w:r w:rsidR="00486B5B">
        <w:rPr>
          <w:rStyle w:val="default"/>
          <w:rFonts w:cs="FrankRuehl" w:hint="cs"/>
          <w:rtl/>
        </w:rPr>
        <w:tab/>
        <w:t xml:space="preserve">היה שוטר שנתקיים </w:t>
      </w:r>
      <w:r>
        <w:rPr>
          <w:rStyle w:val="default"/>
          <w:rFonts w:cs="FrankRuehl" w:hint="cs"/>
          <w:rtl/>
        </w:rPr>
        <w:t>בו אחד מאלה:</w:t>
      </w:r>
    </w:p>
    <w:p w14:paraId="3B3CC028" w14:textId="77777777" w:rsidR="0061414F" w:rsidRDefault="0061414F" w:rsidP="0061414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ראש אמ"ש הורה כך לגביו אם הורשע בבית דין משמעתי של משטרת ישראל או בבית משפט אזרחי בעבירה שיש עמה קלון, על מעשה שעשה בתקופה האמורה, או אם התנהג בה באופן החורג מאמות נמידה הנדרשות משוטר וניתנה על כך חוות דעת של מחלקת המשמעת של משטרת ישראל;</w:t>
      </w:r>
    </w:p>
    <w:p w14:paraId="24A48BDC" w14:textId="77777777" w:rsidR="0061414F" w:rsidRDefault="0061414F" w:rsidP="0061414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שהה במשך תקופה העולה על 14 ימים במעצר, במעצר בית או במאסר או היה מוצב או מסופח לתקופה העולה על 14 ימים באחת הרשימות המקובצות האמורות בפסקה (3) או בר"ם עריקים במשמר הגבול, למעט אם הורה לגביו ראש אמ"ש אחרת;</w:t>
      </w:r>
    </w:p>
    <w:p w14:paraId="57963BC8" w14:textId="77777777" w:rsidR="0061414F" w:rsidRDefault="0061414F" w:rsidP="0061414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היה מושעה או שהה בחופשה כפויה במהלך התקופה האמורה, או בחלק ממנה למעט אם הורה לגביו ראש אמ"ש אחרת.</w:t>
      </w:r>
    </w:p>
    <w:p w14:paraId="39803EB9" w14:textId="77777777" w:rsidR="00486B5B" w:rsidRPr="0061414F" w:rsidRDefault="00486B5B" w:rsidP="00486B5B">
      <w:pPr>
        <w:pStyle w:val="P00"/>
        <w:spacing w:before="0"/>
        <w:ind w:left="624" w:right="1134"/>
        <w:rPr>
          <w:rStyle w:val="default"/>
          <w:rFonts w:cs="FrankRuehl" w:hint="cs"/>
          <w:vanish/>
          <w:color w:val="FF0000"/>
          <w:sz w:val="20"/>
          <w:szCs w:val="20"/>
          <w:shd w:val="clear" w:color="auto" w:fill="FFFF99"/>
          <w:rtl/>
        </w:rPr>
      </w:pPr>
      <w:bookmarkStart w:id="6" w:name="Rov7"/>
      <w:r w:rsidRPr="0061414F">
        <w:rPr>
          <w:rStyle w:val="default"/>
          <w:rFonts w:cs="FrankRuehl" w:hint="cs"/>
          <w:vanish/>
          <w:color w:val="FF0000"/>
          <w:sz w:val="20"/>
          <w:szCs w:val="20"/>
          <w:shd w:val="clear" w:color="auto" w:fill="FFFF99"/>
          <w:rtl/>
        </w:rPr>
        <w:t>מיום 4.12.2008</w:t>
      </w:r>
    </w:p>
    <w:p w14:paraId="07F31B99" w14:textId="77777777" w:rsidR="00486B5B" w:rsidRPr="0061414F" w:rsidRDefault="00486B5B" w:rsidP="00486B5B">
      <w:pPr>
        <w:pStyle w:val="P00"/>
        <w:spacing w:before="0"/>
        <w:ind w:left="624" w:right="1134"/>
        <w:rPr>
          <w:rStyle w:val="default"/>
          <w:rFonts w:cs="FrankRuehl" w:hint="cs"/>
          <w:vanish/>
          <w:sz w:val="20"/>
          <w:szCs w:val="20"/>
          <w:shd w:val="clear" w:color="auto" w:fill="FFFF99"/>
          <w:rtl/>
        </w:rPr>
      </w:pPr>
      <w:r w:rsidRPr="0061414F">
        <w:rPr>
          <w:rStyle w:val="default"/>
          <w:rFonts w:cs="FrankRuehl" w:hint="cs"/>
          <w:b/>
          <w:bCs/>
          <w:vanish/>
          <w:sz w:val="20"/>
          <w:szCs w:val="20"/>
          <w:shd w:val="clear" w:color="auto" w:fill="FFFF99"/>
          <w:rtl/>
        </w:rPr>
        <w:t>תק' תשס"ט-2008</w:t>
      </w:r>
    </w:p>
    <w:p w14:paraId="14766EA3" w14:textId="77777777" w:rsidR="00486B5B" w:rsidRPr="0061414F" w:rsidRDefault="00486B5B" w:rsidP="00486B5B">
      <w:pPr>
        <w:pStyle w:val="P00"/>
        <w:spacing w:before="0"/>
        <w:ind w:left="624" w:right="1134"/>
        <w:rPr>
          <w:rStyle w:val="default"/>
          <w:rFonts w:cs="FrankRuehl" w:hint="cs"/>
          <w:vanish/>
          <w:sz w:val="20"/>
          <w:szCs w:val="20"/>
          <w:shd w:val="clear" w:color="auto" w:fill="FFFF99"/>
          <w:rtl/>
        </w:rPr>
      </w:pPr>
      <w:hyperlink r:id="rId8" w:history="1">
        <w:r w:rsidRPr="0061414F">
          <w:rPr>
            <w:rStyle w:val="Hyperlink"/>
            <w:rFonts w:cs="FrankRuehl" w:hint="cs"/>
            <w:vanish/>
            <w:szCs w:val="20"/>
            <w:shd w:val="clear" w:color="auto" w:fill="FFFF99"/>
            <w:rtl/>
          </w:rPr>
          <w:t>ק"ת תשס"ט מס' 6728</w:t>
        </w:r>
      </w:hyperlink>
      <w:r w:rsidRPr="0061414F">
        <w:rPr>
          <w:rStyle w:val="default"/>
          <w:rFonts w:cs="FrankRuehl" w:hint="cs"/>
          <w:vanish/>
          <w:sz w:val="20"/>
          <w:szCs w:val="20"/>
          <w:shd w:val="clear" w:color="auto" w:fill="FFFF99"/>
          <w:rtl/>
        </w:rPr>
        <w:t xml:space="preserve"> מיום 4.12.2008 עמ' 190</w:t>
      </w:r>
    </w:p>
    <w:p w14:paraId="1E7F2395" w14:textId="77777777" w:rsidR="00D75C28" w:rsidRPr="0061414F" w:rsidRDefault="00486B5B" w:rsidP="0061414F">
      <w:pPr>
        <w:pStyle w:val="P00"/>
        <w:spacing w:before="0"/>
        <w:ind w:left="624" w:right="1134"/>
        <w:rPr>
          <w:rStyle w:val="default"/>
          <w:rFonts w:cs="FrankRuehl" w:hint="cs"/>
          <w:sz w:val="2"/>
          <w:szCs w:val="2"/>
          <w:rtl/>
        </w:rPr>
      </w:pPr>
      <w:r w:rsidRPr="0061414F">
        <w:rPr>
          <w:rStyle w:val="default"/>
          <w:rFonts w:cs="FrankRuehl" w:hint="cs"/>
          <w:b/>
          <w:bCs/>
          <w:vanish/>
          <w:sz w:val="20"/>
          <w:szCs w:val="20"/>
          <w:shd w:val="clear" w:color="auto" w:fill="FFFF99"/>
          <w:rtl/>
        </w:rPr>
        <w:t>הוספת פסקה 5(5)</w:t>
      </w:r>
      <w:bookmarkEnd w:id="6"/>
    </w:p>
    <w:p w14:paraId="0E84BFBB" w14:textId="77777777" w:rsidR="00486B5B" w:rsidRDefault="00486B5B">
      <w:pPr>
        <w:pStyle w:val="P00"/>
        <w:spacing w:before="72"/>
        <w:ind w:left="0" w:right="1134"/>
        <w:rPr>
          <w:rStyle w:val="default"/>
          <w:rFonts w:cs="FrankRuehl" w:hint="cs"/>
          <w:rtl/>
        </w:rPr>
      </w:pPr>
    </w:p>
    <w:p w14:paraId="15BC300B" w14:textId="77777777" w:rsidR="00486B5B" w:rsidRDefault="00486B5B">
      <w:pPr>
        <w:pStyle w:val="P00"/>
        <w:spacing w:before="72"/>
        <w:ind w:left="0" w:right="1134"/>
        <w:rPr>
          <w:rStyle w:val="default"/>
          <w:rFonts w:cs="FrankRuehl" w:hint="cs"/>
          <w:rtl/>
        </w:rPr>
      </w:pPr>
    </w:p>
    <w:p w14:paraId="6F8BD7EE" w14:textId="77777777" w:rsidR="00D75C28" w:rsidRDefault="00D75C28" w:rsidP="00744FA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י"ט בתשרי התשס"ח (1 באוקטובר 2007)</w:t>
      </w:r>
      <w:r>
        <w:rPr>
          <w:rStyle w:val="default"/>
          <w:rFonts w:cs="FrankRuehl" w:hint="cs"/>
          <w:rtl/>
        </w:rPr>
        <w:tab/>
        <w:t>אהוד ברק</w:t>
      </w:r>
    </w:p>
    <w:p w14:paraId="62E7BFAB" w14:textId="77777777" w:rsidR="00D75C28" w:rsidRDefault="00D75C28" w:rsidP="00744FAB">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הביטחון</w:t>
      </w:r>
    </w:p>
    <w:p w14:paraId="6FB0E6D9" w14:textId="77777777" w:rsidR="00D75C28" w:rsidRPr="00744FAB" w:rsidRDefault="00D75C28" w:rsidP="00744FAB">
      <w:pPr>
        <w:pStyle w:val="P00"/>
        <w:spacing w:before="72"/>
        <w:ind w:left="0" w:right="1134"/>
        <w:rPr>
          <w:rStyle w:val="default"/>
          <w:rFonts w:cs="FrankRuehl" w:hint="cs"/>
          <w:rtl/>
        </w:rPr>
      </w:pPr>
    </w:p>
    <w:p w14:paraId="709509F7" w14:textId="77777777" w:rsidR="00D75C28" w:rsidRPr="00744FAB" w:rsidRDefault="00D75C28" w:rsidP="00744FAB">
      <w:pPr>
        <w:pStyle w:val="P00"/>
        <w:spacing w:before="72"/>
        <w:ind w:left="0" w:right="1134"/>
        <w:rPr>
          <w:rStyle w:val="default"/>
          <w:rFonts w:cs="FrankRuehl" w:hint="cs"/>
          <w:rtl/>
        </w:rPr>
      </w:pPr>
    </w:p>
    <w:p w14:paraId="20AC41BE" w14:textId="77777777" w:rsidR="006D1258" w:rsidRDefault="006D1258" w:rsidP="00744FAB">
      <w:pPr>
        <w:pStyle w:val="P00"/>
        <w:spacing w:before="72"/>
        <w:ind w:left="0" w:right="1134"/>
        <w:rPr>
          <w:rStyle w:val="default"/>
          <w:rFonts w:cs="FrankRuehl"/>
          <w:rtl/>
        </w:rPr>
      </w:pPr>
    </w:p>
    <w:p w14:paraId="0B62D6FD" w14:textId="77777777" w:rsidR="006D1258" w:rsidRDefault="006D1258" w:rsidP="00744FAB">
      <w:pPr>
        <w:pStyle w:val="P00"/>
        <w:spacing w:before="72"/>
        <w:ind w:left="0" w:right="1134"/>
        <w:rPr>
          <w:rStyle w:val="default"/>
          <w:rFonts w:cs="FrankRuehl"/>
          <w:rtl/>
        </w:rPr>
      </w:pPr>
    </w:p>
    <w:p w14:paraId="69DE6DE4" w14:textId="77777777" w:rsidR="006D1258" w:rsidRDefault="006D1258" w:rsidP="006D1258">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152AB6B2" w14:textId="77777777" w:rsidR="00D75C28" w:rsidRPr="006D1258" w:rsidRDefault="00D75C28" w:rsidP="006D1258">
      <w:pPr>
        <w:pStyle w:val="P00"/>
        <w:spacing w:before="72"/>
        <w:ind w:left="0" w:right="1134"/>
        <w:jc w:val="center"/>
        <w:rPr>
          <w:rStyle w:val="default"/>
          <w:rFonts w:cs="David"/>
          <w:color w:val="0000FF"/>
          <w:szCs w:val="24"/>
          <w:u w:val="single"/>
          <w:rtl/>
        </w:rPr>
      </w:pPr>
    </w:p>
    <w:sectPr w:rsidR="00D75C28" w:rsidRPr="006D1258">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CF9AA" w14:textId="77777777" w:rsidR="00664B33" w:rsidRDefault="00664B33">
      <w:r>
        <w:separator/>
      </w:r>
    </w:p>
  </w:endnote>
  <w:endnote w:type="continuationSeparator" w:id="0">
    <w:p w14:paraId="13713473" w14:textId="77777777" w:rsidR="00664B33" w:rsidRDefault="00664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0FF3" w14:textId="77777777" w:rsidR="00D75C28" w:rsidRDefault="00D75C2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B1B2EC" w14:textId="77777777" w:rsidR="00D75C28" w:rsidRDefault="00D75C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29D2D0" w14:textId="77777777" w:rsidR="00D75C28" w:rsidRDefault="00D75C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Z:\000000000000-law\yael\07-10-30\01\999_832.doc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DB3D4" w14:textId="77777777" w:rsidR="00D75C28" w:rsidRDefault="00D75C2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D1258">
      <w:rPr>
        <w:rFonts w:hAnsi="FrankRuehl" w:cs="FrankRuehl"/>
        <w:noProof/>
        <w:sz w:val="24"/>
        <w:szCs w:val="24"/>
        <w:rtl/>
      </w:rPr>
      <w:t>3</w:t>
    </w:r>
    <w:r>
      <w:rPr>
        <w:rFonts w:hAnsi="FrankRuehl" w:cs="FrankRuehl"/>
        <w:sz w:val="24"/>
        <w:szCs w:val="24"/>
        <w:rtl/>
      </w:rPr>
      <w:fldChar w:fldCharType="end"/>
    </w:r>
  </w:p>
  <w:p w14:paraId="2EA8C387" w14:textId="77777777" w:rsidR="00D75C28" w:rsidRDefault="00D75C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61E105" w14:textId="77777777" w:rsidR="00D75C28" w:rsidRDefault="00D75C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Z:\000000000000-law\yael\07-10-30\01\999_832.doc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70572" w14:textId="77777777" w:rsidR="00664B33" w:rsidRDefault="00664B33">
      <w:pPr>
        <w:pStyle w:val="a5"/>
        <w:rPr>
          <w:rFonts w:cs="David"/>
          <w:sz w:val="24"/>
          <w:szCs w:val="24"/>
        </w:rPr>
      </w:pPr>
      <w:r>
        <w:separator/>
      </w:r>
    </w:p>
  </w:footnote>
  <w:footnote w:type="continuationSeparator" w:id="0">
    <w:p w14:paraId="7E4D6706" w14:textId="77777777" w:rsidR="00664B33" w:rsidRDefault="00664B33">
      <w:r>
        <w:continuationSeparator/>
      </w:r>
    </w:p>
  </w:footnote>
  <w:footnote w:id="1">
    <w:p w14:paraId="046BF99E" w14:textId="77777777" w:rsidR="00D75C28" w:rsidRDefault="00D75C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תשס"ח מס' 6618</w:t>
        </w:r>
      </w:hyperlink>
      <w:r>
        <w:rPr>
          <w:rFonts w:cs="FrankRuehl" w:hint="cs"/>
          <w:rtl/>
        </w:rPr>
        <w:t xml:space="preserve"> מיום 29.10.2007 עמ' 64.</w:t>
      </w:r>
    </w:p>
    <w:p w14:paraId="3D53D3B4" w14:textId="77777777" w:rsidR="00147958" w:rsidRDefault="004127E8" w:rsidP="001479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147958">
          <w:rPr>
            <w:rStyle w:val="Hyperlink"/>
            <w:rFonts w:cs="FrankRuehl" w:hint="cs"/>
            <w:rtl/>
          </w:rPr>
          <w:t>ק"ת תשס"ט מס' 6728</w:t>
        </w:r>
      </w:hyperlink>
      <w:r>
        <w:rPr>
          <w:rFonts w:cs="FrankRuehl" w:hint="cs"/>
          <w:rtl/>
        </w:rPr>
        <w:t xml:space="preserve"> מיום 4.12.2008 עמ' 180 </w:t>
      </w:r>
      <w:r>
        <w:rPr>
          <w:rFonts w:cs="FrankRuehl"/>
          <w:rtl/>
        </w:rPr>
        <w:t>–</w:t>
      </w:r>
      <w:r>
        <w:rPr>
          <w:rFonts w:cs="FrankRuehl" w:hint="cs"/>
          <w:rtl/>
        </w:rPr>
        <w:t xml:space="preserve"> תק' תשס"ט-2008.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5B9E9" w14:textId="77777777" w:rsidR="00D75C28" w:rsidRDefault="00D75C2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E99D31F" w14:textId="77777777" w:rsidR="00D75C28" w:rsidRDefault="00D75C2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451DF0" w14:textId="77777777" w:rsidR="00D75C28" w:rsidRDefault="00D75C2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9335" w14:textId="77777777" w:rsidR="00D75C28" w:rsidRDefault="00D75C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העיטורים בצבא הגנה לישראל (אות מלחמת לבנון השניה </w:t>
    </w:r>
    <w:r>
      <w:rPr>
        <w:rFonts w:hAnsi="FrankRuehl" w:cs="FrankRuehl"/>
        <w:color w:val="000000"/>
        <w:sz w:val="28"/>
        <w:szCs w:val="28"/>
        <w:rtl/>
      </w:rPr>
      <w:t>–</w:t>
    </w:r>
    <w:r>
      <w:rPr>
        <w:rFonts w:hAnsi="FrankRuehl" w:cs="FrankRuehl" w:hint="cs"/>
        <w:color w:val="000000"/>
        <w:sz w:val="28"/>
        <w:szCs w:val="28"/>
        <w:rtl/>
      </w:rPr>
      <w:t xml:space="preserve"> קביעת זכאים), תשס"ח-2007</w:t>
    </w:r>
  </w:p>
  <w:p w14:paraId="5B3B2401" w14:textId="77777777" w:rsidR="00D75C28" w:rsidRDefault="00D75C2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E12CB5" w14:textId="77777777" w:rsidR="00D75C28" w:rsidRDefault="00D75C2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8382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7E8"/>
    <w:rsid w:val="00147958"/>
    <w:rsid w:val="004127E8"/>
    <w:rsid w:val="00486B5B"/>
    <w:rsid w:val="004D7FAD"/>
    <w:rsid w:val="0061414F"/>
    <w:rsid w:val="00664B33"/>
    <w:rsid w:val="006D1258"/>
    <w:rsid w:val="00744FAB"/>
    <w:rsid w:val="00800C46"/>
    <w:rsid w:val="008E7F18"/>
    <w:rsid w:val="00957A6D"/>
    <w:rsid w:val="00A21B9A"/>
    <w:rsid w:val="00B004F1"/>
    <w:rsid w:val="00D75C28"/>
    <w:rsid w:val="00EF76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588953A"/>
  <w15:chartTrackingRefBased/>
  <w15:docId w15:val="{21865B7A-3C5B-4314-A15D-D4EE9F11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28.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6728.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728.pdf" TargetMode="External"/><Relationship Id="rId1" Type="http://schemas.openxmlformats.org/officeDocument/2006/relationships/hyperlink" Target="http://web1.nevo.co.il/Law_word/law06/tak-66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4142</CharactersWithSpaces>
  <SharedDoc>false</SharedDoc>
  <HLinks>
    <vt:vector size="60" baseType="variant">
      <vt:variant>
        <vt:i4>393283</vt:i4>
      </vt:variant>
      <vt:variant>
        <vt:i4>36</vt:i4>
      </vt:variant>
      <vt:variant>
        <vt:i4>0</vt:i4>
      </vt:variant>
      <vt:variant>
        <vt:i4>5</vt:i4>
      </vt:variant>
      <vt:variant>
        <vt:lpwstr>http://www.nevo.co.il/advertisements/nevo-100.doc</vt:lpwstr>
      </vt:variant>
      <vt:variant>
        <vt:lpwstr/>
      </vt:variant>
      <vt:variant>
        <vt:i4>8192007</vt:i4>
      </vt:variant>
      <vt:variant>
        <vt:i4>33</vt:i4>
      </vt:variant>
      <vt:variant>
        <vt:i4>0</vt:i4>
      </vt:variant>
      <vt:variant>
        <vt:i4>5</vt:i4>
      </vt:variant>
      <vt:variant>
        <vt:lpwstr>http://www.nevo.co.il/Law_word/law06/tak-6728.pdf</vt:lpwstr>
      </vt:variant>
      <vt:variant>
        <vt:lpwstr/>
      </vt:variant>
      <vt:variant>
        <vt:i4>8192007</vt:i4>
      </vt:variant>
      <vt:variant>
        <vt:i4>30</vt:i4>
      </vt:variant>
      <vt:variant>
        <vt:i4>0</vt:i4>
      </vt:variant>
      <vt:variant>
        <vt:i4>5</vt:i4>
      </vt:variant>
      <vt:variant>
        <vt:lpwstr>http://www.nevo.co.il/Law_word/law06/tak-6728.pdf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8192007</vt:i4>
      </vt:variant>
      <vt:variant>
        <vt:i4>3</vt:i4>
      </vt:variant>
      <vt:variant>
        <vt:i4>0</vt:i4>
      </vt:variant>
      <vt:variant>
        <vt:i4>5</vt:i4>
      </vt:variant>
      <vt:variant>
        <vt:lpwstr>http://www.nevo.co.il/Law_word/law06/tak-6728.pdf</vt:lpwstr>
      </vt:variant>
      <vt:variant>
        <vt:lpwstr/>
      </vt:variant>
      <vt:variant>
        <vt:i4>2097160</vt:i4>
      </vt:variant>
      <vt:variant>
        <vt:i4>0</vt:i4>
      </vt:variant>
      <vt:variant>
        <vt:i4>0</vt:i4>
      </vt:variant>
      <vt:variant>
        <vt:i4>5</vt:i4>
      </vt:variant>
      <vt:variant>
        <vt:lpwstr>http://web1.nevo.co.il/Law_word/law06/tak-6618.pdf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העיטורים בצבא הגנה לישראל (אות מלחמת לבנון השניה - קביעת זכאים), תשס"ח-2007</vt:lpwstr>
  </property>
  <property fmtid="{D5CDD505-2E9C-101B-9397-08002B2CF9AE}" pid="4" name="LAWNUMBER">
    <vt:lpwstr>0832</vt:lpwstr>
  </property>
  <property fmtid="{D5CDD505-2E9C-101B-9397-08002B2CF9AE}" pid="5" name="TYPE">
    <vt:lpwstr>01</vt:lpwstr>
  </property>
  <property fmtid="{D5CDD505-2E9C-101B-9397-08002B2CF9AE}" pid="6" name="CHNAME">
    <vt:lpwstr>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http://www.nevo.co.il/Law_word/law06/tak-6728.pdf;‎רשומות - תקנות כלליות#תוקנו ק"ת תשס"ט ‏מס' 6728 #מיום 4.12.2008 עמ' 180 – תק' תשס"ט-2008‏</vt:lpwstr>
  </property>
  <property fmtid="{D5CDD505-2E9C-101B-9397-08002B2CF9AE}" pid="22" name="MEKORSAMCHUT">
    <vt:lpwstr/>
  </property>
  <property fmtid="{D5CDD505-2E9C-101B-9397-08002B2CF9AE}" pid="23" name="MEKOR_NAME1">
    <vt:lpwstr>חוק העיטורים בצבא הגנה לישראל</vt:lpwstr>
  </property>
  <property fmtid="{D5CDD505-2E9C-101B-9397-08002B2CF9AE}" pid="24" name="MEKOR_SAIF1">
    <vt:lpwstr>7אX;21X</vt:lpwstr>
  </property>
  <property fmtid="{D5CDD505-2E9C-101B-9397-08002B2CF9AE}" pid="25" name="NOSE11">
    <vt:lpwstr>בטחון</vt:lpwstr>
  </property>
  <property fmtid="{D5CDD505-2E9C-101B-9397-08002B2CF9AE}" pid="26" name="NOSE21">
    <vt:lpwstr>צה"ל</vt:lpwstr>
  </property>
  <property fmtid="{D5CDD505-2E9C-101B-9397-08002B2CF9AE}" pid="27" name="NOSE31">
    <vt:lpwstr>עיטורים</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