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8697" w14:textId="77777777" w:rsidR="00A62222" w:rsidRDefault="00A62222" w:rsidP="00B4552A">
      <w:pPr>
        <w:pStyle w:val="big-header"/>
        <w:ind w:left="0" w:right="1134"/>
        <w:rPr>
          <w:rFonts w:cs="FrankRuehl" w:hint="cs"/>
          <w:sz w:val="32"/>
          <w:rtl/>
        </w:rPr>
      </w:pPr>
      <w:r>
        <w:rPr>
          <w:rFonts w:cs="FrankRuehl"/>
          <w:sz w:val="32"/>
          <w:rtl/>
        </w:rPr>
        <w:t xml:space="preserve">תקנות העיטורים בצבא הגנה לישראל (אות מערכת </w:t>
      </w:r>
      <w:r w:rsidR="00B4552A">
        <w:rPr>
          <w:rFonts w:cs="FrankRuehl" w:hint="cs"/>
          <w:sz w:val="32"/>
          <w:rtl/>
        </w:rPr>
        <w:t>צוק איתן</w:t>
      </w:r>
      <w:r>
        <w:rPr>
          <w:rFonts w:cs="FrankRuehl" w:hint="cs"/>
          <w:sz w:val="32"/>
          <w:rtl/>
        </w:rPr>
        <w:t xml:space="preserve"> </w:t>
      </w:r>
      <w:r>
        <w:rPr>
          <w:rFonts w:cs="FrankRuehl"/>
          <w:sz w:val="32"/>
          <w:rtl/>
        </w:rPr>
        <w:t>–</w:t>
      </w:r>
      <w:r>
        <w:rPr>
          <w:rFonts w:cs="FrankRuehl" w:hint="cs"/>
          <w:sz w:val="32"/>
          <w:rtl/>
        </w:rPr>
        <w:t xml:space="preserve"> </w:t>
      </w:r>
      <w:r>
        <w:rPr>
          <w:rFonts w:cs="FrankRuehl"/>
          <w:sz w:val="32"/>
          <w:rtl/>
        </w:rPr>
        <w:t xml:space="preserve">קביעת </w:t>
      </w:r>
      <w:r w:rsidR="00E5508A">
        <w:rPr>
          <w:rFonts w:cs="FrankRuehl" w:hint="cs"/>
          <w:sz w:val="32"/>
          <w:rtl/>
        </w:rPr>
        <w:t xml:space="preserve">אזרחים </w:t>
      </w:r>
      <w:r>
        <w:rPr>
          <w:rFonts w:cs="FrankRuehl"/>
          <w:sz w:val="32"/>
          <w:rtl/>
        </w:rPr>
        <w:t xml:space="preserve">זכאים), </w:t>
      </w:r>
      <w:r w:rsidR="00B4552A">
        <w:rPr>
          <w:rFonts w:cs="FrankRuehl" w:hint="cs"/>
          <w:sz w:val="32"/>
          <w:rtl/>
        </w:rPr>
        <w:t>תשע"ה-2015</w:t>
      </w:r>
    </w:p>
    <w:p w14:paraId="043306D5" w14:textId="77777777" w:rsidR="007C5F56" w:rsidRDefault="007C5F56" w:rsidP="007C5F56">
      <w:pPr>
        <w:spacing w:line="320" w:lineRule="auto"/>
        <w:jc w:val="left"/>
        <w:rPr>
          <w:rFonts w:hint="cs"/>
          <w:rtl/>
        </w:rPr>
      </w:pPr>
    </w:p>
    <w:p w14:paraId="3499C0CB" w14:textId="77777777" w:rsidR="00B4552A" w:rsidRDefault="00B4552A" w:rsidP="007C5F56">
      <w:pPr>
        <w:spacing w:line="320" w:lineRule="auto"/>
        <w:jc w:val="left"/>
        <w:rPr>
          <w:rFonts w:hint="cs"/>
          <w:rtl/>
        </w:rPr>
      </w:pPr>
    </w:p>
    <w:p w14:paraId="09860B0D" w14:textId="77777777" w:rsidR="007C5F56" w:rsidRPr="007C5F56" w:rsidRDefault="007C5F56" w:rsidP="007C5F56">
      <w:pPr>
        <w:spacing w:line="320" w:lineRule="auto"/>
        <w:jc w:val="left"/>
        <w:rPr>
          <w:rFonts w:cs="Miriam" w:hint="cs"/>
          <w:szCs w:val="22"/>
          <w:rtl/>
        </w:rPr>
      </w:pPr>
      <w:r w:rsidRPr="007C5F56">
        <w:rPr>
          <w:rFonts w:cs="Miriam"/>
          <w:szCs w:val="22"/>
          <w:rtl/>
        </w:rPr>
        <w:t>בטחון</w:t>
      </w:r>
      <w:r w:rsidRPr="007C5F56">
        <w:rPr>
          <w:rFonts w:cs="FrankRuehl"/>
          <w:szCs w:val="26"/>
          <w:rtl/>
        </w:rPr>
        <w:t xml:space="preserve"> – צה"ל – עיטורים</w:t>
      </w:r>
    </w:p>
    <w:p w14:paraId="766297BF" w14:textId="77777777" w:rsidR="00A62222" w:rsidRDefault="00A6222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0EEF" w:rsidRPr="008E0EEF" w14:paraId="24E8E7D2" w14:textId="77777777" w:rsidTr="008E0EEF">
        <w:tblPrEx>
          <w:tblCellMar>
            <w:top w:w="0" w:type="dxa"/>
            <w:bottom w:w="0" w:type="dxa"/>
          </w:tblCellMar>
        </w:tblPrEx>
        <w:tc>
          <w:tcPr>
            <w:tcW w:w="1247" w:type="dxa"/>
          </w:tcPr>
          <w:p w14:paraId="3F646E6A" w14:textId="77777777" w:rsidR="008E0EEF" w:rsidRPr="008E0EEF" w:rsidRDefault="008E0EEF" w:rsidP="008E0EEF">
            <w:pPr>
              <w:spacing w:line="240" w:lineRule="auto"/>
              <w:jc w:val="left"/>
              <w:rPr>
                <w:rFonts w:cs="Frankruhel"/>
                <w:sz w:val="24"/>
                <w:rtl/>
              </w:rPr>
            </w:pPr>
            <w:r>
              <w:rPr>
                <w:sz w:val="24"/>
                <w:rtl/>
              </w:rPr>
              <w:t xml:space="preserve">סעיף 1 </w:t>
            </w:r>
          </w:p>
        </w:tc>
        <w:tc>
          <w:tcPr>
            <w:tcW w:w="5669" w:type="dxa"/>
          </w:tcPr>
          <w:p w14:paraId="0AECA9A9" w14:textId="77777777" w:rsidR="008E0EEF" w:rsidRPr="008E0EEF" w:rsidRDefault="008E0EEF" w:rsidP="008E0EEF">
            <w:pPr>
              <w:spacing w:line="240" w:lineRule="auto"/>
              <w:jc w:val="left"/>
              <w:rPr>
                <w:rFonts w:cs="Frankruhel"/>
                <w:sz w:val="24"/>
                <w:rtl/>
              </w:rPr>
            </w:pPr>
            <w:r>
              <w:rPr>
                <w:sz w:val="24"/>
                <w:rtl/>
              </w:rPr>
              <w:t>הגדרות</w:t>
            </w:r>
          </w:p>
        </w:tc>
        <w:tc>
          <w:tcPr>
            <w:tcW w:w="567" w:type="dxa"/>
          </w:tcPr>
          <w:p w14:paraId="34356102" w14:textId="77777777" w:rsidR="008E0EEF" w:rsidRPr="008E0EEF" w:rsidRDefault="008E0EEF" w:rsidP="008E0EEF">
            <w:pPr>
              <w:spacing w:line="240" w:lineRule="auto"/>
              <w:jc w:val="left"/>
              <w:rPr>
                <w:rStyle w:val="Hyperlink"/>
                <w:rtl/>
              </w:rPr>
            </w:pPr>
            <w:hyperlink w:anchor="Seif1" w:tooltip="הגדרות" w:history="1">
              <w:r w:rsidRPr="008E0EEF">
                <w:rPr>
                  <w:rStyle w:val="Hyperlink"/>
                </w:rPr>
                <w:t>Go</w:t>
              </w:r>
            </w:hyperlink>
          </w:p>
        </w:tc>
        <w:tc>
          <w:tcPr>
            <w:tcW w:w="850" w:type="dxa"/>
          </w:tcPr>
          <w:p w14:paraId="7ED74E6F" w14:textId="77777777" w:rsidR="008E0EEF" w:rsidRPr="008E0EEF" w:rsidRDefault="008E0EEF" w:rsidP="008E0E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0EEF" w:rsidRPr="008E0EEF" w14:paraId="413AE5D9" w14:textId="77777777" w:rsidTr="008E0EEF">
        <w:tblPrEx>
          <w:tblCellMar>
            <w:top w:w="0" w:type="dxa"/>
            <w:bottom w:w="0" w:type="dxa"/>
          </w:tblCellMar>
        </w:tblPrEx>
        <w:tc>
          <w:tcPr>
            <w:tcW w:w="1247" w:type="dxa"/>
          </w:tcPr>
          <w:p w14:paraId="1612218F" w14:textId="77777777" w:rsidR="008E0EEF" w:rsidRPr="008E0EEF" w:rsidRDefault="008E0EEF" w:rsidP="008E0EEF">
            <w:pPr>
              <w:spacing w:line="240" w:lineRule="auto"/>
              <w:jc w:val="left"/>
              <w:rPr>
                <w:rFonts w:cs="Frankruhel"/>
                <w:sz w:val="24"/>
                <w:rtl/>
              </w:rPr>
            </w:pPr>
            <w:r>
              <w:rPr>
                <w:sz w:val="24"/>
                <w:rtl/>
              </w:rPr>
              <w:t xml:space="preserve">סעיף 2 </w:t>
            </w:r>
          </w:p>
        </w:tc>
        <w:tc>
          <w:tcPr>
            <w:tcW w:w="5669" w:type="dxa"/>
          </w:tcPr>
          <w:p w14:paraId="509E1C40" w14:textId="77777777" w:rsidR="008E0EEF" w:rsidRPr="008E0EEF" w:rsidRDefault="008E0EEF" w:rsidP="008E0EEF">
            <w:pPr>
              <w:spacing w:line="240" w:lineRule="auto"/>
              <w:jc w:val="left"/>
              <w:rPr>
                <w:rFonts w:cs="Frankruhel"/>
                <w:sz w:val="24"/>
                <w:rtl/>
              </w:rPr>
            </w:pPr>
            <w:r>
              <w:rPr>
                <w:sz w:val="24"/>
                <w:rtl/>
              </w:rPr>
              <w:t>אות מערכה אישי לעובדי מערכת הביטחון וביטחון הפנים</w:t>
            </w:r>
          </w:p>
        </w:tc>
        <w:tc>
          <w:tcPr>
            <w:tcW w:w="567" w:type="dxa"/>
          </w:tcPr>
          <w:p w14:paraId="5CAEB105" w14:textId="77777777" w:rsidR="008E0EEF" w:rsidRPr="008E0EEF" w:rsidRDefault="008E0EEF" w:rsidP="008E0EEF">
            <w:pPr>
              <w:spacing w:line="240" w:lineRule="auto"/>
              <w:jc w:val="left"/>
              <w:rPr>
                <w:rStyle w:val="Hyperlink"/>
                <w:rtl/>
              </w:rPr>
            </w:pPr>
            <w:hyperlink w:anchor="Seif2" w:tooltip="אות מערכה אישי לעובדי מערכת הביטחון וביטחון הפנים" w:history="1">
              <w:r w:rsidRPr="008E0EEF">
                <w:rPr>
                  <w:rStyle w:val="Hyperlink"/>
                </w:rPr>
                <w:t>Go</w:t>
              </w:r>
            </w:hyperlink>
          </w:p>
        </w:tc>
        <w:tc>
          <w:tcPr>
            <w:tcW w:w="850" w:type="dxa"/>
          </w:tcPr>
          <w:p w14:paraId="34C9EAA1" w14:textId="77777777" w:rsidR="008E0EEF" w:rsidRPr="008E0EEF" w:rsidRDefault="008E0EEF" w:rsidP="008E0E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0EEF" w:rsidRPr="008E0EEF" w14:paraId="0F86D6D7" w14:textId="77777777" w:rsidTr="008E0EEF">
        <w:tblPrEx>
          <w:tblCellMar>
            <w:top w:w="0" w:type="dxa"/>
            <w:bottom w:w="0" w:type="dxa"/>
          </w:tblCellMar>
        </w:tblPrEx>
        <w:tc>
          <w:tcPr>
            <w:tcW w:w="1247" w:type="dxa"/>
          </w:tcPr>
          <w:p w14:paraId="0B909AFD" w14:textId="77777777" w:rsidR="008E0EEF" w:rsidRPr="008E0EEF" w:rsidRDefault="008E0EEF" w:rsidP="008E0EEF">
            <w:pPr>
              <w:spacing w:line="240" w:lineRule="auto"/>
              <w:jc w:val="left"/>
              <w:rPr>
                <w:rFonts w:cs="Frankruhel"/>
                <w:sz w:val="24"/>
                <w:rtl/>
              </w:rPr>
            </w:pPr>
            <w:r>
              <w:rPr>
                <w:sz w:val="24"/>
                <w:rtl/>
              </w:rPr>
              <w:t xml:space="preserve">סעיף 3 </w:t>
            </w:r>
          </w:p>
        </w:tc>
        <w:tc>
          <w:tcPr>
            <w:tcW w:w="5669" w:type="dxa"/>
          </w:tcPr>
          <w:p w14:paraId="459697A1" w14:textId="77777777" w:rsidR="008E0EEF" w:rsidRPr="008E0EEF" w:rsidRDefault="008E0EEF" w:rsidP="008E0EEF">
            <w:pPr>
              <w:spacing w:line="240" w:lineRule="auto"/>
              <w:jc w:val="left"/>
              <w:rPr>
                <w:rFonts w:cs="Frankruhel"/>
                <w:sz w:val="24"/>
                <w:rtl/>
              </w:rPr>
            </w:pPr>
            <w:r>
              <w:rPr>
                <w:sz w:val="24"/>
                <w:rtl/>
              </w:rPr>
              <w:t>אות מערכה לנפגעים</w:t>
            </w:r>
          </w:p>
        </w:tc>
        <w:tc>
          <w:tcPr>
            <w:tcW w:w="567" w:type="dxa"/>
          </w:tcPr>
          <w:p w14:paraId="3D43CC69" w14:textId="77777777" w:rsidR="008E0EEF" w:rsidRPr="008E0EEF" w:rsidRDefault="008E0EEF" w:rsidP="008E0EEF">
            <w:pPr>
              <w:spacing w:line="240" w:lineRule="auto"/>
              <w:jc w:val="left"/>
              <w:rPr>
                <w:rStyle w:val="Hyperlink"/>
                <w:rtl/>
              </w:rPr>
            </w:pPr>
            <w:hyperlink w:anchor="Seif3" w:tooltip="אות מערכה לנפגעים" w:history="1">
              <w:r w:rsidRPr="008E0EEF">
                <w:rPr>
                  <w:rStyle w:val="Hyperlink"/>
                </w:rPr>
                <w:t>Go</w:t>
              </w:r>
            </w:hyperlink>
          </w:p>
        </w:tc>
        <w:tc>
          <w:tcPr>
            <w:tcW w:w="850" w:type="dxa"/>
          </w:tcPr>
          <w:p w14:paraId="6D05B893" w14:textId="77777777" w:rsidR="008E0EEF" w:rsidRPr="008E0EEF" w:rsidRDefault="008E0EEF" w:rsidP="008E0E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0EEF" w:rsidRPr="008E0EEF" w14:paraId="164DE630" w14:textId="77777777" w:rsidTr="008E0EEF">
        <w:tblPrEx>
          <w:tblCellMar>
            <w:top w:w="0" w:type="dxa"/>
            <w:bottom w:w="0" w:type="dxa"/>
          </w:tblCellMar>
        </w:tblPrEx>
        <w:tc>
          <w:tcPr>
            <w:tcW w:w="1247" w:type="dxa"/>
          </w:tcPr>
          <w:p w14:paraId="42ECBE43" w14:textId="77777777" w:rsidR="008E0EEF" w:rsidRPr="008E0EEF" w:rsidRDefault="008E0EEF" w:rsidP="008E0EEF">
            <w:pPr>
              <w:spacing w:line="240" w:lineRule="auto"/>
              <w:jc w:val="left"/>
              <w:rPr>
                <w:rFonts w:cs="Frankruhel"/>
                <w:sz w:val="24"/>
                <w:rtl/>
              </w:rPr>
            </w:pPr>
            <w:r>
              <w:rPr>
                <w:sz w:val="24"/>
                <w:rtl/>
              </w:rPr>
              <w:t xml:space="preserve">סעיף 4 </w:t>
            </w:r>
          </w:p>
        </w:tc>
        <w:tc>
          <w:tcPr>
            <w:tcW w:w="5669" w:type="dxa"/>
          </w:tcPr>
          <w:p w14:paraId="0F4BE71C" w14:textId="77777777" w:rsidR="008E0EEF" w:rsidRPr="008E0EEF" w:rsidRDefault="008E0EEF" w:rsidP="008E0EEF">
            <w:pPr>
              <w:spacing w:line="240" w:lineRule="auto"/>
              <w:jc w:val="left"/>
              <w:rPr>
                <w:rFonts w:cs="Frankruhel"/>
                <w:sz w:val="24"/>
                <w:rtl/>
              </w:rPr>
            </w:pPr>
            <w:r>
              <w:rPr>
                <w:sz w:val="24"/>
                <w:rtl/>
              </w:rPr>
              <w:t>זכאי שנפטר</w:t>
            </w:r>
          </w:p>
        </w:tc>
        <w:tc>
          <w:tcPr>
            <w:tcW w:w="567" w:type="dxa"/>
          </w:tcPr>
          <w:p w14:paraId="6DEDDDAF" w14:textId="77777777" w:rsidR="008E0EEF" w:rsidRPr="008E0EEF" w:rsidRDefault="008E0EEF" w:rsidP="008E0EEF">
            <w:pPr>
              <w:spacing w:line="240" w:lineRule="auto"/>
              <w:jc w:val="left"/>
              <w:rPr>
                <w:rStyle w:val="Hyperlink"/>
                <w:rtl/>
              </w:rPr>
            </w:pPr>
            <w:hyperlink w:anchor="Seif4" w:tooltip="זכאי שנפטר" w:history="1">
              <w:r w:rsidRPr="008E0EEF">
                <w:rPr>
                  <w:rStyle w:val="Hyperlink"/>
                </w:rPr>
                <w:t>Go</w:t>
              </w:r>
            </w:hyperlink>
          </w:p>
        </w:tc>
        <w:tc>
          <w:tcPr>
            <w:tcW w:w="850" w:type="dxa"/>
          </w:tcPr>
          <w:p w14:paraId="595E6B79" w14:textId="77777777" w:rsidR="008E0EEF" w:rsidRPr="008E0EEF" w:rsidRDefault="008E0EEF" w:rsidP="008E0E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0EEF" w:rsidRPr="008E0EEF" w14:paraId="2F7D0DB8" w14:textId="77777777" w:rsidTr="008E0EEF">
        <w:tblPrEx>
          <w:tblCellMar>
            <w:top w:w="0" w:type="dxa"/>
            <w:bottom w:w="0" w:type="dxa"/>
          </w:tblCellMar>
        </w:tblPrEx>
        <w:tc>
          <w:tcPr>
            <w:tcW w:w="1247" w:type="dxa"/>
          </w:tcPr>
          <w:p w14:paraId="45848220" w14:textId="77777777" w:rsidR="008E0EEF" w:rsidRPr="008E0EEF" w:rsidRDefault="008E0EEF" w:rsidP="008E0EEF">
            <w:pPr>
              <w:spacing w:line="240" w:lineRule="auto"/>
              <w:jc w:val="left"/>
              <w:rPr>
                <w:rFonts w:cs="Frankruhel"/>
                <w:sz w:val="24"/>
                <w:rtl/>
              </w:rPr>
            </w:pPr>
            <w:r>
              <w:rPr>
                <w:sz w:val="24"/>
                <w:rtl/>
              </w:rPr>
              <w:t xml:space="preserve">סעיף 5 </w:t>
            </w:r>
          </w:p>
        </w:tc>
        <w:tc>
          <w:tcPr>
            <w:tcW w:w="5669" w:type="dxa"/>
          </w:tcPr>
          <w:p w14:paraId="0780D26E" w14:textId="77777777" w:rsidR="008E0EEF" w:rsidRPr="008E0EEF" w:rsidRDefault="008E0EEF" w:rsidP="008E0EEF">
            <w:pPr>
              <w:spacing w:line="240" w:lineRule="auto"/>
              <w:jc w:val="left"/>
              <w:rPr>
                <w:rFonts w:cs="Frankruhel"/>
                <w:sz w:val="24"/>
                <w:rtl/>
              </w:rPr>
            </w:pPr>
            <w:r>
              <w:rPr>
                <w:sz w:val="24"/>
                <w:rtl/>
              </w:rPr>
              <w:t>אות מערכה על פעילות לאחר התקופה הקובעת</w:t>
            </w:r>
          </w:p>
        </w:tc>
        <w:tc>
          <w:tcPr>
            <w:tcW w:w="567" w:type="dxa"/>
          </w:tcPr>
          <w:p w14:paraId="74158067" w14:textId="77777777" w:rsidR="008E0EEF" w:rsidRPr="008E0EEF" w:rsidRDefault="008E0EEF" w:rsidP="008E0EEF">
            <w:pPr>
              <w:spacing w:line="240" w:lineRule="auto"/>
              <w:jc w:val="left"/>
              <w:rPr>
                <w:rStyle w:val="Hyperlink"/>
                <w:rtl/>
              </w:rPr>
            </w:pPr>
            <w:hyperlink w:anchor="Seif5" w:tooltip="אות מערכה על פעילות לאחר התקופה הקובעת" w:history="1">
              <w:r w:rsidRPr="008E0EEF">
                <w:rPr>
                  <w:rStyle w:val="Hyperlink"/>
                </w:rPr>
                <w:t>Go</w:t>
              </w:r>
            </w:hyperlink>
          </w:p>
        </w:tc>
        <w:tc>
          <w:tcPr>
            <w:tcW w:w="850" w:type="dxa"/>
          </w:tcPr>
          <w:p w14:paraId="77EBE354" w14:textId="77777777" w:rsidR="008E0EEF" w:rsidRPr="008E0EEF" w:rsidRDefault="008E0EEF" w:rsidP="008E0E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0EEF" w:rsidRPr="008E0EEF" w14:paraId="18727380" w14:textId="77777777" w:rsidTr="008E0EEF">
        <w:tblPrEx>
          <w:tblCellMar>
            <w:top w:w="0" w:type="dxa"/>
            <w:bottom w:w="0" w:type="dxa"/>
          </w:tblCellMar>
        </w:tblPrEx>
        <w:tc>
          <w:tcPr>
            <w:tcW w:w="1247" w:type="dxa"/>
          </w:tcPr>
          <w:p w14:paraId="6B841D97" w14:textId="77777777" w:rsidR="008E0EEF" w:rsidRPr="008E0EEF" w:rsidRDefault="008E0EEF" w:rsidP="008E0EEF">
            <w:pPr>
              <w:spacing w:line="240" w:lineRule="auto"/>
              <w:jc w:val="left"/>
              <w:rPr>
                <w:rFonts w:cs="Frankruhel"/>
                <w:sz w:val="24"/>
                <w:rtl/>
              </w:rPr>
            </w:pPr>
            <w:r>
              <w:rPr>
                <w:sz w:val="24"/>
                <w:rtl/>
              </w:rPr>
              <w:t xml:space="preserve">סעיף 6 </w:t>
            </w:r>
          </w:p>
        </w:tc>
        <w:tc>
          <w:tcPr>
            <w:tcW w:w="5669" w:type="dxa"/>
          </w:tcPr>
          <w:p w14:paraId="46700A37" w14:textId="77777777" w:rsidR="008E0EEF" w:rsidRPr="008E0EEF" w:rsidRDefault="008E0EEF" w:rsidP="008E0EEF">
            <w:pPr>
              <w:spacing w:line="240" w:lineRule="auto"/>
              <w:jc w:val="left"/>
              <w:rPr>
                <w:rFonts w:cs="Frankruhel"/>
                <w:sz w:val="24"/>
                <w:rtl/>
              </w:rPr>
            </w:pPr>
            <w:r>
              <w:rPr>
                <w:sz w:val="24"/>
                <w:rtl/>
              </w:rPr>
              <w:t>עובד שאינו זכאי לאות</w:t>
            </w:r>
          </w:p>
        </w:tc>
        <w:tc>
          <w:tcPr>
            <w:tcW w:w="567" w:type="dxa"/>
          </w:tcPr>
          <w:p w14:paraId="5344AA3C" w14:textId="77777777" w:rsidR="008E0EEF" w:rsidRPr="008E0EEF" w:rsidRDefault="008E0EEF" w:rsidP="008E0EEF">
            <w:pPr>
              <w:spacing w:line="240" w:lineRule="auto"/>
              <w:jc w:val="left"/>
              <w:rPr>
                <w:rStyle w:val="Hyperlink"/>
                <w:rtl/>
              </w:rPr>
            </w:pPr>
            <w:hyperlink w:anchor="Seif6" w:tooltip="עובד שאינו זכאי לאות" w:history="1">
              <w:r w:rsidRPr="008E0EEF">
                <w:rPr>
                  <w:rStyle w:val="Hyperlink"/>
                </w:rPr>
                <w:t>Go</w:t>
              </w:r>
            </w:hyperlink>
          </w:p>
        </w:tc>
        <w:tc>
          <w:tcPr>
            <w:tcW w:w="850" w:type="dxa"/>
          </w:tcPr>
          <w:p w14:paraId="0C4399DD" w14:textId="77777777" w:rsidR="008E0EEF" w:rsidRPr="008E0EEF" w:rsidRDefault="008E0EEF" w:rsidP="008E0E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79C5C286" w14:textId="77777777" w:rsidR="00A62222" w:rsidRDefault="00A62222">
      <w:pPr>
        <w:pStyle w:val="big-header"/>
        <w:ind w:left="0" w:right="1134"/>
        <w:rPr>
          <w:rFonts w:cs="FrankRuehl"/>
          <w:sz w:val="32"/>
          <w:rtl/>
        </w:rPr>
      </w:pPr>
    </w:p>
    <w:p w14:paraId="32C48465" w14:textId="77777777" w:rsidR="00A62222" w:rsidRPr="007C5F56" w:rsidRDefault="00A62222" w:rsidP="00B4552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העיטורים בצבא הגנה לישראל (</w:t>
      </w:r>
      <w:r w:rsidR="00B4552A">
        <w:rPr>
          <w:rFonts w:cs="FrankRuehl"/>
          <w:sz w:val="32"/>
          <w:rtl/>
        </w:rPr>
        <w:t xml:space="preserve">אות מערכת </w:t>
      </w:r>
      <w:r w:rsidR="00B4552A">
        <w:rPr>
          <w:rFonts w:cs="FrankRuehl" w:hint="cs"/>
          <w:sz w:val="32"/>
          <w:rtl/>
        </w:rPr>
        <w:t xml:space="preserve">צוק איתן </w:t>
      </w:r>
      <w:r w:rsidR="00B4552A">
        <w:rPr>
          <w:rFonts w:cs="FrankRuehl"/>
          <w:sz w:val="32"/>
          <w:rtl/>
        </w:rPr>
        <w:t>–</w:t>
      </w:r>
      <w:r w:rsidR="00B4552A">
        <w:rPr>
          <w:rFonts w:cs="FrankRuehl" w:hint="cs"/>
          <w:sz w:val="32"/>
          <w:rtl/>
        </w:rPr>
        <w:t xml:space="preserve"> </w:t>
      </w:r>
      <w:r w:rsidR="00B4552A">
        <w:rPr>
          <w:rFonts w:cs="FrankRuehl"/>
          <w:sz w:val="32"/>
          <w:rtl/>
        </w:rPr>
        <w:t xml:space="preserve">קביעת </w:t>
      </w:r>
      <w:r w:rsidR="00E5508A">
        <w:rPr>
          <w:rFonts w:cs="FrankRuehl" w:hint="cs"/>
          <w:sz w:val="32"/>
          <w:rtl/>
        </w:rPr>
        <w:t xml:space="preserve">אזרחים </w:t>
      </w:r>
      <w:r w:rsidR="00B4552A">
        <w:rPr>
          <w:rFonts w:cs="FrankRuehl"/>
          <w:sz w:val="32"/>
          <w:rtl/>
        </w:rPr>
        <w:t xml:space="preserve">זכאים), </w:t>
      </w:r>
      <w:r w:rsidR="00B4552A">
        <w:rPr>
          <w:rFonts w:cs="FrankRuehl" w:hint="cs"/>
          <w:sz w:val="32"/>
          <w:rtl/>
        </w:rPr>
        <w:t>תשע"ה-2015</w:t>
      </w:r>
      <w:r>
        <w:rPr>
          <w:rStyle w:val="default"/>
          <w:rtl/>
        </w:rPr>
        <w:footnoteReference w:customMarkFollows="1" w:id="1"/>
        <w:t>*</w:t>
      </w:r>
    </w:p>
    <w:p w14:paraId="3817D7F4" w14:textId="77777777" w:rsidR="00A62222" w:rsidRDefault="00A62222" w:rsidP="00E5508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B4552A">
        <w:rPr>
          <w:rStyle w:val="default"/>
          <w:rFonts w:cs="FrankRuehl" w:hint="cs"/>
          <w:rtl/>
        </w:rPr>
        <w:t>סעיפים 7</w:t>
      </w:r>
      <w:r w:rsidR="00E5508A">
        <w:rPr>
          <w:rStyle w:val="default"/>
          <w:rFonts w:cs="FrankRuehl" w:hint="cs"/>
          <w:rtl/>
        </w:rPr>
        <w:t>א</w:t>
      </w:r>
      <w:r w:rsidR="00B4552A">
        <w:rPr>
          <w:rStyle w:val="default"/>
          <w:rFonts w:cs="FrankRuehl" w:hint="cs"/>
          <w:rtl/>
        </w:rPr>
        <w:t xml:space="preserve"> ו-21</w:t>
      </w:r>
      <w:r>
        <w:rPr>
          <w:rStyle w:val="default"/>
          <w:rFonts w:cs="FrankRuehl" w:hint="cs"/>
          <w:rtl/>
        </w:rPr>
        <w:t xml:space="preserve"> לחוק העיטורים בצבא הגנה לישראל, </w:t>
      </w:r>
      <w:r w:rsidR="00B4552A">
        <w:rPr>
          <w:rStyle w:val="default"/>
          <w:rFonts w:cs="FrankRuehl" w:hint="cs"/>
          <w:rtl/>
        </w:rPr>
        <w:t>ה</w:t>
      </w:r>
      <w:r>
        <w:rPr>
          <w:rStyle w:val="default"/>
          <w:rFonts w:cs="FrankRuehl" w:hint="cs"/>
          <w:rtl/>
        </w:rPr>
        <w:t>תש"ל-</w:t>
      </w:r>
      <w:r>
        <w:rPr>
          <w:rStyle w:val="default"/>
          <w:rFonts w:cs="FrankRuehl"/>
          <w:rtl/>
        </w:rPr>
        <w:t>1970</w:t>
      </w:r>
      <w:r>
        <w:rPr>
          <w:rStyle w:val="default"/>
          <w:rFonts w:cs="FrankRuehl" w:hint="cs"/>
          <w:rtl/>
        </w:rPr>
        <w:t xml:space="preserve">, ובאישור </w:t>
      </w:r>
      <w:r w:rsidR="00E5508A">
        <w:rPr>
          <w:rStyle w:val="default"/>
          <w:rFonts w:cs="FrankRuehl" w:hint="cs"/>
          <w:rtl/>
        </w:rPr>
        <w:t>ועדת החוץ והביטחון של הכנסת</w:t>
      </w:r>
      <w:r>
        <w:rPr>
          <w:rStyle w:val="default"/>
          <w:rFonts w:cs="FrankRuehl" w:hint="cs"/>
          <w:rtl/>
        </w:rPr>
        <w:t xml:space="preserve">, אני </w:t>
      </w:r>
      <w:r w:rsidR="00B4552A">
        <w:rPr>
          <w:rStyle w:val="default"/>
          <w:rFonts w:cs="FrankRuehl" w:hint="cs"/>
          <w:rtl/>
        </w:rPr>
        <w:t>מתקין תקנות</w:t>
      </w:r>
      <w:r>
        <w:rPr>
          <w:rStyle w:val="default"/>
          <w:rFonts w:cs="FrankRuehl" w:hint="cs"/>
          <w:rtl/>
        </w:rPr>
        <w:t xml:space="preserve"> </w:t>
      </w:r>
      <w:r w:rsidR="00B4552A">
        <w:rPr>
          <w:rStyle w:val="default"/>
          <w:rFonts w:cs="FrankRuehl" w:hint="cs"/>
          <w:rtl/>
        </w:rPr>
        <w:t>אלה</w:t>
      </w:r>
      <w:r>
        <w:rPr>
          <w:rStyle w:val="default"/>
          <w:rFonts w:cs="FrankRuehl" w:hint="cs"/>
          <w:rtl/>
        </w:rPr>
        <w:t>:</w:t>
      </w:r>
    </w:p>
    <w:p w14:paraId="05C48D80" w14:textId="77777777" w:rsidR="00A62222" w:rsidRDefault="00A62222">
      <w:pPr>
        <w:pStyle w:val="P00"/>
        <w:spacing w:before="72"/>
        <w:ind w:left="0" w:right="1134"/>
        <w:rPr>
          <w:rStyle w:val="default"/>
          <w:rFonts w:cs="FrankRuehl" w:hint="cs"/>
          <w:rtl/>
        </w:rPr>
      </w:pPr>
      <w:bookmarkStart w:id="0" w:name="Seif1"/>
      <w:bookmarkEnd w:id="0"/>
      <w:r>
        <w:rPr>
          <w:lang w:val="he-IL"/>
        </w:rPr>
        <w:pict w14:anchorId="04F7C769">
          <v:rect id="_x0000_s1026" style="position:absolute;left:0;text-align:left;margin-left:464.5pt;margin-top:8.05pt;width:75.05pt;height:8pt;z-index:251655168" o:allowincell="f" filled="f" stroked="f" strokecolor="lime" strokeweight=".25pt">
            <v:textbox inset="0,0,0,0">
              <w:txbxContent>
                <w:p w14:paraId="50594BA0" w14:textId="77777777" w:rsidR="00A62222" w:rsidRDefault="00A6222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60752384" w14:textId="77777777" w:rsidR="00E5508A" w:rsidRDefault="00E5508A">
      <w:pPr>
        <w:pStyle w:val="P00"/>
        <w:spacing w:before="72"/>
        <w:ind w:left="0" w:right="1134"/>
        <w:rPr>
          <w:rStyle w:val="default"/>
          <w:rFonts w:cs="FrankRuehl" w:hint="cs"/>
          <w:rtl/>
        </w:rPr>
      </w:pPr>
      <w:r>
        <w:rPr>
          <w:rStyle w:val="default"/>
          <w:rFonts w:cs="FrankRuehl" w:hint="cs"/>
          <w:rtl/>
        </w:rPr>
        <w:tab/>
        <w:t xml:space="preserve">"אות המערכה" </w:t>
      </w:r>
      <w:r>
        <w:rPr>
          <w:rStyle w:val="default"/>
          <w:rFonts w:cs="FrankRuehl"/>
          <w:rtl/>
        </w:rPr>
        <w:t>–</w:t>
      </w:r>
      <w:r>
        <w:rPr>
          <w:rStyle w:val="default"/>
          <w:rFonts w:cs="FrankRuehl" w:hint="cs"/>
          <w:rtl/>
        </w:rPr>
        <w:t xml:space="preserve"> אות מערכת צוק איתן, כמשמעותו בתקנות העיטורים בצבא הגנה לישראל (אות מערכת צוק איתן </w:t>
      </w:r>
      <w:r>
        <w:rPr>
          <w:rStyle w:val="default"/>
          <w:rFonts w:cs="FrankRuehl"/>
          <w:rtl/>
        </w:rPr>
        <w:t>–</w:t>
      </w:r>
      <w:r>
        <w:rPr>
          <w:rStyle w:val="default"/>
          <w:rFonts w:cs="FrankRuehl" w:hint="cs"/>
          <w:rtl/>
        </w:rPr>
        <w:t xml:space="preserve"> קביעת זכאים), התשע"ה-2015;</w:t>
      </w:r>
    </w:p>
    <w:p w14:paraId="08E06BC1" w14:textId="77777777" w:rsidR="00E5508A" w:rsidRDefault="00E5508A">
      <w:pPr>
        <w:pStyle w:val="P00"/>
        <w:spacing w:before="72"/>
        <w:ind w:left="0" w:right="1134"/>
        <w:rPr>
          <w:rStyle w:val="default"/>
          <w:rFonts w:cs="FrankRuehl" w:hint="cs"/>
          <w:rtl/>
        </w:rPr>
      </w:pPr>
      <w:r>
        <w:rPr>
          <w:rStyle w:val="default"/>
          <w:rFonts w:cs="FrankRuehl" w:hint="cs"/>
          <w:rtl/>
        </w:rPr>
        <w:tab/>
        <w:t xml:space="preserve">"היישובים" </w:t>
      </w:r>
      <w:r>
        <w:rPr>
          <w:rStyle w:val="default"/>
          <w:rFonts w:cs="FrankRuehl"/>
          <w:rtl/>
        </w:rPr>
        <w:t>–</w:t>
      </w:r>
      <w:r>
        <w:rPr>
          <w:rStyle w:val="default"/>
          <w:rFonts w:cs="FrankRuehl" w:hint="cs"/>
          <w:rtl/>
        </w:rPr>
        <w:t xml:space="preserve"> יישובים המנויים בהכרזה על מצב מיוחד בעורף, בטווח של עד 7 ק"מ מגדר המערכת המקיפה את גבול רצועת עזה והכול בהתאם למרחק האווירי הקצר ביותר שבין גדר המערכת האמורה לבין בית המגורים הקיצוני ביישוב הקרוב לגבול ובתנאי שאותו בית מגורים נבנה ככזה מכוח היתר כדין;</w:t>
      </w:r>
    </w:p>
    <w:p w14:paraId="249274B3" w14:textId="77777777" w:rsidR="00E5508A" w:rsidRDefault="00E5508A">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הביטחון או מי שהוא הסמיכו לעניין תקנות אלה;</w:t>
      </w:r>
    </w:p>
    <w:p w14:paraId="2193C99A" w14:textId="77777777" w:rsidR="00B4552A" w:rsidRDefault="00B4552A" w:rsidP="00E5508A">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ט</w:t>
      </w:r>
      <w:r w:rsidR="00E5508A">
        <w:rPr>
          <w:rStyle w:val="default"/>
          <w:rFonts w:cs="FrankRuehl" w:hint="cs"/>
          <w:rtl/>
        </w:rPr>
        <w:t>"ז</w:t>
      </w:r>
      <w:r>
        <w:rPr>
          <w:rStyle w:val="default"/>
          <w:rFonts w:cs="FrankRuehl" w:hint="cs"/>
          <w:rtl/>
        </w:rPr>
        <w:t xml:space="preserve"> בתמוז התשע"ד (7 ביולי 2014), עד יום </w:t>
      </w:r>
      <w:r w:rsidR="00E5508A">
        <w:rPr>
          <w:rStyle w:val="default"/>
          <w:rFonts w:cs="FrankRuehl" w:hint="cs"/>
          <w:rtl/>
        </w:rPr>
        <w:t>כ</w:t>
      </w:r>
      <w:r>
        <w:rPr>
          <w:rStyle w:val="default"/>
          <w:rFonts w:cs="FrankRuehl" w:hint="cs"/>
          <w:rtl/>
        </w:rPr>
        <w:t>' בא</w:t>
      </w:r>
      <w:r w:rsidR="00E5508A">
        <w:rPr>
          <w:rStyle w:val="default"/>
          <w:rFonts w:cs="FrankRuehl" w:hint="cs"/>
          <w:rtl/>
        </w:rPr>
        <w:t>לול</w:t>
      </w:r>
      <w:r>
        <w:rPr>
          <w:rStyle w:val="default"/>
          <w:rFonts w:cs="FrankRuehl" w:hint="cs"/>
          <w:rtl/>
        </w:rPr>
        <w:t xml:space="preserve"> התשע"ד (26 באוגוסט 2014);</w:t>
      </w:r>
    </w:p>
    <w:p w14:paraId="3DA9D2DE" w14:textId="77777777" w:rsidR="00A62222" w:rsidRDefault="00A62222" w:rsidP="00E5508A">
      <w:pPr>
        <w:pStyle w:val="P00"/>
        <w:spacing w:before="72"/>
        <w:ind w:left="0" w:right="1134"/>
        <w:rPr>
          <w:rStyle w:val="default"/>
          <w:rFonts w:cs="FrankRuehl" w:hint="cs"/>
          <w:rtl/>
        </w:rPr>
      </w:pPr>
      <w:bookmarkStart w:id="1" w:name="Seif2"/>
      <w:bookmarkEnd w:id="1"/>
      <w:r>
        <w:rPr>
          <w:lang w:val="he-IL"/>
        </w:rPr>
        <w:pict w14:anchorId="30A9C81C">
          <v:rect id="_x0000_s1027" style="position:absolute;left:0;text-align:left;margin-left:464.5pt;margin-top:8.05pt;width:75.05pt;height:31.45pt;z-index:251656192" o:allowincell="f" filled="f" stroked="f" strokecolor="lime" strokeweight=".25pt">
            <v:textbox inset="0,0,0,0">
              <w:txbxContent>
                <w:p w14:paraId="67FD4CC7" w14:textId="77777777" w:rsidR="00A62222" w:rsidRDefault="00A62222" w:rsidP="00E5508A">
                  <w:pPr>
                    <w:spacing w:line="160" w:lineRule="exact"/>
                    <w:jc w:val="left"/>
                    <w:rPr>
                      <w:rFonts w:cs="Miriam" w:hint="cs"/>
                      <w:noProof/>
                      <w:sz w:val="18"/>
                      <w:szCs w:val="18"/>
                      <w:rtl/>
                    </w:rPr>
                  </w:pPr>
                  <w:r>
                    <w:rPr>
                      <w:rFonts w:cs="Miriam"/>
                      <w:sz w:val="18"/>
                      <w:szCs w:val="18"/>
                      <w:rtl/>
                    </w:rPr>
                    <w:t>או</w:t>
                  </w:r>
                  <w:r>
                    <w:rPr>
                      <w:rFonts w:cs="Miriam" w:hint="cs"/>
                      <w:sz w:val="18"/>
                      <w:szCs w:val="18"/>
                      <w:rtl/>
                    </w:rPr>
                    <w:t xml:space="preserve">ת </w:t>
                  </w:r>
                  <w:r w:rsidR="00E5508A">
                    <w:rPr>
                      <w:rFonts w:cs="Miriam" w:hint="cs"/>
                      <w:sz w:val="18"/>
                      <w:szCs w:val="18"/>
                      <w:rtl/>
                    </w:rPr>
                    <w:t>מערכה אישי לעובדי מערכת הביטחון וביטחון הפנים</w:t>
                  </w:r>
                </w:p>
              </w:txbxContent>
            </v:textbox>
            <w10:anchorlock/>
          </v:rect>
        </w:pict>
      </w:r>
      <w:r>
        <w:rPr>
          <w:rStyle w:val="big-number"/>
          <w:rFonts w:cs="Miriam"/>
          <w:rtl/>
        </w:rPr>
        <w:t>2.</w:t>
      </w:r>
      <w:r>
        <w:rPr>
          <w:rStyle w:val="big-number"/>
          <w:rFonts w:cs="Miriam"/>
          <w:rtl/>
        </w:rPr>
        <w:tab/>
      </w:r>
      <w:r w:rsidR="00E5508A">
        <w:rPr>
          <w:rStyle w:val="default"/>
          <w:rFonts w:cs="FrankRuehl" w:hint="cs"/>
          <w:rtl/>
        </w:rPr>
        <w:t>אדם שבתקופה הקובעת נמנה במשך 5 ימים רצופים לפחות על אחת מקבוצות אלה, זכאי לאות המערכה:</w:t>
      </w:r>
    </w:p>
    <w:p w14:paraId="370B51C9" w14:textId="77777777" w:rsidR="00E5508A" w:rsidRDefault="00E5508A" w:rsidP="00E5508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עובדים אזרחיים בשירות צה"ל;</w:t>
      </w:r>
    </w:p>
    <w:p w14:paraId="484D5C44" w14:textId="77777777" w:rsidR="00E5508A" w:rsidRDefault="00E5508A" w:rsidP="00E5508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עובדי מינהלת התיאום והקישור לאזור רצועת עזה ביחידת מתאם פעולות הממשלה בשטחים;</w:t>
      </w:r>
    </w:p>
    <w:p w14:paraId="5AD98B25" w14:textId="77777777" w:rsidR="00E5508A" w:rsidRDefault="00E5508A" w:rsidP="00E5508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אגודת מגן דוד אדום לישראל שהוקמה בחוק מגן דוד אדום, התש"י-1950;</w:t>
      </w:r>
    </w:p>
    <w:p w14:paraId="66BC009A" w14:textId="77777777" w:rsidR="00E5508A" w:rsidRDefault="00E5508A" w:rsidP="00E5508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הרשות הארצית לכבאות והצלה שהוקמה בחוק רשות ארצית לכבאות והצלה, התשע"ב-2012;</w:t>
      </w:r>
    </w:p>
    <w:p w14:paraId="556FFEF1" w14:textId="77777777" w:rsidR="00E5508A" w:rsidRDefault="00902420" w:rsidP="00E5508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רכזי הביטחון השוטף הצבאי של היישובים.</w:t>
      </w:r>
    </w:p>
    <w:p w14:paraId="44944C13" w14:textId="77777777" w:rsidR="00A62222" w:rsidRDefault="00A62222" w:rsidP="00902420">
      <w:pPr>
        <w:pStyle w:val="P00"/>
        <w:spacing w:before="72"/>
        <w:ind w:left="0" w:right="1134"/>
        <w:rPr>
          <w:rStyle w:val="default"/>
          <w:rFonts w:cs="FrankRuehl" w:hint="cs"/>
          <w:rtl/>
        </w:rPr>
      </w:pPr>
      <w:bookmarkStart w:id="2" w:name="Seif3"/>
      <w:bookmarkEnd w:id="2"/>
      <w:r>
        <w:rPr>
          <w:lang w:val="he-IL"/>
        </w:rPr>
        <w:pict w14:anchorId="7C6EA027">
          <v:rect id="_x0000_s1028" style="position:absolute;left:0;text-align:left;margin-left:464.5pt;margin-top:8.05pt;width:75.05pt;height:16pt;z-index:251657216" o:allowincell="f" filled="f" stroked="f" strokecolor="lime" strokeweight=".25pt">
            <v:textbox inset="0,0,0,0">
              <w:txbxContent>
                <w:p w14:paraId="2D13AFA0" w14:textId="77777777" w:rsidR="00A62222" w:rsidRDefault="00902420">
                  <w:pPr>
                    <w:spacing w:line="160" w:lineRule="exact"/>
                    <w:jc w:val="left"/>
                    <w:rPr>
                      <w:rFonts w:cs="Miriam" w:hint="cs"/>
                      <w:sz w:val="18"/>
                      <w:szCs w:val="18"/>
                      <w:rtl/>
                    </w:rPr>
                  </w:pPr>
                  <w:r>
                    <w:rPr>
                      <w:rFonts w:cs="Miriam" w:hint="cs"/>
                      <w:sz w:val="18"/>
                      <w:szCs w:val="18"/>
                      <w:rtl/>
                    </w:rPr>
                    <w:t>אות מערכה לנפגעים</w:t>
                  </w:r>
                </w:p>
              </w:txbxContent>
            </v:textbox>
            <w10:anchorlock/>
          </v:rect>
        </w:pict>
      </w:r>
      <w:r>
        <w:rPr>
          <w:rStyle w:val="big-number"/>
          <w:rFonts w:cs="Miriam"/>
          <w:rtl/>
        </w:rPr>
        <w:t>3.</w:t>
      </w:r>
      <w:r>
        <w:rPr>
          <w:rStyle w:val="big-number"/>
          <w:rFonts w:cs="Miriam"/>
          <w:rtl/>
        </w:rPr>
        <w:tab/>
      </w:r>
      <w:r w:rsidR="00902420">
        <w:rPr>
          <w:rStyle w:val="default"/>
          <w:rFonts w:cs="FrankRuehl" w:hint="cs"/>
          <w:rtl/>
        </w:rPr>
        <w:t>על אף האמור בתקנה 2, אדם הנמנה עם אחת הקבוצות המפורטות בתקנה 2, זכאי לאות המערכה אם עבודתו הסתיימה בתקופה הקובעת בשל פציעתו או מותו עקב עבודתו ובמהלכה, אף אם לא סיים 5 ימי עבודה או פעילות רצופים.</w:t>
      </w:r>
    </w:p>
    <w:p w14:paraId="08375DA8" w14:textId="77777777" w:rsidR="00A62222" w:rsidRDefault="00A62222" w:rsidP="00902420">
      <w:pPr>
        <w:pStyle w:val="P00"/>
        <w:spacing w:before="72"/>
        <w:ind w:left="0" w:right="1134"/>
        <w:rPr>
          <w:rStyle w:val="default"/>
          <w:rFonts w:cs="FrankRuehl" w:hint="cs"/>
          <w:rtl/>
        </w:rPr>
      </w:pPr>
      <w:bookmarkStart w:id="3" w:name="Seif4"/>
      <w:bookmarkEnd w:id="3"/>
      <w:r>
        <w:rPr>
          <w:lang w:val="he-IL"/>
        </w:rPr>
        <w:pict w14:anchorId="3B02EB09">
          <v:rect id="_x0000_s1030" style="position:absolute;left:0;text-align:left;margin-left:464.5pt;margin-top:8.05pt;width:75.05pt;height:16pt;z-index:251658240" o:allowincell="f" filled="f" stroked="f" strokecolor="lime" strokeweight=".25pt">
            <v:textbox inset="0,0,0,0">
              <w:txbxContent>
                <w:p w14:paraId="27203999" w14:textId="77777777" w:rsidR="00A62222" w:rsidRDefault="00A62222">
                  <w:pPr>
                    <w:spacing w:line="160" w:lineRule="exact"/>
                    <w:jc w:val="left"/>
                    <w:rPr>
                      <w:rFonts w:cs="Miriam"/>
                      <w:noProof/>
                      <w:sz w:val="18"/>
                      <w:szCs w:val="18"/>
                      <w:rtl/>
                    </w:rPr>
                  </w:pPr>
                  <w:r>
                    <w:rPr>
                      <w:rFonts w:cs="Miriam"/>
                      <w:sz w:val="18"/>
                      <w:szCs w:val="18"/>
                      <w:rtl/>
                    </w:rPr>
                    <w:t>זכ</w:t>
                  </w:r>
                  <w:r>
                    <w:rPr>
                      <w:rFonts w:cs="Miriam" w:hint="cs"/>
                      <w:sz w:val="18"/>
                      <w:szCs w:val="18"/>
                      <w:rtl/>
                    </w:rPr>
                    <w:t>אי שנפטר</w:t>
                  </w:r>
                </w:p>
              </w:txbxContent>
            </v:textbox>
            <w10:anchorlock/>
          </v:rect>
        </w:pict>
      </w:r>
      <w:r>
        <w:rPr>
          <w:rStyle w:val="big-number"/>
          <w:rFonts w:cs="Miriam"/>
          <w:rtl/>
        </w:rPr>
        <w:t>4.</w:t>
      </w:r>
      <w:r>
        <w:rPr>
          <w:rStyle w:val="big-number"/>
          <w:rFonts w:cs="Miriam"/>
          <w:rtl/>
        </w:rPr>
        <w:tab/>
      </w:r>
      <w:r w:rsidR="00902420">
        <w:rPr>
          <w:rStyle w:val="default"/>
          <w:rFonts w:cs="FrankRuehl" w:hint="cs"/>
          <w:rtl/>
        </w:rPr>
        <w:t>אדם שזכאי לאות המערכה לפי תקנה 2, ש</w:t>
      </w:r>
      <w:r w:rsidR="003A24CC">
        <w:rPr>
          <w:rStyle w:val="default"/>
          <w:rFonts w:cs="FrankRuehl" w:hint="cs"/>
          <w:rtl/>
        </w:rPr>
        <w:t xml:space="preserve">נפטר לפני </w:t>
      </w:r>
      <w:r>
        <w:rPr>
          <w:rStyle w:val="default"/>
          <w:rFonts w:cs="FrankRuehl" w:hint="cs"/>
          <w:rtl/>
        </w:rPr>
        <w:t>הענקת האות, יימסר האות לשאר בשרו הקרוב ביותר</w:t>
      </w:r>
      <w:r w:rsidR="00902420">
        <w:rPr>
          <w:rStyle w:val="default"/>
          <w:rFonts w:cs="FrankRuehl" w:hint="cs"/>
          <w:rtl/>
        </w:rPr>
        <w:t xml:space="preserve"> כמפורט</w:t>
      </w:r>
      <w:r>
        <w:rPr>
          <w:rStyle w:val="default"/>
          <w:rFonts w:cs="FrankRuehl" w:hint="cs"/>
          <w:rtl/>
        </w:rPr>
        <w:t xml:space="preserve"> בס</w:t>
      </w:r>
      <w:r>
        <w:rPr>
          <w:rStyle w:val="default"/>
          <w:rFonts w:cs="FrankRuehl"/>
          <w:rtl/>
        </w:rPr>
        <w:t>עי</w:t>
      </w:r>
      <w:r>
        <w:rPr>
          <w:rStyle w:val="default"/>
          <w:rFonts w:cs="FrankRuehl" w:hint="cs"/>
          <w:rtl/>
        </w:rPr>
        <w:t>ף 6(ב) לחוק.</w:t>
      </w:r>
    </w:p>
    <w:p w14:paraId="4F10A6F5" w14:textId="77777777" w:rsidR="00A62222" w:rsidRDefault="00A62222" w:rsidP="00902420">
      <w:pPr>
        <w:pStyle w:val="P00"/>
        <w:spacing w:before="72"/>
        <w:ind w:left="0" w:right="1134"/>
        <w:rPr>
          <w:rStyle w:val="default"/>
          <w:rFonts w:cs="FrankRuehl" w:hint="cs"/>
          <w:rtl/>
        </w:rPr>
      </w:pPr>
      <w:bookmarkStart w:id="4" w:name="Seif5"/>
      <w:bookmarkEnd w:id="4"/>
      <w:r>
        <w:rPr>
          <w:lang w:val="he-IL"/>
        </w:rPr>
        <w:pict w14:anchorId="79FF7D46">
          <v:rect id="_x0000_s1031" style="position:absolute;left:0;text-align:left;margin-left:464.5pt;margin-top:8.05pt;width:75.05pt;height:29.05pt;z-index:251659264" o:allowincell="f" filled="f" stroked="f" strokecolor="lime" strokeweight=".25pt">
            <v:textbox inset="0,0,0,0">
              <w:txbxContent>
                <w:p w14:paraId="4B4543BD" w14:textId="77777777" w:rsidR="00A62222" w:rsidRDefault="00902420">
                  <w:pPr>
                    <w:spacing w:line="160" w:lineRule="exact"/>
                    <w:jc w:val="left"/>
                    <w:rPr>
                      <w:rFonts w:cs="Miriam" w:hint="cs"/>
                      <w:noProof/>
                      <w:sz w:val="18"/>
                      <w:szCs w:val="18"/>
                      <w:rtl/>
                    </w:rPr>
                  </w:pPr>
                  <w:r>
                    <w:rPr>
                      <w:rFonts w:cs="Miriam" w:hint="cs"/>
                      <w:sz w:val="18"/>
                      <w:szCs w:val="18"/>
                      <w:rtl/>
                    </w:rPr>
                    <w:t>אות מערכה על פעילות לאחר התקופה הקובעת</w:t>
                  </w:r>
                </w:p>
              </w:txbxContent>
            </v:textbox>
            <w10:anchorlock/>
          </v:rect>
        </w:pict>
      </w:r>
      <w:r>
        <w:rPr>
          <w:rStyle w:val="big-number"/>
          <w:rFonts w:cs="Miriam"/>
          <w:rtl/>
        </w:rPr>
        <w:t>5.</w:t>
      </w:r>
      <w:r>
        <w:rPr>
          <w:rStyle w:val="big-number"/>
          <w:rFonts w:cs="Miriam"/>
          <w:rtl/>
        </w:rPr>
        <w:tab/>
      </w:r>
      <w:r w:rsidR="00902420">
        <w:rPr>
          <w:rStyle w:val="default"/>
          <w:rFonts w:cs="FrankRuehl" w:hint="cs"/>
          <w:rtl/>
        </w:rPr>
        <w:t>השר רשאי להעניק את אות המערכה לאדם הנמנה עם אחת הקבוצות המנויות בתקנה 2, אף שעבד לאחר התקופה הקובעת אם שוכנע כי התקיימו נסיבות מיוחדות שעל פיהן יש להעניק לו את האות.</w:t>
      </w:r>
    </w:p>
    <w:p w14:paraId="4CE1F64C" w14:textId="77777777" w:rsidR="00B4552A" w:rsidRDefault="00B4552A" w:rsidP="00902420">
      <w:pPr>
        <w:pStyle w:val="P00"/>
        <w:spacing w:before="72"/>
        <w:ind w:left="0" w:right="1134"/>
        <w:rPr>
          <w:rStyle w:val="default"/>
          <w:rFonts w:cs="FrankRuehl" w:hint="cs"/>
          <w:rtl/>
        </w:rPr>
      </w:pPr>
      <w:bookmarkStart w:id="5" w:name="Seif6"/>
      <w:bookmarkEnd w:id="5"/>
      <w:r>
        <w:rPr>
          <w:lang w:val="he-IL"/>
        </w:rPr>
        <w:pict w14:anchorId="5975F1CC">
          <v:rect id="_x0000_s1037" style="position:absolute;left:0;text-align:left;margin-left:464.5pt;margin-top:8.05pt;width:75.05pt;height:16.75pt;z-index:251660288" o:allowincell="f" filled="f" stroked="f" strokecolor="lime" strokeweight=".25pt">
            <v:textbox inset="0,0,0,0">
              <w:txbxContent>
                <w:p w14:paraId="692D8A33" w14:textId="77777777" w:rsidR="00B4552A" w:rsidRDefault="00902420" w:rsidP="00B4552A">
                  <w:pPr>
                    <w:spacing w:line="160" w:lineRule="exact"/>
                    <w:jc w:val="left"/>
                    <w:rPr>
                      <w:rFonts w:cs="Miriam" w:hint="cs"/>
                      <w:noProof/>
                      <w:sz w:val="18"/>
                      <w:szCs w:val="18"/>
                      <w:rtl/>
                    </w:rPr>
                  </w:pPr>
                  <w:r>
                    <w:rPr>
                      <w:rFonts w:cs="Miriam" w:hint="cs"/>
                      <w:sz w:val="18"/>
                      <w:szCs w:val="18"/>
                      <w:rtl/>
                    </w:rPr>
                    <w:t>עובד שאינו זכאי לאות</w:t>
                  </w:r>
                </w:p>
              </w:txbxContent>
            </v:textbox>
            <w10:anchorlock/>
          </v:rect>
        </w:pict>
      </w:r>
      <w:r w:rsidR="003A24CC">
        <w:rPr>
          <w:rStyle w:val="big-number"/>
          <w:rFonts w:cs="Miriam" w:hint="cs"/>
          <w:rtl/>
        </w:rPr>
        <w:t>6</w:t>
      </w:r>
      <w:r>
        <w:rPr>
          <w:rStyle w:val="big-number"/>
          <w:rFonts w:cs="Miriam"/>
          <w:rtl/>
        </w:rPr>
        <w:t>.</w:t>
      </w:r>
      <w:r>
        <w:rPr>
          <w:rStyle w:val="big-number"/>
          <w:rFonts w:cs="Miriam"/>
          <w:rtl/>
        </w:rPr>
        <w:tab/>
      </w:r>
      <w:r w:rsidR="00902420">
        <w:rPr>
          <w:rStyle w:val="default"/>
          <w:rFonts w:cs="FrankRuehl" w:hint="cs"/>
          <w:rtl/>
        </w:rPr>
        <w:t xml:space="preserve">על אף האמור בתקנה 2, אדם הנמנה עם אחת הקבוצות המנויות בתקנה 2, לא יהיה זכאי לאות אם במשך התקופה הקובעת </w:t>
      </w:r>
      <w:r w:rsidR="00902420">
        <w:rPr>
          <w:rStyle w:val="default"/>
          <w:rFonts w:cs="FrankRuehl"/>
          <w:rtl/>
        </w:rPr>
        <w:t>–</w:t>
      </w:r>
    </w:p>
    <w:p w14:paraId="13B28DAA" w14:textId="77777777" w:rsidR="00902420" w:rsidRDefault="00902420" w:rsidP="0090242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F34792">
        <w:rPr>
          <w:rStyle w:val="default"/>
          <w:rFonts w:cs="FrankRuehl" w:hint="cs"/>
          <w:rtl/>
        </w:rPr>
        <w:t xml:space="preserve">הורשע בבית דין משמעתי של עובדי המדינה, או בבית דין משמעתי של הרשויות המקומיות, או בבית משפט אזרחי בעבירה שיש עמה קלון, על מעשה שעשה בתקופה האמורה, או אם התנהג בה באופן החורג מאמות המידה הנדרשות מעובד המדינה, עובד רשות מקומית או הארגון שאליו הוא משתייך, וסגן המנהל הכללי בתחום משאבי אנוש של הגוף שעליו נמנה (להלן </w:t>
      </w:r>
      <w:r w:rsidR="00F34792">
        <w:rPr>
          <w:rStyle w:val="default"/>
          <w:rFonts w:cs="FrankRuehl"/>
          <w:rtl/>
        </w:rPr>
        <w:t>–</w:t>
      </w:r>
      <w:r w:rsidR="00F34792">
        <w:rPr>
          <w:rStyle w:val="default"/>
          <w:rFonts w:cs="FrankRuehl" w:hint="cs"/>
          <w:rtl/>
        </w:rPr>
        <w:t xml:space="preserve"> הסמנכ"ל), הורה כך לגביו לאחר שניתנה על כך חוות דעת של היועץ המשפטי של הגוף האמור;</w:t>
      </w:r>
    </w:p>
    <w:p w14:paraId="43F1743F" w14:textId="77777777" w:rsidR="00F34792" w:rsidRDefault="00F34792" w:rsidP="0090242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שהה במשך תקופה העולה על 14 ימים במעצר, במעצר בית או במאסר למעט אם </w:t>
      </w:r>
      <w:r>
        <w:rPr>
          <w:rStyle w:val="default"/>
          <w:rFonts w:cs="FrankRuehl" w:hint="cs"/>
          <w:rtl/>
        </w:rPr>
        <w:lastRenderedPageBreak/>
        <w:t>הסמנכ"ל הורה אחרת לגביו;</w:t>
      </w:r>
    </w:p>
    <w:p w14:paraId="21056549" w14:textId="77777777" w:rsidR="00F34792" w:rsidRDefault="00F34792" w:rsidP="0090242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היה מושעה או שהה בחופשה כפויה במהלך התקופה האמורה, או בחלק ממנה למעט אם הסמנכ"ל הורה אחרת.</w:t>
      </w:r>
    </w:p>
    <w:p w14:paraId="670B7789" w14:textId="77777777" w:rsidR="00E5508A" w:rsidRDefault="00E5508A">
      <w:pPr>
        <w:pStyle w:val="P00"/>
        <w:spacing w:before="72"/>
        <w:ind w:left="0" w:right="1134"/>
        <w:rPr>
          <w:rStyle w:val="default"/>
          <w:rFonts w:cs="FrankRuehl" w:hint="cs"/>
          <w:rtl/>
        </w:rPr>
      </w:pPr>
    </w:p>
    <w:p w14:paraId="3DF5B0B1" w14:textId="77777777" w:rsidR="00B4552A" w:rsidRDefault="00B4552A">
      <w:pPr>
        <w:pStyle w:val="P00"/>
        <w:spacing w:before="72"/>
        <w:ind w:left="0" w:right="1134"/>
        <w:rPr>
          <w:rStyle w:val="default"/>
          <w:rFonts w:cs="FrankRuehl" w:hint="cs"/>
          <w:rtl/>
        </w:rPr>
      </w:pPr>
    </w:p>
    <w:p w14:paraId="15883BB0" w14:textId="77777777" w:rsidR="00A62222" w:rsidRDefault="00F34792" w:rsidP="00F34792">
      <w:pPr>
        <w:pStyle w:val="sig-0"/>
        <w:tabs>
          <w:tab w:val="clear" w:pos="4820"/>
          <w:tab w:val="center" w:pos="5670"/>
        </w:tabs>
        <w:spacing w:before="72"/>
        <w:ind w:left="0" w:right="1134"/>
        <w:rPr>
          <w:rFonts w:cs="FrankRuehl" w:hint="cs"/>
          <w:sz w:val="26"/>
          <w:rtl/>
        </w:rPr>
      </w:pPr>
      <w:r>
        <w:rPr>
          <w:rFonts w:cs="FrankRuehl" w:hint="cs"/>
          <w:sz w:val="26"/>
          <w:rtl/>
        </w:rPr>
        <w:t xml:space="preserve">ח' בתמוז </w:t>
      </w:r>
      <w:r w:rsidR="003A24CC">
        <w:rPr>
          <w:rFonts w:cs="FrankRuehl" w:hint="cs"/>
          <w:sz w:val="26"/>
          <w:rtl/>
        </w:rPr>
        <w:t>התשע"ה</w:t>
      </w:r>
      <w:r w:rsidR="00A62222">
        <w:rPr>
          <w:rFonts w:cs="FrankRuehl" w:hint="cs"/>
          <w:sz w:val="26"/>
          <w:rtl/>
        </w:rPr>
        <w:t xml:space="preserve"> (</w:t>
      </w:r>
      <w:r>
        <w:rPr>
          <w:rFonts w:cs="FrankRuehl" w:hint="cs"/>
          <w:sz w:val="26"/>
          <w:rtl/>
        </w:rPr>
        <w:t>25 ביוני</w:t>
      </w:r>
      <w:r w:rsidR="00A62222">
        <w:rPr>
          <w:rFonts w:cs="FrankRuehl" w:hint="cs"/>
          <w:sz w:val="26"/>
          <w:rtl/>
        </w:rPr>
        <w:t xml:space="preserve"> </w:t>
      </w:r>
      <w:r w:rsidR="003A24CC">
        <w:rPr>
          <w:rFonts w:cs="FrankRuehl" w:hint="cs"/>
          <w:sz w:val="26"/>
          <w:rtl/>
        </w:rPr>
        <w:t>2015</w:t>
      </w:r>
      <w:r w:rsidR="00A62222">
        <w:rPr>
          <w:rFonts w:cs="FrankRuehl" w:hint="cs"/>
          <w:sz w:val="26"/>
          <w:rtl/>
        </w:rPr>
        <w:t>)</w:t>
      </w:r>
      <w:r w:rsidR="00A62222">
        <w:rPr>
          <w:rFonts w:cs="FrankRuehl"/>
          <w:sz w:val="26"/>
          <w:rtl/>
        </w:rPr>
        <w:tab/>
      </w:r>
      <w:r w:rsidR="003A24CC">
        <w:rPr>
          <w:rFonts w:cs="FrankRuehl" w:hint="cs"/>
          <w:sz w:val="26"/>
          <w:rtl/>
        </w:rPr>
        <w:t>משה (בוגי) יעלון</w:t>
      </w:r>
    </w:p>
    <w:p w14:paraId="26668A0F" w14:textId="77777777" w:rsidR="00A62222" w:rsidRDefault="00A62222" w:rsidP="00B4552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3A24CC">
        <w:rPr>
          <w:rFonts w:cs="FrankRuehl" w:hint="cs"/>
          <w:sz w:val="22"/>
          <w:rtl/>
        </w:rPr>
        <w:t>י</w:t>
      </w:r>
      <w:r>
        <w:rPr>
          <w:rFonts w:cs="FrankRuehl" w:hint="cs"/>
          <w:sz w:val="22"/>
          <w:rtl/>
        </w:rPr>
        <w:t>טחון</w:t>
      </w:r>
    </w:p>
    <w:p w14:paraId="46CB20FD" w14:textId="77777777" w:rsidR="00E5508A" w:rsidRDefault="00E5508A">
      <w:pPr>
        <w:pStyle w:val="P00"/>
        <w:spacing w:before="72"/>
        <w:ind w:left="0" w:right="1134"/>
        <w:rPr>
          <w:rStyle w:val="default"/>
          <w:rFonts w:cs="FrankRuehl" w:hint="cs"/>
          <w:rtl/>
        </w:rPr>
      </w:pPr>
    </w:p>
    <w:p w14:paraId="79BD64F2" w14:textId="77777777" w:rsidR="00A62222" w:rsidRDefault="00A62222">
      <w:pPr>
        <w:pStyle w:val="P00"/>
        <w:spacing w:before="72"/>
        <w:ind w:left="0" w:right="1134"/>
        <w:rPr>
          <w:rStyle w:val="default"/>
          <w:rFonts w:cs="FrankRuehl"/>
          <w:rtl/>
        </w:rPr>
      </w:pPr>
    </w:p>
    <w:p w14:paraId="71D68C5A" w14:textId="77777777" w:rsidR="00A62222" w:rsidRDefault="00A62222">
      <w:pPr>
        <w:pStyle w:val="P00"/>
        <w:spacing w:before="72"/>
        <w:ind w:left="0" w:right="1134"/>
        <w:rPr>
          <w:rStyle w:val="default"/>
          <w:rFonts w:cs="FrankRuehl"/>
          <w:rtl/>
        </w:rPr>
      </w:pPr>
      <w:bookmarkStart w:id="6" w:name="LawPartEnd"/>
    </w:p>
    <w:bookmarkEnd w:id="6"/>
    <w:p w14:paraId="4ED33D06" w14:textId="77777777" w:rsidR="008E0EEF" w:rsidRDefault="008E0EEF">
      <w:pPr>
        <w:pStyle w:val="P00"/>
        <w:spacing w:before="72"/>
        <w:ind w:left="0" w:right="1134"/>
        <w:rPr>
          <w:rStyle w:val="default"/>
          <w:rFonts w:cs="FrankRuehl"/>
          <w:rtl/>
        </w:rPr>
      </w:pPr>
    </w:p>
    <w:p w14:paraId="18D8F16A" w14:textId="77777777" w:rsidR="008E0EEF" w:rsidRDefault="008E0EEF">
      <w:pPr>
        <w:pStyle w:val="P00"/>
        <w:spacing w:before="72"/>
        <w:ind w:left="0" w:right="1134"/>
        <w:rPr>
          <w:rStyle w:val="default"/>
          <w:rFonts w:cs="FrankRuehl"/>
          <w:rtl/>
        </w:rPr>
      </w:pPr>
    </w:p>
    <w:p w14:paraId="55B22801" w14:textId="77777777" w:rsidR="008E0EEF" w:rsidRDefault="008E0EEF" w:rsidP="008E0EEF">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2EB5868E" w14:textId="77777777" w:rsidR="00CB6DF2" w:rsidRPr="008E0EEF" w:rsidRDefault="00CB6DF2" w:rsidP="008E0EEF">
      <w:pPr>
        <w:pStyle w:val="P00"/>
        <w:spacing w:before="72"/>
        <w:ind w:left="0" w:right="1134"/>
        <w:jc w:val="center"/>
        <w:rPr>
          <w:rStyle w:val="default"/>
          <w:rFonts w:cs="David"/>
          <w:color w:val="0000FF"/>
          <w:szCs w:val="24"/>
          <w:u w:val="single"/>
          <w:rtl/>
        </w:rPr>
      </w:pPr>
    </w:p>
    <w:sectPr w:rsidR="00CB6DF2" w:rsidRPr="008E0EE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2620A" w14:textId="77777777" w:rsidR="00B57882" w:rsidRDefault="00B57882">
      <w:r>
        <w:separator/>
      </w:r>
    </w:p>
  </w:endnote>
  <w:endnote w:type="continuationSeparator" w:id="0">
    <w:p w14:paraId="05E7BC3E" w14:textId="77777777" w:rsidR="00B57882" w:rsidRDefault="00B5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D467"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2E1908"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8328C9"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6DF2">
      <w:rPr>
        <w:rFonts w:cs="TopType Jerushalmi"/>
        <w:noProof/>
        <w:color w:val="000000"/>
        <w:sz w:val="14"/>
        <w:szCs w:val="14"/>
      </w:rPr>
      <w:t>Z:\000-law\yael\2015\2015-03-05\tav\501_196.doc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F090"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0EEF">
      <w:rPr>
        <w:rFonts w:hAnsi="FrankRuehl" w:cs="FrankRuehl"/>
        <w:noProof/>
        <w:sz w:val="24"/>
        <w:szCs w:val="24"/>
        <w:rtl/>
      </w:rPr>
      <w:t>2</w:t>
    </w:r>
    <w:r>
      <w:rPr>
        <w:rFonts w:hAnsi="FrankRuehl" w:cs="FrankRuehl"/>
        <w:sz w:val="24"/>
        <w:szCs w:val="24"/>
        <w:rtl/>
      </w:rPr>
      <w:fldChar w:fldCharType="end"/>
    </w:r>
  </w:p>
  <w:p w14:paraId="278C8F64"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65C951"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6DF2">
      <w:rPr>
        <w:rFonts w:cs="TopType Jerushalmi"/>
        <w:noProof/>
        <w:color w:val="000000"/>
        <w:sz w:val="14"/>
        <w:szCs w:val="14"/>
      </w:rPr>
      <w:t>Z:\000-law\yael\2015\2015-03-05\tav\501_196.doc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F342" w14:textId="77777777" w:rsidR="00B57882" w:rsidRDefault="00B57882">
      <w:pPr>
        <w:spacing w:before="60" w:line="240" w:lineRule="auto"/>
        <w:ind w:right="1134"/>
      </w:pPr>
      <w:r>
        <w:separator/>
      </w:r>
    </w:p>
  </w:footnote>
  <w:footnote w:type="continuationSeparator" w:id="0">
    <w:p w14:paraId="4C99FAFA" w14:textId="77777777" w:rsidR="00B57882" w:rsidRDefault="00B57882">
      <w:r>
        <w:continuationSeparator/>
      </w:r>
    </w:p>
  </w:footnote>
  <w:footnote w:id="1">
    <w:p w14:paraId="645D61D8" w14:textId="77777777" w:rsidR="004F6132" w:rsidRDefault="00A62222" w:rsidP="004F61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4F6132">
          <w:rPr>
            <w:rStyle w:val="Hyperlink"/>
            <w:rFonts w:cs="FrankRuehl" w:hint="cs"/>
            <w:rtl/>
          </w:rPr>
          <w:t>ק"ת תש</w:t>
        </w:r>
        <w:r w:rsidR="00B4552A" w:rsidRPr="004F6132">
          <w:rPr>
            <w:rStyle w:val="Hyperlink"/>
            <w:rFonts w:cs="FrankRuehl" w:hint="cs"/>
            <w:rtl/>
          </w:rPr>
          <w:t>ע"ה</w:t>
        </w:r>
        <w:r w:rsidRPr="004F6132">
          <w:rPr>
            <w:rStyle w:val="Hyperlink"/>
            <w:rFonts w:cs="FrankRuehl" w:hint="cs"/>
            <w:rtl/>
          </w:rPr>
          <w:t xml:space="preserve"> מס' </w:t>
        </w:r>
        <w:r w:rsidR="00E5508A" w:rsidRPr="004F6132">
          <w:rPr>
            <w:rStyle w:val="Hyperlink"/>
            <w:rFonts w:cs="FrankRuehl" w:hint="cs"/>
            <w:rtl/>
          </w:rPr>
          <w:t>7535</w:t>
        </w:r>
      </w:hyperlink>
      <w:r>
        <w:rPr>
          <w:rFonts w:cs="FrankRuehl" w:hint="cs"/>
          <w:rtl/>
        </w:rPr>
        <w:t xml:space="preserve"> מיום </w:t>
      </w:r>
      <w:r w:rsidR="00E5508A">
        <w:rPr>
          <w:rFonts w:cs="FrankRuehl" w:hint="cs"/>
          <w:rtl/>
        </w:rPr>
        <w:t>22.7</w:t>
      </w:r>
      <w:r w:rsidR="00B4552A">
        <w:rPr>
          <w:rFonts w:cs="FrankRuehl" w:hint="cs"/>
          <w:rtl/>
        </w:rPr>
        <w:t>.2015</w:t>
      </w:r>
      <w:r>
        <w:rPr>
          <w:rFonts w:cs="FrankRuehl" w:hint="cs"/>
          <w:rtl/>
        </w:rPr>
        <w:t xml:space="preserve"> עמ'</w:t>
      </w:r>
      <w:r w:rsidR="00B4552A">
        <w:rPr>
          <w:rFonts w:cs="FrankRuehl" w:hint="cs"/>
          <w:rtl/>
        </w:rPr>
        <w:t xml:space="preserve"> </w:t>
      </w:r>
      <w:r w:rsidR="00E5508A">
        <w:rPr>
          <w:rFonts w:cs="FrankRuehl" w:hint="cs"/>
          <w:rtl/>
        </w:rPr>
        <w:t>1388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249D" w14:textId="77777777" w:rsidR="00A62222" w:rsidRDefault="00A622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 הגנה לישראל (אות מערכת שלום הגליל–קביעת זכאים), תשמ"ג — 1983</w:t>
    </w:r>
  </w:p>
  <w:p w14:paraId="06FD7733"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D2A30A"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3A43" w14:textId="77777777" w:rsidR="00A62222" w:rsidRDefault="00A62222" w:rsidP="00E5508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העיטורים בצבא הגנה לישראל (אות מערכת </w:t>
    </w:r>
    <w:r w:rsidR="00B4552A">
      <w:rPr>
        <w:rFonts w:hAnsi="FrankRuehl" w:cs="FrankRuehl" w:hint="cs"/>
        <w:color w:val="000000"/>
        <w:sz w:val="28"/>
        <w:szCs w:val="28"/>
        <w:rtl/>
      </w:rPr>
      <w:t>צוק איתן</w:t>
    </w:r>
    <w:r>
      <w:rPr>
        <w:rFonts w:hAnsi="FrankRuehl" w:cs="FrankRuehl" w:hint="cs"/>
        <w:color w:val="000000"/>
        <w:sz w:val="28"/>
        <w:szCs w:val="28"/>
        <w:rtl/>
      </w:rPr>
      <w:t xml:space="preserve"> </w:t>
    </w:r>
    <w:r>
      <w:rPr>
        <w:rFonts w:hAnsi="FrankRuehl" w:cs="FrankRuehl"/>
        <w:color w:val="000000"/>
        <w:sz w:val="28"/>
        <w:szCs w:val="28"/>
        <w:rtl/>
      </w:rPr>
      <w:t>–</w:t>
    </w:r>
    <w:r>
      <w:rPr>
        <w:rFonts w:hAnsi="FrankRuehl" w:cs="FrankRuehl" w:hint="cs"/>
        <w:color w:val="000000"/>
        <w:sz w:val="28"/>
        <w:szCs w:val="28"/>
        <w:rtl/>
      </w:rPr>
      <w:t xml:space="preserve"> </w:t>
    </w:r>
    <w:r>
      <w:rPr>
        <w:rFonts w:hAnsi="FrankRuehl" w:cs="FrankRuehl"/>
        <w:color w:val="000000"/>
        <w:sz w:val="28"/>
        <w:szCs w:val="28"/>
        <w:rtl/>
      </w:rPr>
      <w:t xml:space="preserve">קביעת </w:t>
    </w:r>
    <w:r w:rsidR="00E5508A">
      <w:rPr>
        <w:rFonts w:hAnsi="FrankRuehl" w:cs="FrankRuehl" w:hint="cs"/>
        <w:color w:val="000000"/>
        <w:sz w:val="28"/>
        <w:szCs w:val="28"/>
        <w:rtl/>
      </w:rPr>
      <w:t xml:space="preserve">אזרחים </w:t>
    </w:r>
    <w:r>
      <w:rPr>
        <w:rFonts w:hAnsi="FrankRuehl" w:cs="FrankRuehl"/>
        <w:color w:val="000000"/>
        <w:sz w:val="28"/>
        <w:szCs w:val="28"/>
        <w:rtl/>
      </w:rPr>
      <w:t xml:space="preserve">זכאים), </w:t>
    </w:r>
    <w:r w:rsidR="00B4552A">
      <w:rPr>
        <w:rFonts w:hAnsi="FrankRuehl" w:cs="FrankRuehl" w:hint="cs"/>
        <w:color w:val="000000"/>
        <w:sz w:val="28"/>
        <w:szCs w:val="28"/>
        <w:rtl/>
      </w:rPr>
      <w:t>תשע"ה-2015</w:t>
    </w:r>
  </w:p>
  <w:p w14:paraId="28C0EE03"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77C27C"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F56"/>
    <w:rsid w:val="00044559"/>
    <w:rsid w:val="00137F86"/>
    <w:rsid w:val="002559B0"/>
    <w:rsid w:val="002F4BE3"/>
    <w:rsid w:val="003A24CC"/>
    <w:rsid w:val="004F6132"/>
    <w:rsid w:val="005757D6"/>
    <w:rsid w:val="006A7853"/>
    <w:rsid w:val="007C5F56"/>
    <w:rsid w:val="008E0EEF"/>
    <w:rsid w:val="00902420"/>
    <w:rsid w:val="00A426D1"/>
    <w:rsid w:val="00A62222"/>
    <w:rsid w:val="00B4552A"/>
    <w:rsid w:val="00B57882"/>
    <w:rsid w:val="00CB6DF2"/>
    <w:rsid w:val="00E5508A"/>
    <w:rsid w:val="00F347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CF4EF1"/>
  <w15:chartTrackingRefBased/>
  <w15:docId w15:val="{3E61C102-3505-48EA-B04B-C2B46C78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3384</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0</vt:i4>
      </vt:variant>
      <vt:variant>
        <vt:i4>0</vt:i4>
      </vt:variant>
      <vt:variant>
        <vt:i4>5</vt:i4>
      </vt:variant>
      <vt:variant>
        <vt:lpwstr>http://www.nevo.co.il/Law_word/law06/tak-7535.pdf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עיטורים</vt:lpwstr>
  </property>
  <property fmtid="{D5CDD505-2E9C-101B-9397-08002B2CF9AE}" pid="4" name="LAWNAME">
    <vt:lpwstr>תקנות העיטורים בצבא הגנה לישראל (אות מערכת צוק איתן - קביעת אזרחים זכאים), תשע"ה-2015</vt:lpwstr>
  </property>
  <property fmtid="{D5CDD505-2E9C-101B-9397-08002B2CF9AE}" pid="5" name="LAWNUMBER">
    <vt:lpwstr>0243</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בצבא הגנה לישראל</vt:lpwstr>
  </property>
  <property fmtid="{D5CDD505-2E9C-101B-9397-08002B2CF9AE}" pid="48" name="MEKOR_SAIF1">
    <vt:lpwstr>7X;21X</vt:lpwstr>
  </property>
  <property fmtid="{D5CDD505-2E9C-101B-9397-08002B2CF9AE}" pid="49" name="MEKORSAMCHUT">
    <vt:lpwstr/>
  </property>
  <property fmtid="{D5CDD505-2E9C-101B-9397-08002B2CF9AE}" pid="50" name="LINKK1">
    <vt:lpwstr>http://www.nevo.co.il/Law_word/law06/tak-7535.pdf;‎רשומות - תקנות כלליות#פורסמו ק"ת תשע"ה מס' ‏‏7535 #מיום 22.7.2015 עמ' 1388‏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